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FA933" w14:textId="77777777" w:rsidR="00457897" w:rsidRPr="002E0C23" w:rsidRDefault="00457897" w:rsidP="002E0C23">
      <w:pPr>
        <w:spacing w:after="0" w:line="360" w:lineRule="auto"/>
        <w:jc w:val="both"/>
        <w:rPr>
          <w:szCs w:val="22"/>
        </w:rPr>
      </w:pPr>
    </w:p>
    <w:p w14:paraId="7933F38D" w14:textId="77777777" w:rsidR="00457897" w:rsidRPr="00F973D9" w:rsidRDefault="00457897" w:rsidP="00457897">
      <w:pPr>
        <w:widowControl w:val="0"/>
        <w:spacing w:after="0" w:line="240" w:lineRule="auto"/>
        <w:jc w:val="right"/>
        <w:rPr>
          <w:rFonts w:eastAsia="Times New Roman"/>
          <w:b/>
          <w:spacing w:val="-1"/>
          <w:u w:val="single"/>
        </w:rPr>
      </w:pPr>
      <w:r w:rsidRPr="00F973D9">
        <w:rPr>
          <w:rFonts w:eastAsia="Times New Roman"/>
          <w:b/>
          <w:spacing w:val="-1"/>
          <w:u w:val="single"/>
        </w:rPr>
        <w:t>Appendix 1</w:t>
      </w:r>
    </w:p>
    <w:p w14:paraId="591354B8" w14:textId="77777777" w:rsidR="00457897" w:rsidRPr="00F973D9" w:rsidRDefault="00457897" w:rsidP="00457897">
      <w:pPr>
        <w:widowControl w:val="0"/>
        <w:spacing w:after="0" w:line="240" w:lineRule="auto"/>
        <w:jc w:val="center"/>
        <w:rPr>
          <w:rFonts w:eastAsia="Times New Roman"/>
          <w:b/>
          <w:spacing w:val="-1"/>
          <w:u w:val="single"/>
        </w:rPr>
      </w:pPr>
    </w:p>
    <w:p w14:paraId="55A5F148" w14:textId="77777777" w:rsidR="00457897" w:rsidRPr="00F973D9" w:rsidRDefault="00457897" w:rsidP="00457897">
      <w:pPr>
        <w:widowControl w:val="0"/>
        <w:spacing w:after="0" w:line="240" w:lineRule="auto"/>
        <w:jc w:val="center"/>
        <w:rPr>
          <w:rFonts w:eastAsia="Times New Roman"/>
          <w:b/>
          <w:u w:val="single"/>
        </w:rPr>
      </w:pPr>
      <w:r w:rsidRPr="00F973D9">
        <w:rPr>
          <w:rFonts w:eastAsia="Times New Roman"/>
          <w:b/>
          <w:spacing w:val="-1"/>
          <w:u w:val="single"/>
        </w:rPr>
        <w:t>EUROPEAN UNIONELIGIBILITY</w:t>
      </w:r>
      <w:r w:rsidRPr="00F973D9">
        <w:rPr>
          <w:rFonts w:eastAsia="Times New Roman"/>
          <w:b/>
          <w:spacing w:val="-2"/>
          <w:u w:val="single"/>
        </w:rPr>
        <w:t>RULES</w:t>
      </w:r>
    </w:p>
    <w:p w14:paraId="5A263A36" w14:textId="77777777" w:rsidR="00457897" w:rsidRPr="00F973D9" w:rsidRDefault="00457897" w:rsidP="00457897">
      <w:pPr>
        <w:widowControl w:val="0"/>
        <w:spacing w:after="0" w:line="240" w:lineRule="auto"/>
        <w:jc w:val="center"/>
        <w:rPr>
          <w:rFonts w:eastAsia="Times New Roman"/>
          <w:b/>
          <w:spacing w:val="-1"/>
          <w:u w:val="single"/>
        </w:rPr>
      </w:pPr>
      <w:r w:rsidRPr="00F973D9">
        <w:rPr>
          <w:rFonts w:eastAsia="Times New Roman"/>
          <w:b/>
          <w:spacing w:val="-1"/>
          <w:u w:val="single"/>
        </w:rPr>
        <w:t xml:space="preserve">AFRICAN CARIBBEAN PACIFIC – EUROPEAN UNION </w:t>
      </w:r>
    </w:p>
    <w:p w14:paraId="07940868" w14:textId="77777777" w:rsidR="00457897" w:rsidRPr="00F973D9" w:rsidRDefault="00457897" w:rsidP="00457897">
      <w:pPr>
        <w:widowControl w:val="0"/>
        <w:spacing w:after="0" w:line="240" w:lineRule="auto"/>
        <w:jc w:val="center"/>
        <w:rPr>
          <w:rFonts w:ascii="Calibri" w:eastAsia="Times New Roman" w:hAnsi="Calibri"/>
          <w:b/>
          <w:spacing w:val="-1"/>
          <w:u w:val="single"/>
        </w:rPr>
      </w:pPr>
      <w:r w:rsidRPr="00F973D9">
        <w:rPr>
          <w:rFonts w:eastAsia="Times New Roman"/>
          <w:b/>
          <w:spacing w:val="-1"/>
          <w:u w:val="single"/>
        </w:rPr>
        <w:t xml:space="preserve">NATURAL DISASTER RISK MANAGEMENT </w:t>
      </w:r>
    </w:p>
    <w:p w14:paraId="551328A4" w14:textId="77777777" w:rsidR="00457897" w:rsidRPr="00F973D9" w:rsidRDefault="00457897" w:rsidP="00457897">
      <w:pPr>
        <w:widowControl w:val="0"/>
        <w:spacing w:after="0" w:line="240" w:lineRule="auto"/>
        <w:jc w:val="center"/>
        <w:rPr>
          <w:rFonts w:ascii="Calibri" w:eastAsia="Times New Roman" w:hAnsi="Calibri"/>
          <w:b/>
          <w:spacing w:val="-1"/>
          <w:u w:val="single"/>
        </w:rPr>
      </w:pPr>
    </w:p>
    <w:p w14:paraId="5B0AF185" w14:textId="77777777" w:rsidR="00457897" w:rsidRPr="00F973D9" w:rsidRDefault="00457897" w:rsidP="00457897">
      <w:pPr>
        <w:widowControl w:val="0"/>
        <w:spacing w:after="0" w:line="240" w:lineRule="auto"/>
        <w:ind w:right="60"/>
        <w:jc w:val="center"/>
        <w:rPr>
          <w:rFonts w:eastAsia="Times New Roman"/>
          <w:b/>
          <w:u w:val="single"/>
          <w:lang w:val="en-GB"/>
        </w:rPr>
      </w:pPr>
      <w:r w:rsidRPr="00F973D9">
        <w:rPr>
          <w:rFonts w:eastAsia="Times New Roman"/>
          <w:b/>
          <w:spacing w:val="-1"/>
          <w:u w:val="single"/>
          <w:lang w:val="en-GB"/>
        </w:rPr>
        <w:t>PARTICIPATION</w:t>
      </w:r>
      <w:r w:rsidRPr="00F973D9">
        <w:rPr>
          <w:rFonts w:eastAsia="Times New Roman"/>
          <w:b/>
          <w:u w:val="single"/>
          <w:lang w:val="en-GB"/>
        </w:rPr>
        <w:t>IN</w:t>
      </w:r>
      <w:r w:rsidRPr="00F973D9">
        <w:rPr>
          <w:rFonts w:eastAsia="Times New Roman"/>
          <w:b/>
          <w:spacing w:val="-1"/>
          <w:u w:val="single"/>
          <w:lang w:val="en-GB"/>
        </w:rPr>
        <w:t xml:space="preserve">PROCEDURES </w:t>
      </w:r>
      <w:r w:rsidRPr="00F973D9">
        <w:rPr>
          <w:rFonts w:eastAsia="Times New Roman"/>
          <w:b/>
          <w:u w:val="single"/>
          <w:lang w:val="en-GB"/>
        </w:rPr>
        <w:t>FOR</w:t>
      </w:r>
      <w:r w:rsidRPr="00F973D9">
        <w:rPr>
          <w:rFonts w:eastAsia="Times New Roman"/>
          <w:b/>
          <w:spacing w:val="-1"/>
          <w:u w:val="single"/>
          <w:lang w:val="en-GB"/>
        </w:rPr>
        <w:t>THE</w:t>
      </w:r>
      <w:r w:rsidRPr="00F973D9">
        <w:rPr>
          <w:rFonts w:eastAsia="Times New Roman"/>
          <w:b/>
          <w:spacing w:val="-2"/>
          <w:u w:val="single"/>
          <w:lang w:val="en-GB"/>
        </w:rPr>
        <w:t>AWARDING</w:t>
      </w:r>
      <w:r w:rsidRPr="00F973D9">
        <w:rPr>
          <w:rFonts w:eastAsia="Times New Roman"/>
          <w:b/>
          <w:u w:val="single"/>
          <w:lang w:val="en-GB"/>
        </w:rPr>
        <w:t>OF</w:t>
      </w:r>
    </w:p>
    <w:p w14:paraId="4DE06244" w14:textId="77777777" w:rsidR="00457897" w:rsidRPr="00F973D9" w:rsidRDefault="00457897" w:rsidP="00457897">
      <w:pPr>
        <w:widowControl w:val="0"/>
        <w:spacing w:after="0" w:line="240" w:lineRule="auto"/>
        <w:ind w:right="60"/>
        <w:jc w:val="center"/>
        <w:rPr>
          <w:rFonts w:eastAsia="Times New Roman"/>
          <w:u w:val="single"/>
          <w:lang w:val="en-GB"/>
        </w:rPr>
      </w:pPr>
      <w:r w:rsidRPr="00F973D9">
        <w:rPr>
          <w:rFonts w:eastAsia="Times New Roman"/>
          <w:b/>
          <w:spacing w:val="-2"/>
          <w:u w:val="single"/>
          <w:lang w:val="en-GB"/>
        </w:rPr>
        <w:t>PROCUREMENTCONTRACTS</w:t>
      </w:r>
      <w:r w:rsidRPr="00F973D9">
        <w:rPr>
          <w:rFonts w:eastAsia="Times New Roman"/>
          <w:b/>
          <w:u w:val="single"/>
          <w:lang w:val="en-GB"/>
        </w:rPr>
        <w:t>OR</w:t>
      </w:r>
      <w:r w:rsidRPr="00F973D9">
        <w:rPr>
          <w:rFonts w:eastAsia="Times New Roman"/>
          <w:b/>
          <w:spacing w:val="-2"/>
          <w:u w:val="single"/>
          <w:lang w:val="en-GB"/>
        </w:rPr>
        <w:t xml:space="preserve"> GRANT</w:t>
      </w:r>
      <w:r w:rsidRPr="00F973D9">
        <w:rPr>
          <w:rFonts w:eastAsia="Times New Roman"/>
          <w:b/>
          <w:spacing w:val="-1"/>
          <w:u w:val="single"/>
          <w:lang w:val="en-GB"/>
        </w:rPr>
        <w:t>CONTRACTS</w:t>
      </w:r>
    </w:p>
    <w:p w14:paraId="3426BA92" w14:textId="77777777" w:rsidR="00457897" w:rsidRPr="00F973D9" w:rsidRDefault="00457897" w:rsidP="00457897">
      <w:pPr>
        <w:widowControl w:val="0"/>
        <w:tabs>
          <w:tab w:val="left" w:pos="3828"/>
        </w:tabs>
        <w:spacing w:before="8" w:after="0" w:line="240" w:lineRule="auto"/>
        <w:jc w:val="center"/>
        <w:rPr>
          <w:rFonts w:eastAsia="Times New Roman"/>
          <w:b/>
          <w:bCs/>
          <w:lang w:val="en-GB"/>
        </w:rPr>
      </w:pPr>
    </w:p>
    <w:p w14:paraId="4CD05425" w14:textId="77777777" w:rsidR="00457897" w:rsidRPr="00F973D9" w:rsidRDefault="00457897" w:rsidP="00457897">
      <w:pPr>
        <w:widowControl w:val="0"/>
        <w:numPr>
          <w:ilvl w:val="0"/>
          <w:numId w:val="5"/>
        </w:numPr>
        <w:tabs>
          <w:tab w:val="left" w:pos="720"/>
        </w:tabs>
        <w:spacing w:after="160" w:line="254" w:lineRule="auto"/>
        <w:ind w:left="0" w:right="115" w:firstLine="0"/>
        <w:jc w:val="both"/>
        <w:rPr>
          <w:rFonts w:eastAsia="Times New Roman"/>
          <w:lang w:val="en-GB"/>
        </w:rPr>
      </w:pPr>
      <w:r w:rsidRPr="00F973D9">
        <w:rPr>
          <w:rFonts w:eastAsia="Times New Roman"/>
          <w:lang w:val="en-GB"/>
        </w:rPr>
        <w:t xml:space="preserve">Participation in procedures for the award of procurement contracts financed </w:t>
      </w:r>
      <w:r w:rsidRPr="00F973D9">
        <w:t>under the EU Contribution Agreement for the Implementation for the Action entitled: “Africa Caribbean Pacific – European – Caribbean Development Bank (ACP-EU-CDB) Natural Disaster Risk Management in CARIFORUM Countries” (ACP – EU NDRM Resources)</w:t>
      </w:r>
      <w:r w:rsidRPr="00F973D9">
        <w:rPr>
          <w:rFonts w:eastAsia="Times New Roman"/>
          <w:lang w:val="en-GB"/>
        </w:rPr>
        <w:t>”, is open to international organisations and all natural persons who are nationals of, or legal persons who are established in, an eligible country.</w:t>
      </w:r>
    </w:p>
    <w:p w14:paraId="6F38F8DD" w14:textId="77777777" w:rsidR="00457897" w:rsidRPr="00F973D9" w:rsidRDefault="00457897" w:rsidP="00457897">
      <w:pPr>
        <w:widowControl w:val="0"/>
        <w:numPr>
          <w:ilvl w:val="0"/>
          <w:numId w:val="5"/>
        </w:numPr>
        <w:spacing w:after="160" w:line="254" w:lineRule="auto"/>
        <w:ind w:left="90" w:hanging="90"/>
        <w:jc w:val="both"/>
      </w:pPr>
      <w:r w:rsidRPr="00F973D9">
        <w:rPr>
          <w:rFonts w:eastAsia="Times New Roman"/>
          <w:lang w:val="en-GB"/>
        </w:rPr>
        <w:t>Eligible countries</w:t>
      </w:r>
      <w:hyperlink w:anchor="_bookmark29" w:history="1">
        <w:r w:rsidRPr="00F973D9">
          <w:rPr>
            <w:rFonts w:eastAsia="Times New Roman"/>
            <w:color w:val="0000FF"/>
            <w:position w:val="8"/>
            <w:u w:val="single"/>
            <w:lang w:val="en-GB"/>
          </w:rPr>
          <w:t>1</w:t>
        </w:r>
      </w:hyperlink>
      <w:r w:rsidRPr="00F973D9">
        <w:rPr>
          <w:rFonts w:eastAsia="Times New Roman"/>
          <w:lang w:val="en-GB"/>
        </w:rPr>
        <w:t>are deemed to be:</w:t>
      </w:r>
    </w:p>
    <w:p w14:paraId="77B025ED" w14:textId="77777777" w:rsidR="00457897" w:rsidRPr="00F973D9" w:rsidRDefault="00457897" w:rsidP="00457897">
      <w:pPr>
        <w:widowControl w:val="0"/>
        <w:numPr>
          <w:ilvl w:val="1"/>
          <w:numId w:val="5"/>
        </w:numPr>
        <w:spacing w:after="160" w:line="254" w:lineRule="auto"/>
        <w:ind w:hanging="720"/>
        <w:rPr>
          <w:rFonts w:eastAsia="Times New Roman"/>
          <w:lang w:val="en-GB"/>
        </w:rPr>
      </w:pPr>
      <w:r w:rsidRPr="00F973D9">
        <w:rPr>
          <w:rFonts w:eastAsia="Times New Roman"/>
          <w:lang w:val="en-GB"/>
        </w:rPr>
        <w:t>Caribbean Development Bank member countries:</w:t>
      </w:r>
    </w:p>
    <w:p w14:paraId="3BABE7D0" w14:textId="77777777" w:rsidR="00457897" w:rsidRPr="00F973D9" w:rsidRDefault="00457897" w:rsidP="00457897">
      <w:pPr>
        <w:widowControl w:val="0"/>
        <w:spacing w:after="0" w:line="240" w:lineRule="auto"/>
        <w:ind w:left="1440"/>
        <w:rPr>
          <w:rFonts w:eastAsia="Times New Roman"/>
          <w:lang w:val="en-GB"/>
        </w:rPr>
      </w:pPr>
    </w:p>
    <w:p w14:paraId="4CE8F3FF" w14:textId="77777777"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Anguilla, Antigua and Barbuda, Barbados, Belize, Brazil, British Virgin Islands, Canada, Cayman Islands, China, Columbia, Dominica, Germany, Grenada, Guyana, Haiti, Jamaica, Italy, Mexico, Montserrat, St Kitts and Nevis, Saint Lucia, St Vincent and the Grenadines, Suriname, The Bahamas, Trinidad and Tobago, Turks and Caicos Islands, the United Kingdom and Venezuela.</w:t>
      </w:r>
    </w:p>
    <w:p w14:paraId="1FE56AE2" w14:textId="77777777" w:rsidR="00457897" w:rsidRPr="00F973D9" w:rsidRDefault="00457897" w:rsidP="00457897">
      <w:pPr>
        <w:spacing w:after="0" w:line="240" w:lineRule="auto"/>
        <w:ind w:left="1560" w:right="114"/>
        <w:jc w:val="both"/>
        <w:rPr>
          <w:rFonts w:eastAsia="Times New Roman"/>
          <w:lang w:val="en-GB"/>
        </w:rPr>
      </w:pPr>
    </w:p>
    <w:p w14:paraId="3F42337F" w14:textId="77777777" w:rsidR="00457897" w:rsidRPr="00F973D9" w:rsidRDefault="00457897" w:rsidP="00457897">
      <w:pPr>
        <w:widowControl w:val="0"/>
        <w:numPr>
          <w:ilvl w:val="1"/>
          <w:numId w:val="5"/>
        </w:numPr>
        <w:spacing w:after="160" w:line="254" w:lineRule="auto"/>
        <w:ind w:hanging="720"/>
      </w:pPr>
      <w:r w:rsidRPr="00F973D9">
        <w:rPr>
          <w:rFonts w:eastAsia="Times New Roman"/>
          <w:lang w:val="en-GB"/>
        </w:rPr>
        <w:t>Members of the “African, Caribbean and Pacific (ACP) Group of States”</w:t>
      </w:r>
      <w:hyperlink w:anchor="_bookmark30" w:history="1">
        <w:r w:rsidRPr="00F973D9">
          <w:rPr>
            <w:rFonts w:eastAsia="Times New Roman"/>
            <w:color w:val="0000FF"/>
            <w:position w:val="8"/>
            <w:u w:val="single"/>
            <w:lang w:val="en-GB"/>
          </w:rPr>
          <w:t>2</w:t>
        </w:r>
      </w:hyperlink>
      <w:r w:rsidRPr="00F973D9">
        <w:rPr>
          <w:rFonts w:eastAsia="Times New Roman"/>
          <w:lang w:val="en-GB"/>
        </w:rPr>
        <w:t>:</w:t>
      </w:r>
    </w:p>
    <w:p w14:paraId="69BE6F58" w14:textId="77777777" w:rsidR="00457897" w:rsidRPr="00F973D9" w:rsidRDefault="00457897" w:rsidP="00457897">
      <w:pPr>
        <w:widowControl w:val="0"/>
        <w:spacing w:after="0" w:line="240" w:lineRule="auto"/>
        <w:ind w:left="1440"/>
        <w:jc w:val="both"/>
        <w:rPr>
          <w:rFonts w:eastAsia="Times New Roman"/>
          <w:lang w:val="en-GB"/>
        </w:rPr>
      </w:pPr>
      <w:r w:rsidRPr="00F973D9">
        <w:rPr>
          <w:rFonts w:eastAsia="Times New Roman"/>
          <w:b/>
          <w:lang w:val="en-GB"/>
        </w:rPr>
        <w:t>Africa:</w:t>
      </w:r>
    </w:p>
    <w:p w14:paraId="49C26580" w14:textId="77777777" w:rsidR="00457897" w:rsidRPr="00F973D9" w:rsidRDefault="00457897" w:rsidP="00457897">
      <w:pPr>
        <w:widowControl w:val="0"/>
        <w:spacing w:after="0" w:line="240" w:lineRule="auto"/>
        <w:ind w:left="1440"/>
        <w:rPr>
          <w:rFonts w:eastAsia="Times New Roman"/>
          <w:lang w:val="en-GB"/>
        </w:rPr>
      </w:pPr>
    </w:p>
    <w:p w14:paraId="41BCB3DF" w14:textId="77777777" w:rsidR="00457897" w:rsidRPr="00F973D9" w:rsidRDefault="00457897" w:rsidP="00457897">
      <w:pPr>
        <w:spacing w:after="0" w:line="240" w:lineRule="auto"/>
        <w:ind w:left="1440" w:right="114"/>
        <w:jc w:val="both"/>
      </w:pPr>
      <w:r w:rsidRPr="00F973D9">
        <w:rPr>
          <w:rFonts w:eastAsia="Times New Roman"/>
          <w:lang w:val="en-GB"/>
        </w:rPr>
        <w:t>South Africa</w:t>
      </w:r>
      <w:hyperlink w:anchor="_bookmark31" w:history="1">
        <w:r w:rsidRPr="00F973D9">
          <w:rPr>
            <w:rFonts w:eastAsia="Times New Roman"/>
            <w:color w:val="0000FF"/>
            <w:position w:val="8"/>
            <w:u w:val="single"/>
            <w:lang w:val="en-GB"/>
          </w:rPr>
          <w:t>3</w:t>
        </w:r>
      </w:hyperlink>
      <w:r w:rsidRPr="00F973D9">
        <w:rPr>
          <w:rFonts w:eastAsia="Times New Roman"/>
          <w:lang w:val="en-GB"/>
        </w:rPr>
        <w:t>, Angola, Benin, Botswana, Burkina Faso, Burundi, Central African Republic, Cameroon, Cape Verde, Chad, Comoros Islands, Congo, Côte d'Ivoire, Democratic Republic of the Congo, Djibouti, Eritrea, Ethiopia, Gabon, Gambia, Ghana, Guinea, Guinea-Bissau, Equatorial Guinea, Kenya, Lesotho, Liberia, Madagascar, Malawi, Mali, Mauritius, Mauritania, Mozambique, Namibia, Niger, Nigeria, Uganda, Rwanda, Sao Tome and Principe, Senegal, Seychelles, Sierra Leone, Somalia, Sudan, Swaziland, Tanzania, Togo, Zambia and Zimbabwe.</w:t>
      </w:r>
    </w:p>
    <w:p w14:paraId="7F4D39B7" w14:textId="77777777" w:rsidR="00457897" w:rsidRPr="00F973D9" w:rsidRDefault="00457897" w:rsidP="00457897">
      <w:pPr>
        <w:widowControl w:val="0"/>
        <w:spacing w:after="0" w:line="240" w:lineRule="auto"/>
        <w:ind w:left="1440"/>
        <w:rPr>
          <w:rFonts w:eastAsia="Times New Roman"/>
          <w:lang w:val="en-GB"/>
        </w:rPr>
      </w:pPr>
    </w:p>
    <w:p w14:paraId="50AC1B2A" w14:textId="77777777" w:rsidR="00457897" w:rsidRPr="00F973D9" w:rsidRDefault="00091E2E" w:rsidP="00457897">
      <w:pPr>
        <w:widowControl w:val="0"/>
        <w:spacing w:after="0" w:line="240" w:lineRule="auto"/>
        <w:ind w:left="1440"/>
        <w:rPr>
          <w:rFonts w:eastAsia="Times New Roman"/>
          <w:lang w:val="en-GB"/>
        </w:rPr>
      </w:pPr>
      <w:r>
        <w:rPr>
          <w:noProof/>
        </w:rPr>
        <mc:AlternateContent>
          <mc:Choice Requires="wpg">
            <w:drawing>
              <wp:inline distT="0" distB="0" distL="0" distR="0" wp14:anchorId="3339642F" wp14:editId="3BC52C1A">
                <wp:extent cx="1837055" cy="8255"/>
                <wp:effectExtent l="9525" t="6350" r="1164261070" b="4445"/>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8255"/>
                          <a:chOff x="0" y="0"/>
                          <a:chExt cx="18370" cy="82"/>
                        </a:xfrm>
                      </wpg:grpSpPr>
                      <wpg:grpSp>
                        <wpg:cNvPr id="2" name="Group 11"/>
                        <wpg:cNvGrpSpPr>
                          <a:grpSpLocks/>
                        </wpg:cNvGrpSpPr>
                        <wpg:grpSpPr bwMode="auto">
                          <a:xfrm>
                            <a:off x="0" y="0"/>
                            <a:ext cx="18363" cy="75"/>
                            <a:chOff x="0" y="0"/>
                            <a:chExt cx="0" cy="0"/>
                          </a:xfrm>
                        </wpg:grpSpPr>
                        <wps:wsp>
                          <wps:cNvPr id="3" name="Freeform 12"/>
                          <wps:cNvSpPr>
                            <a:spLocks/>
                          </wps:cNvSpPr>
                          <wps:spPr bwMode="auto">
                            <a:xfrm>
                              <a:off x="0" y="0"/>
                              <a:ext cx="1836360" cy="7560"/>
                            </a:xfrm>
                            <a:custGeom>
                              <a:avLst/>
                              <a:gdLst>
                                <a:gd name="T0" fmla="*/ 0 w 2880"/>
                                <a:gd name="T1" fmla="*/ 0 h 2"/>
                                <a:gd name="T2" fmla="*/ 2880 w 2880"/>
                                <a:gd name="T3" fmla="*/ 0 h 2"/>
                              </a:gdLst>
                              <a:ahLst/>
                              <a:cxnLst>
                                <a:cxn ang="0">
                                  <a:pos x="T0" y="T1"/>
                                </a:cxn>
                                <a:cxn ang="0">
                                  <a:pos x="T2" y="T3"/>
                                </a:cxn>
                              </a:cxnLst>
                              <a:rect l="0" t="0" r="r" b="b"/>
                              <a:pathLst>
                                <a:path w="2880" h="2">
                                  <a:moveTo>
                                    <a:pt x="0" y="0"/>
                                  </a:moveTo>
                                  <a:lnTo>
                                    <a:pt x="2880" y="0"/>
                                  </a:lnTo>
                                </a:path>
                              </a:pathLst>
                            </a:custGeom>
                            <a:noFill/>
                            <a:ln w="68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9D1E1A5" id="Group 10" o:spid="_x0000_s1026" style="width:144.65pt;height:.65pt;mso-position-horizontal-relative:char;mso-position-vertical-relative:line" coordsize="183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">
                <v:group id="Group 11" o:spid="_x0000_s1027" style="position:absolute;width:18363;height:75"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width:1836360;height:7560;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" path="m,l2880,e" filled="f" strokeweight=".19mm">
                    <v:path arrowok="t" o:connecttype="custom" o:connectlocs="0,0;1836360,0" o:connectangles="0,0"/>
                  </v:shape>
                </v:group>
                <w10:anchorlock/>
              </v:group>
            </w:pict>
          </mc:Fallback>
        </mc:AlternateContent>
      </w:r>
    </w:p>
    <w:p w14:paraId="759AF37F" w14:textId="77777777" w:rsidR="00457897" w:rsidRPr="00F973D9" w:rsidRDefault="00457897" w:rsidP="00457897">
      <w:pPr>
        <w:widowControl w:val="0"/>
        <w:spacing w:after="0" w:line="240" w:lineRule="auto"/>
        <w:ind w:left="270" w:hanging="270"/>
        <w:jc w:val="both"/>
        <w:rPr>
          <w:rFonts w:eastAsia="Times New Roman"/>
          <w:sz w:val="18"/>
          <w:szCs w:val="18"/>
          <w:lang w:val="en-GB"/>
        </w:rPr>
      </w:pPr>
      <w:r w:rsidRPr="00F973D9">
        <w:rPr>
          <w:rFonts w:eastAsia="Times New Roman"/>
          <w:position w:val="7"/>
          <w:sz w:val="18"/>
          <w:szCs w:val="18"/>
          <w:lang w:val="en-GB"/>
        </w:rPr>
        <w:t xml:space="preserve">1 </w:t>
      </w:r>
      <w:r w:rsidRPr="00F973D9">
        <w:rPr>
          <w:rFonts w:eastAsia="Times New Roman"/>
          <w:position w:val="7"/>
          <w:sz w:val="18"/>
          <w:szCs w:val="18"/>
          <w:lang w:val="en-GB"/>
        </w:rPr>
        <w:tab/>
      </w:r>
      <w:r w:rsidRPr="00F973D9">
        <w:rPr>
          <w:rFonts w:eastAsia="Times New Roman"/>
          <w:sz w:val="18"/>
          <w:szCs w:val="18"/>
          <w:lang w:val="en-GB"/>
        </w:rPr>
        <w:t>Note some countries may be eligible by virtue of more than one category</w:t>
      </w:r>
    </w:p>
    <w:p w14:paraId="547C35CA" w14:textId="77777777" w:rsidR="00457897" w:rsidRPr="00F973D9" w:rsidRDefault="00457897" w:rsidP="00457897">
      <w:pPr>
        <w:widowControl w:val="0"/>
        <w:spacing w:after="0" w:line="240" w:lineRule="auto"/>
        <w:ind w:left="270" w:right="114" w:hanging="270"/>
        <w:jc w:val="both"/>
        <w:rPr>
          <w:rFonts w:eastAsia="Times New Roman"/>
          <w:sz w:val="18"/>
          <w:szCs w:val="18"/>
          <w:lang w:val="en-GB"/>
        </w:rPr>
      </w:pPr>
      <w:r w:rsidRPr="00F973D9">
        <w:rPr>
          <w:rFonts w:eastAsia="Times New Roman"/>
          <w:position w:val="6"/>
          <w:sz w:val="18"/>
          <w:szCs w:val="18"/>
          <w:lang w:val="en-GB"/>
        </w:rPr>
        <w:t xml:space="preserve">2 </w:t>
      </w:r>
      <w:r w:rsidRPr="00F973D9">
        <w:rPr>
          <w:rFonts w:eastAsia="Times New Roman"/>
          <w:position w:val="6"/>
          <w:sz w:val="18"/>
          <w:szCs w:val="18"/>
          <w:lang w:val="en-GB"/>
        </w:rPr>
        <w:tab/>
      </w:r>
      <w:r w:rsidRPr="00F973D9">
        <w:rPr>
          <w:rFonts w:eastAsia="Times New Roman"/>
          <w:sz w:val="18"/>
          <w:szCs w:val="18"/>
          <w:lang w:val="en-GB"/>
        </w:rPr>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 - EC customs cooperation committee of 30 June 2004 and Decision No 4/2005 of the ACP-EC customs cooperation committee of 13 April 2005).</w:t>
      </w:r>
    </w:p>
    <w:p w14:paraId="3C285A87" w14:textId="77777777" w:rsidR="00457897" w:rsidRPr="00F973D9" w:rsidRDefault="00457897" w:rsidP="00457897">
      <w:pPr>
        <w:widowControl w:val="0"/>
        <w:spacing w:after="0" w:line="240" w:lineRule="auto"/>
        <w:ind w:left="270" w:right="115" w:hanging="270"/>
        <w:jc w:val="both"/>
        <w:rPr>
          <w:rFonts w:eastAsia="Times New Roman"/>
          <w:sz w:val="18"/>
          <w:szCs w:val="18"/>
          <w:lang w:val="en-GB"/>
        </w:rPr>
      </w:pPr>
      <w:r w:rsidRPr="00F973D9">
        <w:rPr>
          <w:rFonts w:eastAsia="Times New Roman"/>
          <w:position w:val="6"/>
          <w:sz w:val="16"/>
          <w:szCs w:val="16"/>
          <w:lang w:val="en-GB"/>
        </w:rPr>
        <w:t>3</w:t>
      </w:r>
      <w:r w:rsidRPr="00F973D9">
        <w:rPr>
          <w:rFonts w:eastAsia="Times New Roman"/>
          <w:position w:val="6"/>
          <w:sz w:val="18"/>
          <w:szCs w:val="18"/>
          <w:lang w:val="en-GB"/>
        </w:rPr>
        <w:tab/>
      </w:r>
      <w:r w:rsidRPr="00F973D9">
        <w:rPr>
          <w:rFonts w:eastAsia="Times New Roman"/>
          <w:sz w:val="18"/>
          <w:szCs w:val="18"/>
          <w:lang w:val="en-GB"/>
        </w:rPr>
        <w:t>Natural and legal South African persons are eligible to participate in contracts financed by the 10th/11th EDF. However, the 10th/11th EDF does not finance contracts in South Africa.</w:t>
      </w:r>
    </w:p>
    <w:p w14:paraId="7325C634" w14:textId="77777777" w:rsidR="00457897" w:rsidRPr="00F973D9" w:rsidRDefault="00457897" w:rsidP="00457897">
      <w:pPr>
        <w:widowControl w:val="0"/>
        <w:spacing w:after="0" w:line="240" w:lineRule="auto"/>
        <w:ind w:left="1440"/>
        <w:jc w:val="both"/>
        <w:rPr>
          <w:rFonts w:eastAsia="Times New Roman"/>
          <w:b/>
          <w:lang w:val="en-GB"/>
        </w:rPr>
      </w:pPr>
      <w:r w:rsidRPr="00F973D9">
        <w:rPr>
          <w:rFonts w:eastAsia="Times New Roman"/>
          <w:b/>
          <w:lang w:val="en-GB"/>
        </w:rPr>
        <w:lastRenderedPageBreak/>
        <w:t>Caribbean:</w:t>
      </w:r>
    </w:p>
    <w:p w14:paraId="0B31BEF1" w14:textId="77777777" w:rsidR="00457897" w:rsidRPr="00F973D9" w:rsidRDefault="00457897" w:rsidP="00457897">
      <w:pPr>
        <w:widowControl w:val="0"/>
        <w:spacing w:after="0" w:line="240" w:lineRule="auto"/>
        <w:ind w:left="1440"/>
        <w:rPr>
          <w:rFonts w:eastAsia="Times New Roman"/>
          <w:lang w:val="en-GB"/>
        </w:rPr>
      </w:pPr>
    </w:p>
    <w:p w14:paraId="0E76D562" w14:textId="77777777" w:rsidR="00457897" w:rsidRPr="00F973D9" w:rsidRDefault="00457897" w:rsidP="00457897">
      <w:pPr>
        <w:spacing w:after="0" w:line="240" w:lineRule="auto"/>
        <w:ind w:left="1440" w:right="115"/>
        <w:jc w:val="both"/>
        <w:rPr>
          <w:rFonts w:eastAsia="Times New Roman"/>
          <w:lang w:val="en-GB"/>
        </w:rPr>
      </w:pPr>
      <w:r w:rsidRPr="00F973D9">
        <w:rPr>
          <w:rFonts w:eastAsia="Times New Roman"/>
          <w:lang w:val="en-GB"/>
        </w:rPr>
        <w:t>Antigua and Barbuda, Bahamas, Barbados, Belize, Dominica, Dominican Republic, Grenada, Guyana, Haiti, Jamaica, Saint Kitts and Nevis, Saint Lucia, Saint Vincent and the Grenadines, Suriname, Trinidad and Tobago.</w:t>
      </w:r>
    </w:p>
    <w:p w14:paraId="7FE4BC0E" w14:textId="77777777" w:rsidR="00457897" w:rsidRPr="00F973D9" w:rsidRDefault="00457897" w:rsidP="00457897">
      <w:pPr>
        <w:widowControl w:val="0"/>
        <w:spacing w:after="0" w:line="240" w:lineRule="auto"/>
        <w:ind w:left="1440"/>
        <w:jc w:val="both"/>
        <w:rPr>
          <w:rFonts w:eastAsia="Times New Roman"/>
          <w:b/>
          <w:spacing w:val="-1"/>
          <w:lang w:val="en-GB"/>
        </w:rPr>
      </w:pPr>
    </w:p>
    <w:p w14:paraId="050F72C7" w14:textId="77777777" w:rsidR="00457897" w:rsidRPr="00F973D9" w:rsidRDefault="00457897" w:rsidP="00457897">
      <w:pPr>
        <w:widowControl w:val="0"/>
        <w:spacing w:after="0" w:line="240" w:lineRule="auto"/>
        <w:ind w:left="1440"/>
        <w:jc w:val="both"/>
        <w:rPr>
          <w:rFonts w:eastAsia="Times New Roman"/>
          <w:b/>
          <w:lang w:val="en-GB"/>
        </w:rPr>
      </w:pPr>
      <w:r w:rsidRPr="00F973D9">
        <w:rPr>
          <w:rFonts w:eastAsia="Times New Roman"/>
          <w:b/>
          <w:spacing w:val="-1"/>
          <w:lang w:val="en-GB"/>
        </w:rPr>
        <w:t>Pacific:</w:t>
      </w:r>
    </w:p>
    <w:p w14:paraId="3CB3025A" w14:textId="77777777" w:rsidR="00457897" w:rsidRPr="00F973D9" w:rsidRDefault="00457897" w:rsidP="00457897">
      <w:pPr>
        <w:widowControl w:val="0"/>
        <w:spacing w:after="0" w:line="240" w:lineRule="auto"/>
        <w:ind w:left="1440"/>
        <w:rPr>
          <w:rFonts w:eastAsia="Times New Roman"/>
          <w:lang w:val="en-GB"/>
        </w:rPr>
      </w:pPr>
    </w:p>
    <w:p w14:paraId="3A6E0A2B" w14:textId="77777777" w:rsidR="00457897" w:rsidRPr="00F973D9" w:rsidRDefault="00457897" w:rsidP="00457897">
      <w:pPr>
        <w:spacing w:after="0" w:line="240" w:lineRule="auto"/>
        <w:ind w:left="1440" w:right="116"/>
        <w:jc w:val="both"/>
        <w:rPr>
          <w:rFonts w:eastAsia="Times New Roman"/>
          <w:lang w:val="en-GB"/>
        </w:rPr>
      </w:pPr>
      <w:r w:rsidRPr="00F973D9">
        <w:rPr>
          <w:rFonts w:eastAsia="Times New Roman"/>
          <w:lang w:val="en-GB"/>
        </w:rPr>
        <w:t>Cook Islands, East Timor, Fiji, Kiribati, Marshall Islands, Micronesia, Nauru, Niue, Palau, Papua New Guinea, the Solomon Islands, Western Samoa, Tonga, Tuvalu, Vanuatu.</w:t>
      </w:r>
    </w:p>
    <w:p w14:paraId="2A88D470" w14:textId="77777777" w:rsidR="00457897" w:rsidRPr="00F973D9" w:rsidRDefault="00457897" w:rsidP="00457897">
      <w:pPr>
        <w:widowControl w:val="0"/>
        <w:spacing w:after="0" w:line="240" w:lineRule="auto"/>
        <w:ind w:left="1440"/>
        <w:rPr>
          <w:rFonts w:eastAsia="Times New Roman"/>
          <w:lang w:val="en-GB"/>
        </w:rPr>
      </w:pPr>
    </w:p>
    <w:p w14:paraId="5E4A84BB" w14:textId="77777777" w:rsidR="00457897" w:rsidRPr="00F973D9" w:rsidRDefault="00457897" w:rsidP="00457897">
      <w:pPr>
        <w:widowControl w:val="0"/>
        <w:spacing w:after="0" w:line="240" w:lineRule="auto"/>
        <w:ind w:left="1440"/>
        <w:jc w:val="both"/>
        <w:rPr>
          <w:rFonts w:eastAsia="Times New Roman"/>
          <w:lang w:val="en-GB"/>
        </w:rPr>
      </w:pPr>
      <w:r w:rsidRPr="00F973D9">
        <w:rPr>
          <w:rFonts w:eastAsia="Times New Roman"/>
          <w:b/>
          <w:lang w:val="en-GB"/>
        </w:rPr>
        <w:t>Overseas Countries and Territories</w:t>
      </w:r>
      <w:r w:rsidRPr="00F973D9">
        <w:rPr>
          <w:rFonts w:eastAsia="Times New Roman"/>
          <w:lang w:val="en-GB"/>
        </w:rPr>
        <w:t>:</w:t>
      </w:r>
    </w:p>
    <w:p w14:paraId="6BD2F50A" w14:textId="77777777" w:rsidR="00457897" w:rsidRPr="00F973D9" w:rsidRDefault="00457897" w:rsidP="00457897">
      <w:pPr>
        <w:widowControl w:val="0"/>
        <w:spacing w:after="0" w:line="240" w:lineRule="auto"/>
        <w:ind w:left="1440"/>
        <w:rPr>
          <w:rFonts w:eastAsia="Times New Roman"/>
          <w:lang w:val="en-GB"/>
        </w:rPr>
      </w:pPr>
    </w:p>
    <w:p w14:paraId="170F6B2F" w14:textId="77777777"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Anguilla, Antarctic, Netherlands Antilles, Aruba, British Indian Ocean Territory, British Virgin Islands, Cayman Islands, Falkland Islands (Malvinas), French Polynesia, French Southern Territories, Greenland, Mayotte, Montserrat, New Caledonia, Pitcairn, Saint Helena, Saint Pierre and Miquelon, South Georgia and South Sandwich Islands, Turks and Caicos, Wallis and Futuna Islands.</w:t>
      </w:r>
    </w:p>
    <w:p w14:paraId="458FA8F0" w14:textId="77777777" w:rsidR="00457897" w:rsidRPr="00F973D9" w:rsidRDefault="00457897" w:rsidP="00457897">
      <w:pPr>
        <w:widowControl w:val="0"/>
        <w:spacing w:after="0" w:line="240" w:lineRule="auto"/>
        <w:ind w:left="1440"/>
        <w:rPr>
          <w:rFonts w:eastAsia="Times New Roman"/>
          <w:lang w:val="en-GB"/>
        </w:rPr>
      </w:pPr>
    </w:p>
    <w:p w14:paraId="3350E83D" w14:textId="77777777" w:rsidR="00457897" w:rsidRPr="00F973D9" w:rsidRDefault="00457897" w:rsidP="00457897">
      <w:pPr>
        <w:widowControl w:val="0"/>
        <w:numPr>
          <w:ilvl w:val="1"/>
          <w:numId w:val="5"/>
        </w:numPr>
        <w:spacing w:after="160" w:line="254" w:lineRule="auto"/>
        <w:rPr>
          <w:rFonts w:eastAsia="Times New Roman"/>
          <w:lang w:val="en-GB"/>
        </w:rPr>
      </w:pPr>
      <w:r w:rsidRPr="00F973D9">
        <w:rPr>
          <w:rFonts w:eastAsia="Times New Roman"/>
          <w:lang w:val="en-GB"/>
        </w:rPr>
        <w:t>A Member State of the European Union:</w:t>
      </w:r>
    </w:p>
    <w:p w14:paraId="41EA38F6" w14:textId="77777777" w:rsidR="00457897" w:rsidRPr="00F973D9" w:rsidRDefault="00457897" w:rsidP="00457897">
      <w:pPr>
        <w:widowControl w:val="0"/>
        <w:spacing w:after="0" w:line="240" w:lineRule="auto"/>
        <w:ind w:left="1440"/>
        <w:rPr>
          <w:rFonts w:eastAsia="Times New Roman"/>
          <w:sz w:val="20"/>
          <w:szCs w:val="20"/>
          <w:lang w:val="en-GB"/>
        </w:rPr>
      </w:pPr>
    </w:p>
    <w:p w14:paraId="5198162C" w14:textId="77777777"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Austria, Belgium, Bulgaria, Croatia, Czech republic, Cyprus, Denmark, Estonia, Finland, France, Germany, Greece, Hungary, Ireland, Italy, Latvia, Lithuania, Luxembourg, Malta, Netherlands, Poland, Portugal, Romania, Slovakia, Slovenia, Spain, Sweden, United Kingdom.</w:t>
      </w:r>
    </w:p>
    <w:p w14:paraId="529789E6" w14:textId="77777777" w:rsidR="00457897" w:rsidRPr="00F973D9" w:rsidRDefault="00457897" w:rsidP="00457897">
      <w:pPr>
        <w:widowControl w:val="0"/>
        <w:spacing w:after="0" w:line="240" w:lineRule="auto"/>
        <w:ind w:left="1440"/>
        <w:rPr>
          <w:rFonts w:eastAsia="Times New Roman"/>
          <w:sz w:val="20"/>
          <w:szCs w:val="20"/>
          <w:lang w:val="en-GB"/>
        </w:rPr>
      </w:pPr>
    </w:p>
    <w:p w14:paraId="1A921652" w14:textId="77777777" w:rsidR="00457897" w:rsidRPr="00F973D9" w:rsidRDefault="00457897" w:rsidP="00457897">
      <w:pPr>
        <w:widowControl w:val="0"/>
        <w:spacing w:after="0" w:line="240" w:lineRule="auto"/>
        <w:ind w:left="1440"/>
        <w:jc w:val="both"/>
        <w:rPr>
          <w:rFonts w:eastAsia="Times New Roman"/>
          <w:b/>
          <w:lang w:val="en-GB"/>
        </w:rPr>
      </w:pPr>
      <w:r w:rsidRPr="00F973D9">
        <w:rPr>
          <w:rFonts w:eastAsia="Times New Roman"/>
          <w:b/>
          <w:lang w:val="en-GB"/>
        </w:rPr>
        <w:t>An official candidate country of the European Union:</w:t>
      </w:r>
    </w:p>
    <w:p w14:paraId="716F127D" w14:textId="77777777" w:rsidR="00457897" w:rsidRPr="00F973D9" w:rsidRDefault="00457897" w:rsidP="00457897">
      <w:pPr>
        <w:widowControl w:val="0"/>
        <w:spacing w:after="0" w:line="240" w:lineRule="auto"/>
        <w:ind w:left="1440"/>
        <w:rPr>
          <w:rFonts w:eastAsia="Times New Roman"/>
          <w:b/>
          <w:lang w:val="en-GB"/>
        </w:rPr>
      </w:pPr>
    </w:p>
    <w:p w14:paraId="4D254949" w14:textId="77777777" w:rsidR="00457897" w:rsidRPr="00F973D9" w:rsidRDefault="00457897" w:rsidP="00457897">
      <w:pPr>
        <w:spacing w:after="0" w:line="240" w:lineRule="auto"/>
        <w:ind w:left="1440"/>
        <w:jc w:val="both"/>
        <w:rPr>
          <w:rFonts w:eastAsia="Times New Roman"/>
          <w:lang w:val="en-GB"/>
        </w:rPr>
      </w:pPr>
      <w:r w:rsidRPr="00F973D9">
        <w:rPr>
          <w:rFonts w:eastAsia="Times New Roman"/>
          <w:lang w:val="en-GB"/>
        </w:rPr>
        <w:t>The Former Yugoslav Republic of Macedonia, Turkey, Iceland, Montenegro.</w:t>
      </w:r>
    </w:p>
    <w:p w14:paraId="2A79435F" w14:textId="77777777" w:rsidR="00457897" w:rsidRPr="00F973D9" w:rsidRDefault="00457897" w:rsidP="00457897">
      <w:pPr>
        <w:widowControl w:val="0"/>
        <w:spacing w:after="0" w:line="240" w:lineRule="auto"/>
        <w:ind w:left="1440"/>
        <w:rPr>
          <w:rFonts w:eastAsia="Times New Roman"/>
          <w:sz w:val="20"/>
          <w:szCs w:val="20"/>
          <w:lang w:val="en-GB"/>
        </w:rPr>
      </w:pPr>
    </w:p>
    <w:p w14:paraId="091A62CA" w14:textId="77777777" w:rsidR="00457897" w:rsidRPr="00F973D9" w:rsidRDefault="00457897" w:rsidP="00457897">
      <w:pPr>
        <w:widowControl w:val="0"/>
        <w:spacing w:after="0" w:line="240" w:lineRule="auto"/>
        <w:ind w:left="1440"/>
        <w:jc w:val="both"/>
        <w:rPr>
          <w:rFonts w:eastAsia="Times New Roman"/>
          <w:lang w:val="en-GB"/>
        </w:rPr>
      </w:pPr>
      <w:r w:rsidRPr="00F973D9">
        <w:rPr>
          <w:rFonts w:eastAsia="Times New Roman"/>
          <w:b/>
          <w:lang w:val="en-GB"/>
        </w:rPr>
        <w:t>A Member State of the European Economic Area</w:t>
      </w:r>
      <w:r w:rsidRPr="00F973D9">
        <w:rPr>
          <w:rFonts w:eastAsia="Times New Roman"/>
          <w:lang w:val="en-GB"/>
        </w:rPr>
        <w:t>: Iceland, Lichtenstein, Norway.</w:t>
      </w:r>
    </w:p>
    <w:p w14:paraId="544C999A" w14:textId="77777777" w:rsidR="00457897" w:rsidRPr="00F973D9" w:rsidRDefault="00457897" w:rsidP="00457897">
      <w:pPr>
        <w:widowControl w:val="0"/>
        <w:spacing w:after="0" w:line="240" w:lineRule="auto"/>
        <w:ind w:left="1440"/>
        <w:rPr>
          <w:rFonts w:eastAsia="Times New Roman"/>
          <w:sz w:val="20"/>
          <w:szCs w:val="20"/>
          <w:lang w:val="en-GB"/>
        </w:rPr>
      </w:pPr>
    </w:p>
    <w:p w14:paraId="19AD87F5" w14:textId="77777777" w:rsidR="00457897" w:rsidRPr="00F973D9" w:rsidRDefault="00457897" w:rsidP="00457897">
      <w:pPr>
        <w:widowControl w:val="0"/>
        <w:numPr>
          <w:ilvl w:val="1"/>
          <w:numId w:val="5"/>
        </w:numPr>
        <w:tabs>
          <w:tab w:val="left" w:pos="1541"/>
        </w:tabs>
        <w:spacing w:after="160" w:line="254" w:lineRule="auto"/>
        <w:ind w:right="115" w:hanging="720"/>
        <w:jc w:val="both"/>
        <w:rPr>
          <w:rFonts w:eastAsia="Times New Roman"/>
          <w:lang w:val="en-GB"/>
        </w:rPr>
      </w:pPr>
      <w:r w:rsidRPr="00F973D9">
        <w:rPr>
          <w:rFonts w:eastAsia="Times New Roman"/>
          <w:lang w:val="en-GB"/>
        </w:rPr>
        <w:t>All natural persons who are nationals of, or legal persons who are established in, a Least Developed Country as defined by the United Nations:</w:t>
      </w:r>
    </w:p>
    <w:p w14:paraId="314581C5" w14:textId="77777777" w:rsidR="00457897" w:rsidRPr="00F973D9" w:rsidRDefault="00457897" w:rsidP="00457897">
      <w:pPr>
        <w:widowControl w:val="0"/>
        <w:spacing w:after="0" w:line="240" w:lineRule="auto"/>
        <w:ind w:left="1440"/>
        <w:rPr>
          <w:rFonts w:eastAsia="Times New Roman"/>
          <w:sz w:val="20"/>
          <w:szCs w:val="20"/>
          <w:lang w:val="en-GB"/>
        </w:rPr>
      </w:pPr>
    </w:p>
    <w:p w14:paraId="52902C25" w14:textId="77777777" w:rsidR="00457897" w:rsidRPr="00F973D9" w:rsidRDefault="00457897" w:rsidP="00457897">
      <w:pPr>
        <w:spacing w:after="0" w:line="240" w:lineRule="auto"/>
        <w:ind w:left="1440" w:right="114"/>
        <w:jc w:val="both"/>
        <w:rPr>
          <w:rFonts w:eastAsia="Times New Roman"/>
          <w:lang w:val="en-GB"/>
        </w:rPr>
      </w:pPr>
      <w:r w:rsidRPr="00F973D9">
        <w:rPr>
          <w:rFonts w:eastAsia="Times New Roman"/>
          <w:lang w:val="en-GB"/>
        </w:rPr>
        <w:t>Afghanistan, Angola, Bangladesh, Benin, Bhutan, Burkina Faso, Burundi, Cambodia, Central African Republic, Chad, Comoros, Dem. Rep. Congo, Equatorial Guinea, Eritrea, Ethiopia, Guinea, Guinea-Bissau, Haiti, Kiribati, Lao PDR, Lesotho, Liberia, Madagascar, Malawi, Mali, Mauritania, Mozambique, Myanmar, Nepal, Niger, Rwanda, Sao Tome and Principe, Senegal, Sierra Leone, Djibouti, Solomon Islands, Somalia, South Sudan, Sudan, Tanzania, The Gambia, Timor-Leste, Togo, Tuvalu, Uganda, Vanuatu, Yemen, Rep. and Zambia.</w:t>
      </w:r>
    </w:p>
    <w:p w14:paraId="7FFA6F83" w14:textId="77777777" w:rsidR="00457897" w:rsidRPr="00F973D9" w:rsidRDefault="00457897" w:rsidP="00457897">
      <w:pPr>
        <w:widowControl w:val="0"/>
        <w:spacing w:after="0" w:line="240" w:lineRule="auto"/>
        <w:ind w:left="1440"/>
        <w:rPr>
          <w:rFonts w:eastAsia="Times New Roman"/>
          <w:sz w:val="20"/>
          <w:szCs w:val="20"/>
          <w:lang w:val="en-GB"/>
        </w:rPr>
      </w:pPr>
      <w:r w:rsidRPr="00F973D9">
        <w:br w:type="page"/>
      </w:r>
    </w:p>
    <w:p w14:paraId="45950042" w14:textId="77777777" w:rsidR="00457897" w:rsidRPr="00F973D9" w:rsidRDefault="00457897" w:rsidP="00457897">
      <w:pPr>
        <w:widowControl w:val="0"/>
        <w:numPr>
          <w:ilvl w:val="1"/>
          <w:numId w:val="5"/>
        </w:numPr>
        <w:tabs>
          <w:tab w:val="left" w:pos="1541"/>
        </w:tabs>
        <w:spacing w:after="160" w:line="254" w:lineRule="auto"/>
        <w:ind w:right="113" w:hanging="720"/>
        <w:jc w:val="both"/>
        <w:rPr>
          <w:rFonts w:eastAsia="Times New Roman"/>
          <w:lang w:val="en-GB"/>
        </w:rPr>
      </w:pPr>
      <w:r w:rsidRPr="00F973D9">
        <w:rPr>
          <w:rFonts w:eastAsia="Times New Roman"/>
          <w:lang w:val="en-GB"/>
        </w:rPr>
        <w:lastRenderedPageBreak/>
        <w:t xml:space="preserve">Participation in procedures for the award of procurement contracts or grants financed from the Facility shall be open to all natural persons who are nationals of, or legal persons established in, </w:t>
      </w:r>
      <w:r w:rsidRPr="00F973D9">
        <w:rPr>
          <w:rFonts w:eastAsia="Times New Roman"/>
          <w:i/>
          <w:lang w:val="en-GB"/>
        </w:rPr>
        <w:t xml:space="preserve">any country other than those referred to in paragraph 1, where reciprocal access to external assistance has been established. </w:t>
      </w:r>
      <w:r w:rsidRPr="00F973D9">
        <w:rPr>
          <w:rFonts w:eastAsia="Times New Roman"/>
          <w:lang w:val="en-GB"/>
        </w:rPr>
        <w:t>Reciprocal access in the Least Developed Countries as defined by the United Nations (UN) shall be automatically granted to the OECD/DAC members: Australia, Austria, Belgium, Canada, Denmark, Finland, France, Germany, Greece, Ireland, Italy, Japan, Korea, Luxembourg, Netherlands, New Zealand, Norway, Portugal, Spain, Sweden, Switzerland, United Kingdom, United States.</w:t>
      </w:r>
    </w:p>
    <w:p w14:paraId="0037ADA3" w14:textId="77777777" w:rsidR="00457897" w:rsidRPr="00F973D9" w:rsidRDefault="00457897" w:rsidP="00457897">
      <w:pPr>
        <w:widowControl w:val="0"/>
        <w:spacing w:after="0" w:line="240" w:lineRule="auto"/>
        <w:ind w:left="1440"/>
        <w:rPr>
          <w:rFonts w:eastAsia="Times New Roman"/>
          <w:lang w:val="en-GB"/>
        </w:rPr>
      </w:pPr>
    </w:p>
    <w:p w14:paraId="730CE887" w14:textId="77777777" w:rsidR="00457897" w:rsidRPr="00F973D9" w:rsidRDefault="00457897" w:rsidP="00457897">
      <w:pPr>
        <w:widowControl w:val="0"/>
        <w:numPr>
          <w:ilvl w:val="0"/>
          <w:numId w:val="5"/>
        </w:numPr>
        <w:tabs>
          <w:tab w:val="left" w:pos="720"/>
        </w:tabs>
        <w:spacing w:after="160" w:line="254" w:lineRule="auto"/>
        <w:ind w:left="0" w:right="119" w:firstLine="0"/>
        <w:jc w:val="both"/>
        <w:rPr>
          <w:rFonts w:eastAsia="Times New Roman"/>
          <w:b/>
          <w:bCs/>
          <w:lang w:val="en-GB"/>
        </w:rPr>
      </w:pPr>
      <w:r w:rsidRPr="00F973D9">
        <w:rPr>
          <w:rFonts w:eastAsia="Times New Roman"/>
          <w:lang w:val="en-GB"/>
        </w:rPr>
        <w:t>Services under a contract financed from the Facility may be provided by experts of any nationality, without prejudice to the qualitative and financial requirements set out in the Bank’s procurement rules.</w:t>
      </w:r>
    </w:p>
    <w:p w14:paraId="51418A97" w14:textId="77777777" w:rsidR="00457897" w:rsidRPr="00F973D9" w:rsidRDefault="00457897" w:rsidP="00457897">
      <w:pPr>
        <w:widowControl w:val="0"/>
        <w:tabs>
          <w:tab w:val="left" w:pos="720"/>
        </w:tabs>
        <w:spacing w:after="0" w:line="240" w:lineRule="auto"/>
        <w:ind w:right="119"/>
        <w:jc w:val="both"/>
        <w:rPr>
          <w:rFonts w:eastAsia="Times New Roman"/>
          <w:b/>
          <w:bCs/>
          <w:lang w:val="en-GB"/>
        </w:rPr>
      </w:pPr>
    </w:p>
    <w:p w14:paraId="5A6E9B58" w14:textId="77777777" w:rsidR="00457897" w:rsidRPr="00F973D9" w:rsidRDefault="00457897" w:rsidP="00457897">
      <w:pPr>
        <w:widowControl w:val="0"/>
        <w:numPr>
          <w:ilvl w:val="0"/>
          <w:numId w:val="5"/>
        </w:numPr>
        <w:tabs>
          <w:tab w:val="left" w:pos="720"/>
        </w:tabs>
        <w:spacing w:after="160" w:line="254" w:lineRule="auto"/>
        <w:ind w:left="0" w:right="115" w:firstLine="0"/>
        <w:jc w:val="both"/>
        <w:rPr>
          <w:rFonts w:eastAsia="Times New Roman"/>
          <w:lang w:val="en-GB"/>
        </w:rPr>
      </w:pPr>
      <w:r w:rsidRPr="00F973D9">
        <w:rPr>
          <w:rFonts w:eastAsia="Times New Roman"/>
          <w:lang w:val="en-GB"/>
        </w:rPr>
        <w:t>Supplies and materials purchased under a contract financed from the Facility must originate in a State that is eligible under paragraph 1.  In this context, the definition of the concept of ’originating products’ shall be assessed by reference to the Bank’s prevailing procurement guidelines/procedures, and supplies originating in the EU shall include supplies originating in the Overseas Countries and Territories.</w:t>
      </w:r>
    </w:p>
    <w:p w14:paraId="604A6CAA" w14:textId="77777777" w:rsidR="00457897" w:rsidRPr="00F973D9" w:rsidRDefault="00457897" w:rsidP="00457897">
      <w:pPr>
        <w:widowControl w:val="0"/>
        <w:tabs>
          <w:tab w:val="left" w:pos="720"/>
        </w:tabs>
        <w:spacing w:after="0" w:line="240" w:lineRule="auto"/>
        <w:rPr>
          <w:rFonts w:eastAsia="Times New Roman"/>
          <w:lang w:val="en-GB"/>
        </w:rPr>
      </w:pPr>
    </w:p>
    <w:p w14:paraId="22378C9A" w14:textId="77777777" w:rsidR="00457897" w:rsidRPr="00F973D9" w:rsidRDefault="00457897" w:rsidP="00457897">
      <w:pPr>
        <w:widowControl w:val="0"/>
        <w:numPr>
          <w:ilvl w:val="0"/>
          <w:numId w:val="5"/>
        </w:numPr>
        <w:tabs>
          <w:tab w:val="left" w:pos="720"/>
        </w:tabs>
        <w:spacing w:after="160" w:line="254" w:lineRule="auto"/>
        <w:ind w:left="0" w:right="116" w:firstLine="0"/>
        <w:jc w:val="both"/>
        <w:rPr>
          <w:rFonts w:eastAsia="Times New Roman"/>
          <w:lang w:val="en-GB"/>
        </w:rPr>
      </w:pPr>
      <w:r w:rsidRPr="00F973D9">
        <w:rPr>
          <w:rFonts w:eastAsia="Times New Roman"/>
          <w:lang w:val="en-GB"/>
        </w:rPr>
        <w:t>Whenever the Facility finances an operation implemented through an international organisation, participation in procedures for the award of procurement contracts or grants shall be open to all natural and legal persons who are eligible under paragraphs 1, care being taken to ensure equal treatment of all donors. The same rules apply for supplies and materials.</w:t>
      </w:r>
    </w:p>
    <w:p w14:paraId="4819B76D" w14:textId="77777777" w:rsidR="00457897" w:rsidRPr="00F973D9" w:rsidRDefault="00457897" w:rsidP="00457897">
      <w:pPr>
        <w:widowControl w:val="0"/>
        <w:tabs>
          <w:tab w:val="left" w:pos="720"/>
        </w:tabs>
        <w:spacing w:after="0" w:line="240" w:lineRule="auto"/>
        <w:rPr>
          <w:rFonts w:eastAsia="Times New Roman"/>
          <w:lang w:val="en-GB"/>
        </w:rPr>
      </w:pPr>
    </w:p>
    <w:p w14:paraId="1D9EB561" w14:textId="77777777" w:rsidR="00457897" w:rsidRPr="00F973D9" w:rsidRDefault="00457897" w:rsidP="00457897">
      <w:pPr>
        <w:widowControl w:val="0"/>
        <w:numPr>
          <w:ilvl w:val="0"/>
          <w:numId w:val="5"/>
        </w:numPr>
        <w:tabs>
          <w:tab w:val="left" w:pos="720"/>
        </w:tabs>
        <w:spacing w:after="160" w:line="254" w:lineRule="auto"/>
        <w:ind w:left="0" w:right="113" w:firstLine="0"/>
        <w:jc w:val="both"/>
        <w:rPr>
          <w:rFonts w:eastAsia="Times New Roman"/>
          <w:lang w:val="en-GB"/>
        </w:rPr>
      </w:pPr>
      <w:r w:rsidRPr="00F973D9">
        <w:rPr>
          <w:rFonts w:eastAsia="Times New Roman"/>
          <w:lang w:val="en-GB"/>
        </w:rPr>
        <w:t>Whenever the Facility finances an operation implemented as part of a regional initiative, participation in procedures for the award of procurement contracts or grants shall be open to all natural and legal persons who are eligible under paragraph 1, and to all natural and legal persons from a country participating in the relevant initiative.  The same rules apply for supplies and materials.</w:t>
      </w:r>
    </w:p>
    <w:p w14:paraId="6CA1097A" w14:textId="77777777" w:rsidR="00457897" w:rsidRPr="00F973D9" w:rsidRDefault="00457897" w:rsidP="00457897">
      <w:pPr>
        <w:widowControl w:val="0"/>
        <w:tabs>
          <w:tab w:val="left" w:pos="720"/>
        </w:tabs>
        <w:spacing w:after="0" w:line="240" w:lineRule="auto"/>
        <w:rPr>
          <w:rFonts w:eastAsia="Times New Roman"/>
          <w:lang w:val="en-GB"/>
        </w:rPr>
      </w:pPr>
    </w:p>
    <w:p w14:paraId="78F572D8" w14:textId="77777777" w:rsidR="00457897" w:rsidRPr="00F973D9" w:rsidRDefault="00457897" w:rsidP="00457897">
      <w:pPr>
        <w:widowControl w:val="0"/>
        <w:numPr>
          <w:ilvl w:val="0"/>
          <w:numId w:val="5"/>
        </w:numPr>
        <w:tabs>
          <w:tab w:val="left" w:pos="720"/>
        </w:tabs>
        <w:spacing w:after="160" w:line="254" w:lineRule="auto"/>
        <w:ind w:left="0" w:right="113" w:firstLine="0"/>
        <w:jc w:val="both"/>
        <w:rPr>
          <w:rFonts w:eastAsia="Times New Roman"/>
          <w:lang w:val="en-GB"/>
        </w:rPr>
      </w:pPr>
      <w:r w:rsidRPr="00F973D9">
        <w:rPr>
          <w:rFonts w:eastAsia="Times New Roman"/>
          <w:lang w:val="en-GB"/>
        </w:rPr>
        <w:t>Whenever the Facility finances an operation co-financed with a third entity, participation in procedures for the award of procurement contracts or grants shall be open to all natural and legal persons eligible under paragraph 1, and to all persons eligible under the rules of the third entity. The same rules shall apply to supplies and materials.</w:t>
      </w:r>
    </w:p>
    <w:p w14:paraId="7B43CD77" w14:textId="77777777" w:rsidR="00457897" w:rsidRPr="00F973D9" w:rsidRDefault="00457897" w:rsidP="00457897">
      <w:pPr>
        <w:widowControl w:val="0"/>
        <w:spacing w:after="0" w:line="240" w:lineRule="auto"/>
        <w:rPr>
          <w:rFonts w:eastAsia="Times New Roman"/>
          <w:lang w:val="en-GB"/>
        </w:rPr>
      </w:pPr>
    </w:p>
    <w:p w14:paraId="732E37F4" w14:textId="77777777" w:rsidR="00457897" w:rsidRPr="00F973D9" w:rsidRDefault="00457897" w:rsidP="00457897">
      <w:pPr>
        <w:spacing w:after="0" w:line="240" w:lineRule="auto"/>
        <w:ind w:right="114"/>
        <w:jc w:val="both"/>
        <w:rPr>
          <w:rFonts w:eastAsia="Times New Roman"/>
          <w:lang w:val="en-GB"/>
        </w:rPr>
      </w:pPr>
      <w:r w:rsidRPr="00F973D9">
        <w:rPr>
          <w:rFonts w:eastAsia="Times New Roman"/>
          <w:b/>
          <w:bCs/>
          <w:lang w:val="en-GB"/>
        </w:rPr>
        <w:t>Caveat:</w:t>
      </w:r>
      <w:r w:rsidRPr="00F973D9">
        <w:rPr>
          <w:rFonts w:eastAsia="Times New Roman"/>
          <w:b/>
          <w:bCs/>
          <w:lang w:val="en-GB"/>
        </w:rPr>
        <w:tab/>
      </w:r>
      <w:r w:rsidRPr="00F973D9">
        <w:rPr>
          <w:rFonts w:eastAsia="Times New Roman"/>
          <w:lang w:val="en-GB"/>
        </w:rPr>
        <w:t>The Bank and EU eligibility requirements are subject to change by the Bank and the EU. The applicant is responsible for checking whether there have been any updates on the eligibility requirements, as well as the UN’s list of Least Developed Countries.</w:t>
      </w:r>
    </w:p>
    <w:p w14:paraId="4F2570DE" w14:textId="77777777" w:rsidR="00457897" w:rsidRPr="00F973D9" w:rsidRDefault="00457897" w:rsidP="00457897">
      <w:pPr>
        <w:spacing w:after="0" w:line="240" w:lineRule="auto"/>
        <w:ind w:right="114"/>
        <w:jc w:val="both"/>
        <w:rPr>
          <w:rFonts w:eastAsia="Times New Roman"/>
          <w:lang w:val="en-GB"/>
        </w:rPr>
      </w:pPr>
    </w:p>
    <w:p w14:paraId="6A67DDC5" w14:textId="77777777" w:rsidR="00457897" w:rsidRPr="00F973D9" w:rsidRDefault="00457897" w:rsidP="00457897">
      <w:pPr>
        <w:spacing w:after="0" w:line="240" w:lineRule="auto"/>
        <w:ind w:right="114"/>
        <w:jc w:val="both"/>
        <w:rPr>
          <w:rFonts w:eastAsia="Times New Roman"/>
          <w:lang w:val="en-GB"/>
        </w:rPr>
      </w:pPr>
    </w:p>
    <w:p w14:paraId="2DB3C8B3" w14:textId="77777777" w:rsidR="00B75892" w:rsidRDefault="00B75892">
      <w:pPr>
        <w:spacing w:after="160" w:line="259" w:lineRule="auto"/>
        <w:rPr>
          <w:szCs w:val="22"/>
        </w:rPr>
      </w:pPr>
      <w:r>
        <w:rPr>
          <w:szCs w:val="22"/>
        </w:rPr>
        <w:br w:type="page"/>
      </w:r>
      <w:bookmarkStart w:id="0" w:name="_GoBack"/>
      <w:bookmarkEnd w:id="0"/>
    </w:p>
    <w:sectPr w:rsidR="00B75892" w:rsidSect="002E0C23">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73C4"/>
    <w:multiLevelType w:val="hybridMultilevel"/>
    <w:tmpl w:val="B252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60EE"/>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3" w15:restartNumberingAfterBreak="0">
    <w:nsid w:val="2E522C1B"/>
    <w:multiLevelType w:val="hybridMultilevel"/>
    <w:tmpl w:val="72B87254"/>
    <w:lvl w:ilvl="0" w:tplc="9B16164A">
      <w:start w:val="1"/>
      <w:numFmt w:val="lowerRoman"/>
      <w:lvlText w:val="(%1)"/>
      <w:lvlJc w:val="left"/>
      <w:pPr>
        <w:ind w:left="117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BC50F2B0">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0E3FD0">
      <w:start w:val="1"/>
      <w:numFmt w:val="lowerRoman"/>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7AEBEC">
      <w:start w:val="1"/>
      <w:numFmt w:val="lowerRoman"/>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705C6C">
      <w:start w:val="1"/>
      <w:numFmt w:val="lowerRoman"/>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30B512">
      <w:start w:val="1"/>
      <w:numFmt w:val="lowerRoman"/>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E85026">
      <w:start w:val="1"/>
      <w:numFmt w:val="lowerRoman"/>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C2B78C">
      <w:start w:val="1"/>
      <w:numFmt w:val="lowerRoman"/>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2A2640">
      <w:start w:val="1"/>
      <w:numFmt w:val="lowerRoman"/>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0F6B33"/>
    <w:multiLevelType w:val="multilevel"/>
    <w:tmpl w:val="81620214"/>
    <w:lvl w:ilvl="0">
      <w:start w:val="1"/>
      <w:numFmt w:val="decimal"/>
      <w:lvlText w:val="%1."/>
      <w:lvlJc w:val="left"/>
      <w:pPr>
        <w:ind w:left="119" w:hanging="721"/>
      </w:pPr>
      <w:rPr>
        <w:rFonts w:ascii="Times New Roman" w:eastAsia="Times New Roman" w:hAnsi="Times New Roman" w:cs="Times New Roman"/>
        <w:b/>
        <w:sz w:val="22"/>
        <w:szCs w:val="22"/>
      </w:rPr>
    </w:lvl>
    <w:lvl w:ilvl="1">
      <w:start w:val="1"/>
      <w:numFmt w:val="lowerLetter"/>
      <w:lvlText w:val="(%2)"/>
      <w:lvlJc w:val="left"/>
      <w:pPr>
        <w:ind w:left="1540" w:hanging="721"/>
      </w:pPr>
      <w:rPr>
        <w:rFonts w:ascii="Times New Roman" w:eastAsia="Times New Roman" w:hAnsi="Times New Roman" w:cs="Times New Roman"/>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5"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6" w15:restartNumberingAfterBreak="0">
    <w:nsid w:val="37474D56"/>
    <w:multiLevelType w:val="hybridMultilevel"/>
    <w:tmpl w:val="3BD4B968"/>
    <w:styleLink w:val="ImportedStyle4"/>
    <w:lvl w:ilvl="0" w:tplc="46F6AA80">
      <w:start w:val="1"/>
      <w:numFmt w:val="lowerRoman"/>
      <w:lvlText w:val="(%1)"/>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6CDE2">
      <w:start w:val="1"/>
      <w:numFmt w:val="lowerRoman"/>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D66CEA">
      <w:start w:val="1"/>
      <w:numFmt w:val="lowerRoman"/>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0047E2">
      <w:start w:val="1"/>
      <w:numFmt w:val="lowerRoman"/>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A1E8">
      <w:start w:val="1"/>
      <w:numFmt w:val="lowerRoman"/>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458DCF4">
      <w:start w:val="1"/>
      <w:numFmt w:val="lowerRoman"/>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556EAF6">
      <w:start w:val="1"/>
      <w:numFmt w:val="lowerRoman"/>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920F0E">
      <w:start w:val="1"/>
      <w:numFmt w:val="lowerRoman"/>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85E188E">
      <w:start w:val="1"/>
      <w:numFmt w:val="lowerRoman"/>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 w15:restartNumberingAfterBreak="0">
    <w:nsid w:val="42173223"/>
    <w:multiLevelType w:val="multilevel"/>
    <w:tmpl w:val="330E2A44"/>
    <w:lvl w:ilvl="0">
      <w:start w:val="1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43E5637A"/>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9"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4C6D2F"/>
    <w:multiLevelType w:val="hybridMultilevel"/>
    <w:tmpl w:val="3630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DC7535"/>
    <w:multiLevelType w:val="hybridMultilevel"/>
    <w:tmpl w:val="17B858B8"/>
    <w:lvl w:ilvl="0" w:tplc="5D60C850">
      <w:start w:val="9"/>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2" w15:restartNumberingAfterBreak="0">
    <w:nsid w:val="4F5F39B6"/>
    <w:multiLevelType w:val="hybridMultilevel"/>
    <w:tmpl w:val="82488A1C"/>
    <w:lvl w:ilvl="0" w:tplc="D6DEA620">
      <w:start w:val="1"/>
      <w:numFmt w:val="lowerRoman"/>
      <w:lvlText w:val="(%1)"/>
      <w:lvlJc w:val="left"/>
      <w:pPr>
        <w:ind w:left="1441" w:hanging="360"/>
      </w:pPr>
      <w:rPr>
        <w:rFonts w:hint="default"/>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13" w15:restartNumberingAfterBreak="0">
    <w:nsid w:val="4FCC1BFC"/>
    <w:multiLevelType w:val="hybridMultilevel"/>
    <w:tmpl w:val="D710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C5D9F"/>
    <w:multiLevelType w:val="hybridMultilevel"/>
    <w:tmpl w:val="6D4676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0C6E4F"/>
    <w:multiLevelType w:val="hybridMultilevel"/>
    <w:tmpl w:val="5B1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90EC1"/>
    <w:multiLevelType w:val="hybridMultilevel"/>
    <w:tmpl w:val="6152EB98"/>
    <w:styleLink w:val="Bullet"/>
    <w:lvl w:ilvl="0" w:tplc="EBBC488A">
      <w:start w:val="1"/>
      <w:numFmt w:val="bullet"/>
      <w:lvlText w:val="•"/>
      <w:lvlJc w:val="left"/>
      <w:pPr>
        <w:tabs>
          <w:tab w:val="num" w:pos="5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30352C">
      <w:start w:val="1"/>
      <w:numFmt w:val="bullet"/>
      <w:lvlText w:val="•"/>
      <w:lvlJc w:val="left"/>
      <w:pPr>
        <w:tabs>
          <w:tab w:val="left" w:pos="560"/>
          <w:tab w:val="num" w:pos="73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843E0C">
      <w:start w:val="1"/>
      <w:numFmt w:val="bullet"/>
      <w:lvlText w:val="•"/>
      <w:lvlJc w:val="left"/>
      <w:pPr>
        <w:tabs>
          <w:tab w:val="left" w:pos="560"/>
          <w:tab w:val="num" w:pos="91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0D646">
      <w:start w:val="1"/>
      <w:numFmt w:val="bullet"/>
      <w:lvlText w:val="•"/>
      <w:lvlJc w:val="left"/>
      <w:pPr>
        <w:tabs>
          <w:tab w:val="left" w:pos="560"/>
          <w:tab w:val="num" w:pos="109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AFE4E">
      <w:start w:val="1"/>
      <w:numFmt w:val="bullet"/>
      <w:lvlText w:val="•"/>
      <w:lvlJc w:val="left"/>
      <w:p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3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E77EA">
      <w:start w:val="1"/>
      <w:numFmt w:val="bullet"/>
      <w:lvlText w:val="•"/>
      <w:lvlJc w:val="left"/>
      <w:pPr>
        <w:tabs>
          <w:tab w:val="left" w:pos="560"/>
          <w:tab w:val="left" w:pos="1120"/>
          <w:tab w:val="num" w:pos="145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EB6F8">
      <w:start w:val="1"/>
      <w:numFmt w:val="bullet"/>
      <w:lvlText w:val="•"/>
      <w:lvlJc w:val="left"/>
      <w:pPr>
        <w:tabs>
          <w:tab w:val="left" w:pos="560"/>
          <w:tab w:val="left" w:pos="1120"/>
          <w:tab w:val="num" w:pos="163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225376">
      <w:start w:val="1"/>
      <w:numFmt w:val="bullet"/>
      <w:lvlText w:val="•"/>
      <w:lvlJc w:val="left"/>
      <w:pPr>
        <w:tabs>
          <w:tab w:val="left" w:pos="560"/>
          <w:tab w:val="left" w:pos="1120"/>
          <w:tab w:val="left" w:pos="1680"/>
          <w:tab w:val="num" w:pos="181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4AD14">
      <w:start w:val="1"/>
      <w:numFmt w:val="bullet"/>
      <w:lvlText w:val="•"/>
      <w:lvlJc w:val="left"/>
      <w:pPr>
        <w:tabs>
          <w:tab w:val="left" w:pos="560"/>
          <w:tab w:val="left" w:pos="1120"/>
          <w:tab w:val="left" w:pos="1680"/>
          <w:tab w:val="num" w:pos="199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3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4583EC7"/>
    <w:multiLevelType w:val="hybridMultilevel"/>
    <w:tmpl w:val="3BD4B968"/>
    <w:numStyleLink w:val="ImportedStyle4"/>
  </w:abstractNum>
  <w:abstractNum w:abstractNumId="18" w15:restartNumberingAfterBreak="0">
    <w:nsid w:val="68D22042"/>
    <w:multiLevelType w:val="hybridMultilevel"/>
    <w:tmpl w:val="58C87FA4"/>
    <w:lvl w:ilvl="0" w:tplc="D1EE2268">
      <w:start w:val="9"/>
      <w:numFmt w:val="lowerLetter"/>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9" w15:restartNumberingAfterBreak="0">
    <w:nsid w:val="6966301F"/>
    <w:multiLevelType w:val="hybridMultilevel"/>
    <w:tmpl w:val="798089E4"/>
    <w:lvl w:ilvl="0" w:tplc="F91663F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F82095"/>
    <w:multiLevelType w:val="hybridMultilevel"/>
    <w:tmpl w:val="6152EB98"/>
    <w:numStyleLink w:val="Bullet"/>
  </w:abstractNum>
  <w:abstractNum w:abstractNumId="21" w15:restartNumberingAfterBreak="0">
    <w:nsid w:val="6CE13282"/>
    <w:multiLevelType w:val="hybridMultilevel"/>
    <w:tmpl w:val="E464659E"/>
    <w:lvl w:ilvl="0" w:tplc="D6DEA6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5C576F"/>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num w:numId="1">
    <w:abstractNumId w:val="0"/>
  </w:num>
  <w:num w:numId="2">
    <w:abstractNumId w:val="9"/>
  </w:num>
  <w:num w:numId="3">
    <w:abstractNumId w:val="5"/>
  </w:num>
  <w:num w:numId="4">
    <w:abstractNumId w:val="13"/>
  </w:num>
  <w:num w:numId="5">
    <w:abstractNumId w:val="4"/>
  </w:num>
  <w:num w:numId="6">
    <w:abstractNumId w:val="10"/>
  </w:num>
  <w:num w:numId="7">
    <w:abstractNumId w:val="16"/>
  </w:num>
  <w:num w:numId="8">
    <w:abstractNumId w:val="20"/>
  </w:num>
  <w:num w:numId="9">
    <w:abstractNumId w:val="15"/>
  </w:num>
  <w:num w:numId="10">
    <w:abstractNumId w:val="22"/>
  </w:num>
  <w:num w:numId="11">
    <w:abstractNumId w:val="19"/>
  </w:num>
  <w:num w:numId="12">
    <w:abstractNumId w:val="2"/>
  </w:num>
  <w:num w:numId="13">
    <w:abstractNumId w:val="8"/>
  </w:num>
  <w:num w:numId="14">
    <w:abstractNumId w:val="14"/>
  </w:num>
  <w:num w:numId="15">
    <w:abstractNumId w:val="1"/>
  </w:num>
  <w:num w:numId="16">
    <w:abstractNumId w:val="11"/>
  </w:num>
  <w:num w:numId="17">
    <w:abstractNumId w:val="21"/>
  </w:num>
  <w:num w:numId="18">
    <w:abstractNumId w:val="12"/>
  </w:num>
  <w:num w:numId="19">
    <w:abstractNumId w:val="18"/>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7"/>
  </w:num>
  <w:num w:numId="23">
    <w:abstractNumId w:val="7"/>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1"/>
    <w:rsid w:val="000205B6"/>
    <w:rsid w:val="00037F43"/>
    <w:rsid w:val="00044C82"/>
    <w:rsid w:val="000553A9"/>
    <w:rsid w:val="00060AFF"/>
    <w:rsid w:val="0008685F"/>
    <w:rsid w:val="00091E2E"/>
    <w:rsid w:val="0009507A"/>
    <w:rsid w:val="000A6ED5"/>
    <w:rsid w:val="000C06F8"/>
    <w:rsid w:val="000C74A3"/>
    <w:rsid w:val="000D7569"/>
    <w:rsid w:val="000F2182"/>
    <w:rsid w:val="00101E3F"/>
    <w:rsid w:val="001240CE"/>
    <w:rsid w:val="001440C1"/>
    <w:rsid w:val="00151DEC"/>
    <w:rsid w:val="00157520"/>
    <w:rsid w:val="001602BC"/>
    <w:rsid w:val="001D52FF"/>
    <w:rsid w:val="001F7BE7"/>
    <w:rsid w:val="002945E9"/>
    <w:rsid w:val="002A3E75"/>
    <w:rsid w:val="002A50B8"/>
    <w:rsid w:val="002A5640"/>
    <w:rsid w:val="002B446D"/>
    <w:rsid w:val="002C6D1A"/>
    <w:rsid w:val="002D716C"/>
    <w:rsid w:val="002E0C23"/>
    <w:rsid w:val="0034293C"/>
    <w:rsid w:val="00343EFE"/>
    <w:rsid w:val="00374A28"/>
    <w:rsid w:val="00377CD6"/>
    <w:rsid w:val="003B1E55"/>
    <w:rsid w:val="003D7898"/>
    <w:rsid w:val="003F1AAC"/>
    <w:rsid w:val="00401DEF"/>
    <w:rsid w:val="00404B53"/>
    <w:rsid w:val="004143F0"/>
    <w:rsid w:val="00425BA3"/>
    <w:rsid w:val="004448C3"/>
    <w:rsid w:val="00457897"/>
    <w:rsid w:val="0046597B"/>
    <w:rsid w:val="004C5B23"/>
    <w:rsid w:val="004C685C"/>
    <w:rsid w:val="004F63BD"/>
    <w:rsid w:val="00501495"/>
    <w:rsid w:val="00503847"/>
    <w:rsid w:val="0057213F"/>
    <w:rsid w:val="00572451"/>
    <w:rsid w:val="0057341B"/>
    <w:rsid w:val="005741E8"/>
    <w:rsid w:val="005800DE"/>
    <w:rsid w:val="00590B9A"/>
    <w:rsid w:val="00595250"/>
    <w:rsid w:val="005A200F"/>
    <w:rsid w:val="005B23E7"/>
    <w:rsid w:val="005E026B"/>
    <w:rsid w:val="005F2DED"/>
    <w:rsid w:val="005F2E70"/>
    <w:rsid w:val="005F359E"/>
    <w:rsid w:val="00611408"/>
    <w:rsid w:val="006275F5"/>
    <w:rsid w:val="0065308F"/>
    <w:rsid w:val="00661497"/>
    <w:rsid w:val="00692910"/>
    <w:rsid w:val="006969B1"/>
    <w:rsid w:val="006A085D"/>
    <w:rsid w:val="006A6940"/>
    <w:rsid w:val="00713D1E"/>
    <w:rsid w:val="0072243A"/>
    <w:rsid w:val="00725310"/>
    <w:rsid w:val="00734CE0"/>
    <w:rsid w:val="007369EF"/>
    <w:rsid w:val="007464D3"/>
    <w:rsid w:val="0076169C"/>
    <w:rsid w:val="0077709D"/>
    <w:rsid w:val="007A4597"/>
    <w:rsid w:val="007B15B9"/>
    <w:rsid w:val="007B500B"/>
    <w:rsid w:val="007E336A"/>
    <w:rsid w:val="00804C39"/>
    <w:rsid w:val="00855E7F"/>
    <w:rsid w:val="008A12FE"/>
    <w:rsid w:val="008A495A"/>
    <w:rsid w:val="008A7861"/>
    <w:rsid w:val="008C0070"/>
    <w:rsid w:val="008C69B1"/>
    <w:rsid w:val="008E26B3"/>
    <w:rsid w:val="008F06D7"/>
    <w:rsid w:val="008F6115"/>
    <w:rsid w:val="008F7144"/>
    <w:rsid w:val="00905E23"/>
    <w:rsid w:val="0094600C"/>
    <w:rsid w:val="00951A9F"/>
    <w:rsid w:val="009524D5"/>
    <w:rsid w:val="00953730"/>
    <w:rsid w:val="00985A45"/>
    <w:rsid w:val="009C5C86"/>
    <w:rsid w:val="009D728B"/>
    <w:rsid w:val="00A00614"/>
    <w:rsid w:val="00A1430B"/>
    <w:rsid w:val="00A27921"/>
    <w:rsid w:val="00A34C5E"/>
    <w:rsid w:val="00A41178"/>
    <w:rsid w:val="00A44A42"/>
    <w:rsid w:val="00A45F01"/>
    <w:rsid w:val="00A5591E"/>
    <w:rsid w:val="00A57AEB"/>
    <w:rsid w:val="00A631CF"/>
    <w:rsid w:val="00A8196B"/>
    <w:rsid w:val="00AC2D81"/>
    <w:rsid w:val="00AF6818"/>
    <w:rsid w:val="00B31390"/>
    <w:rsid w:val="00B57BCD"/>
    <w:rsid w:val="00B75892"/>
    <w:rsid w:val="00BD2F71"/>
    <w:rsid w:val="00BD3BA0"/>
    <w:rsid w:val="00BD5DB3"/>
    <w:rsid w:val="00BF28F1"/>
    <w:rsid w:val="00C27E89"/>
    <w:rsid w:val="00C3543E"/>
    <w:rsid w:val="00C40102"/>
    <w:rsid w:val="00C407E1"/>
    <w:rsid w:val="00C55C1B"/>
    <w:rsid w:val="00C664A4"/>
    <w:rsid w:val="00C91E32"/>
    <w:rsid w:val="00C96C94"/>
    <w:rsid w:val="00C97D67"/>
    <w:rsid w:val="00CA198B"/>
    <w:rsid w:val="00CA7378"/>
    <w:rsid w:val="00D0200E"/>
    <w:rsid w:val="00D16975"/>
    <w:rsid w:val="00D35C61"/>
    <w:rsid w:val="00D36B81"/>
    <w:rsid w:val="00D41FA7"/>
    <w:rsid w:val="00D57443"/>
    <w:rsid w:val="00D75FA9"/>
    <w:rsid w:val="00D762A4"/>
    <w:rsid w:val="00D84E7E"/>
    <w:rsid w:val="00D90762"/>
    <w:rsid w:val="00D91A87"/>
    <w:rsid w:val="00D9767E"/>
    <w:rsid w:val="00DB3005"/>
    <w:rsid w:val="00DD657F"/>
    <w:rsid w:val="00E01BD9"/>
    <w:rsid w:val="00E106A8"/>
    <w:rsid w:val="00E607D3"/>
    <w:rsid w:val="00E71422"/>
    <w:rsid w:val="00E81A19"/>
    <w:rsid w:val="00E952F1"/>
    <w:rsid w:val="00EA3E7C"/>
    <w:rsid w:val="00EB539F"/>
    <w:rsid w:val="00F03639"/>
    <w:rsid w:val="00F052FE"/>
    <w:rsid w:val="00F168FC"/>
    <w:rsid w:val="00F30064"/>
    <w:rsid w:val="00F442DE"/>
    <w:rsid w:val="00F706F8"/>
    <w:rsid w:val="00F76770"/>
    <w:rsid w:val="00F8340A"/>
    <w:rsid w:val="00F9629A"/>
    <w:rsid w:val="00FA30DF"/>
    <w:rsid w:val="00FE2D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C27"/>
  <w15:docId w15:val="{B5BEC6FB-C15D-4E2F-B312-C7B3E357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451"/>
    <w:pPr>
      <w:ind w:left="720"/>
      <w:contextualSpacing/>
    </w:pPr>
  </w:style>
  <w:style w:type="character" w:styleId="Hyperlink">
    <w:name w:val="Hyperlink"/>
    <w:basedOn w:val="DefaultParagraphFont"/>
    <w:uiPriority w:val="99"/>
    <w:unhideWhenUsed/>
    <w:rsid w:val="00E71422"/>
    <w:rPr>
      <w:color w:val="0563C1" w:themeColor="hyperlink"/>
      <w:u w:val="single"/>
    </w:rPr>
  </w:style>
  <w:style w:type="character" w:customStyle="1" w:styleId="UnresolvedMention1">
    <w:name w:val="Unresolved Mention1"/>
    <w:basedOn w:val="DefaultParagraphFont"/>
    <w:uiPriority w:val="99"/>
    <w:semiHidden/>
    <w:unhideWhenUsed/>
    <w:rsid w:val="00E71422"/>
    <w:rPr>
      <w:color w:val="808080"/>
      <w:shd w:val="clear" w:color="auto" w:fill="E6E6E6"/>
    </w:rPr>
  </w:style>
  <w:style w:type="paragraph" w:styleId="BalloonText">
    <w:name w:val="Balloon Text"/>
    <w:basedOn w:val="Normal"/>
    <w:link w:val="BalloonTextChar"/>
    <w:uiPriority w:val="99"/>
    <w:semiHidden/>
    <w:unhideWhenUsed/>
    <w:rsid w:val="00D4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A7"/>
    <w:rPr>
      <w:rFonts w:ascii="Tahoma" w:eastAsia="Calibri" w:hAnsi="Tahoma" w:cs="Tahoma"/>
      <w:sz w:val="16"/>
      <w:szCs w:val="16"/>
    </w:rPr>
  </w:style>
  <w:style w:type="table" w:styleId="TableGrid">
    <w:name w:val="Table Grid"/>
    <w:basedOn w:val="TableNormal"/>
    <w:uiPriority w:val="59"/>
    <w:rsid w:val="007B15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15B9"/>
    <w:rPr>
      <w:color w:val="808080"/>
      <w:shd w:val="clear" w:color="auto" w:fill="E6E6E6"/>
    </w:rPr>
  </w:style>
  <w:style w:type="character" w:styleId="CommentReference">
    <w:name w:val="annotation reference"/>
    <w:basedOn w:val="DefaultParagraphFont"/>
    <w:uiPriority w:val="99"/>
    <w:semiHidden/>
    <w:unhideWhenUsed/>
    <w:rsid w:val="006A6940"/>
    <w:rPr>
      <w:sz w:val="16"/>
      <w:szCs w:val="16"/>
    </w:rPr>
  </w:style>
  <w:style w:type="paragraph" w:styleId="CommentText">
    <w:name w:val="annotation text"/>
    <w:basedOn w:val="Normal"/>
    <w:link w:val="CommentTextChar"/>
    <w:uiPriority w:val="99"/>
    <w:semiHidden/>
    <w:unhideWhenUsed/>
    <w:rsid w:val="006A6940"/>
    <w:pPr>
      <w:spacing w:line="240" w:lineRule="auto"/>
    </w:pPr>
    <w:rPr>
      <w:sz w:val="20"/>
      <w:szCs w:val="20"/>
    </w:rPr>
  </w:style>
  <w:style w:type="character" w:customStyle="1" w:styleId="CommentTextChar">
    <w:name w:val="Comment Text Char"/>
    <w:basedOn w:val="DefaultParagraphFont"/>
    <w:link w:val="CommentText"/>
    <w:uiPriority w:val="99"/>
    <w:semiHidden/>
    <w:rsid w:val="006A694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940"/>
    <w:rPr>
      <w:b/>
      <w:bCs/>
    </w:rPr>
  </w:style>
  <w:style w:type="character" w:customStyle="1" w:styleId="CommentSubjectChar">
    <w:name w:val="Comment Subject Char"/>
    <w:basedOn w:val="CommentTextChar"/>
    <w:link w:val="CommentSubject"/>
    <w:uiPriority w:val="99"/>
    <w:semiHidden/>
    <w:rsid w:val="006A6940"/>
    <w:rPr>
      <w:rFonts w:ascii="Times New Roman" w:eastAsia="Calibri" w:hAnsi="Times New Roman" w:cs="Times New Roman"/>
      <w:b/>
      <w:bCs/>
      <w:sz w:val="20"/>
      <w:szCs w:val="20"/>
    </w:rPr>
  </w:style>
  <w:style w:type="paragraph" w:customStyle="1" w:styleId="Default">
    <w:name w:val="Default"/>
    <w:qFormat/>
    <w:rsid w:val="00734C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34293C"/>
    <w:rPr>
      <w:color w:val="808080"/>
      <w:shd w:val="clear" w:color="auto" w:fill="E6E6E6"/>
    </w:rPr>
  </w:style>
  <w:style w:type="numbering" w:customStyle="1" w:styleId="Bullet">
    <w:name w:val="Bullet"/>
    <w:rsid w:val="00B75892"/>
    <w:pPr>
      <w:numPr>
        <w:numId w:val="7"/>
      </w:numPr>
    </w:pPr>
  </w:style>
  <w:style w:type="paragraph" w:customStyle="1" w:styleId="Body">
    <w:name w:val="Body"/>
    <w:rsid w:val="007A4597"/>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paragraph" w:styleId="NormalWeb">
    <w:name w:val="Normal (Web)"/>
    <w:basedOn w:val="Normal"/>
    <w:uiPriority w:val="99"/>
    <w:unhideWhenUsed/>
    <w:rsid w:val="00101E3F"/>
    <w:pPr>
      <w:spacing w:before="100" w:beforeAutospacing="1" w:after="100" w:afterAutospacing="1" w:line="240" w:lineRule="auto"/>
    </w:pPr>
    <w:rPr>
      <w:rFonts w:eastAsia="Times New Roman"/>
      <w:sz w:val="24"/>
    </w:rPr>
  </w:style>
  <w:style w:type="character" w:customStyle="1" w:styleId="ListParagraphChar">
    <w:name w:val="List Paragraph Char"/>
    <w:basedOn w:val="DefaultParagraphFont"/>
    <w:link w:val="ListParagraph"/>
    <w:uiPriority w:val="34"/>
    <w:rsid w:val="009524D5"/>
    <w:rPr>
      <w:rFonts w:ascii="Times New Roman" w:eastAsia="Calibri" w:hAnsi="Times New Roman" w:cs="Times New Roman"/>
      <w:szCs w:val="24"/>
    </w:rPr>
  </w:style>
  <w:style w:type="paragraph" w:customStyle="1" w:styleId="BodyA">
    <w:name w:val="Body A"/>
    <w:rsid w:val="00037F43"/>
    <w:pPr>
      <w:spacing w:after="200" w:line="276" w:lineRule="auto"/>
    </w:pPr>
    <w:rPr>
      <w:rFonts w:ascii="Calibri" w:eastAsia="Calibri" w:hAnsi="Calibri" w:cs="Calibri"/>
      <w:color w:val="000000"/>
      <w:u w:color="000000"/>
      <w:lang w:eastAsia="en-JM"/>
    </w:rPr>
  </w:style>
  <w:style w:type="numbering" w:customStyle="1" w:styleId="ImportedStyle4">
    <w:name w:val="Imported Style 4"/>
    <w:rsid w:val="00037F4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Caribbean Development Bank</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Johanna Pelaez</cp:lastModifiedBy>
  <cp:revision>2</cp:revision>
  <cp:lastPrinted>2018-01-29T20:10:00Z</cp:lastPrinted>
  <dcterms:created xsi:type="dcterms:W3CDTF">2019-02-11T21:53:00Z</dcterms:created>
  <dcterms:modified xsi:type="dcterms:W3CDTF">2019-02-11T21:53:00Z</dcterms:modified>
</cp:coreProperties>
</file>