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0682B" w14:textId="6D8650A5" w:rsidR="00821208" w:rsidRPr="002B0F6F" w:rsidRDefault="00821208" w:rsidP="002B0F6F">
      <w:pPr>
        <w:widowControl/>
        <w:suppressAutoHyphens w:val="0"/>
        <w:jc w:val="right"/>
        <w:rPr>
          <w:rFonts w:ascii="Times New Roman" w:hAnsi="Times New Roman"/>
          <w:b/>
          <w:bCs/>
          <w:sz w:val="22"/>
          <w:szCs w:val="22"/>
          <w:u w:val="single"/>
        </w:rPr>
      </w:pPr>
      <w:bookmarkStart w:id="0" w:name="_GoBack"/>
      <w:bookmarkEnd w:id="0"/>
      <w:r w:rsidRPr="00F973D9">
        <w:rPr>
          <w:b/>
          <w:spacing w:val="-1"/>
          <w:u w:val="single"/>
        </w:rPr>
        <w:t>Appendix 1</w:t>
      </w:r>
    </w:p>
    <w:p w14:paraId="1060EC0E" w14:textId="77777777" w:rsidR="00821208" w:rsidRDefault="00821208" w:rsidP="00CF65F5">
      <w:pPr>
        <w:jc w:val="center"/>
        <w:rPr>
          <w:rFonts w:ascii="Arial Narrow" w:hAnsi="Arial Narrow"/>
          <w:b/>
          <w:sz w:val="28"/>
          <w:szCs w:val="28"/>
          <w:lang w:val="en-029"/>
        </w:rPr>
      </w:pPr>
    </w:p>
    <w:p w14:paraId="5797885F" w14:textId="77777777" w:rsidR="00CF65F5" w:rsidRPr="005C203C" w:rsidRDefault="00CF65F5" w:rsidP="002B0F6F">
      <w:pPr>
        <w:rPr>
          <w:rFonts w:ascii="Arial Narrow" w:hAnsi="Arial Narrow"/>
          <w:b/>
          <w:bCs/>
          <w:sz w:val="28"/>
          <w:szCs w:val="28"/>
        </w:rPr>
      </w:pPr>
      <w:r w:rsidRPr="005C203C">
        <w:rPr>
          <w:rFonts w:ascii="Arial Narrow" w:hAnsi="Arial Narrow"/>
          <w:b/>
          <w:bCs/>
          <w:sz w:val="28"/>
          <w:szCs w:val="28"/>
        </w:rPr>
        <w:t>TERMS OF REFERENCE</w:t>
      </w:r>
    </w:p>
    <w:p w14:paraId="6B579068" w14:textId="77777777" w:rsidR="00CF65F5" w:rsidRPr="00636AC2" w:rsidRDefault="00CF65F5" w:rsidP="00CF65F5">
      <w:pPr>
        <w:pStyle w:val="Body"/>
        <w:jc w:val="center"/>
        <w:rPr>
          <w:rFonts w:ascii="Arial Narrow" w:eastAsia="Times New Roman" w:hAnsi="Arial Narrow" w:cs="Times New Roman"/>
          <w:b/>
          <w:bCs/>
          <w:color w:val="00000A"/>
        </w:rPr>
      </w:pPr>
    </w:p>
    <w:p w14:paraId="194BD534" w14:textId="77777777" w:rsidR="00CF65F5" w:rsidRPr="00636AC2" w:rsidRDefault="00CF65F5" w:rsidP="00CF65F5">
      <w:pPr>
        <w:pStyle w:val="Body"/>
        <w:jc w:val="center"/>
        <w:rPr>
          <w:rFonts w:ascii="Arial Narrow" w:eastAsia="Times New Roman" w:hAnsi="Arial Narrow" w:cs="Times New Roman"/>
          <w:b/>
          <w:bCs/>
          <w:color w:val="00000A"/>
        </w:rPr>
      </w:pPr>
    </w:p>
    <w:p w14:paraId="316B6815" w14:textId="77777777" w:rsidR="00EF52AF" w:rsidRPr="00636AC2" w:rsidRDefault="00EF52AF" w:rsidP="00EF52AF">
      <w:pPr>
        <w:pStyle w:val="Body"/>
        <w:jc w:val="center"/>
        <w:outlineLvl w:val="0"/>
        <w:rPr>
          <w:rFonts w:ascii="Arial Narrow" w:hAnsi="Arial Narrow" w:cs="Times New Roman"/>
          <w:b/>
          <w:bCs/>
          <w:color w:val="00000A"/>
        </w:rPr>
      </w:pPr>
      <w:r w:rsidRPr="00636AC2">
        <w:rPr>
          <w:rFonts w:ascii="Arial Narrow" w:eastAsia="Times New Roman" w:hAnsi="Arial Narrow" w:cs="Times New Roman"/>
          <w:b/>
          <w:bCs/>
          <w:color w:val="00000A"/>
        </w:rPr>
        <w:t xml:space="preserve">CONSULTANCY FOR THE MARINE FORECASTING TRAINING </w:t>
      </w:r>
    </w:p>
    <w:p w14:paraId="0084B39E" w14:textId="77777777" w:rsidR="00EF52AF" w:rsidRPr="00636AC2" w:rsidRDefault="00EF52AF" w:rsidP="00EF52AF">
      <w:pPr>
        <w:pStyle w:val="Body"/>
        <w:rPr>
          <w:rFonts w:ascii="Arial Narrow" w:hAnsi="Arial Narrow" w:cs="Times New Roman"/>
          <w:b/>
          <w:bCs/>
          <w:color w:val="00000A"/>
        </w:rPr>
      </w:pPr>
    </w:p>
    <w:p w14:paraId="7DEB5A89" w14:textId="77777777" w:rsidR="00EF52AF" w:rsidRDefault="00EF52AF" w:rsidP="00EF52AF">
      <w:pPr>
        <w:pStyle w:val="Body"/>
        <w:rPr>
          <w:rFonts w:ascii="Arial Narrow" w:hAnsi="Arial Narrow" w:cs="Times New Roman"/>
          <w:b/>
          <w:bCs/>
          <w:color w:val="00000A"/>
        </w:rPr>
      </w:pPr>
    </w:p>
    <w:p w14:paraId="48FD2511" w14:textId="77777777" w:rsidR="00EF52AF" w:rsidRDefault="00EF52AF" w:rsidP="00EF52AF">
      <w:pPr>
        <w:pStyle w:val="Body"/>
        <w:numPr>
          <w:ilvl w:val="0"/>
          <w:numId w:val="3"/>
        </w:numPr>
        <w:rPr>
          <w:rFonts w:ascii="Arial Narrow" w:hAnsi="Arial Narrow" w:cs="Times New Roman"/>
          <w:b/>
          <w:bCs/>
          <w:color w:val="00000A"/>
        </w:rPr>
      </w:pPr>
      <w:r>
        <w:rPr>
          <w:rFonts w:ascii="Arial Narrow" w:hAnsi="Arial Narrow" w:cs="Times New Roman"/>
          <w:b/>
          <w:bCs/>
          <w:color w:val="00000A"/>
        </w:rPr>
        <w:t>INTRODUCTION</w:t>
      </w:r>
    </w:p>
    <w:p w14:paraId="3283E6C0" w14:textId="77777777" w:rsidR="00EF52AF" w:rsidRDefault="00EF52AF" w:rsidP="00EF52AF">
      <w:pPr>
        <w:pStyle w:val="Body"/>
        <w:ind w:left="720"/>
        <w:rPr>
          <w:rFonts w:ascii="Arial Narrow" w:hAnsi="Arial Narrow" w:cs="Times New Roman"/>
          <w:b/>
          <w:bCs/>
          <w:color w:val="00000A"/>
        </w:rPr>
      </w:pPr>
    </w:p>
    <w:p w14:paraId="09382AF8" w14:textId="77777777" w:rsidR="00EF52AF" w:rsidRPr="0043140E" w:rsidRDefault="00EF52AF" w:rsidP="00EF52AF">
      <w:pPr>
        <w:pStyle w:val="Body"/>
        <w:outlineLvl w:val="0"/>
        <w:rPr>
          <w:rFonts w:ascii="Arial Narrow" w:hAnsi="Arial Narrow" w:cs="Times New Roman"/>
          <w:b/>
          <w:bCs/>
          <w:color w:val="auto"/>
          <w:szCs w:val="24"/>
        </w:rPr>
      </w:pPr>
      <w:r w:rsidRPr="0043140E">
        <w:rPr>
          <w:rFonts w:ascii="Arial Narrow" w:hAnsi="Arial Narrow" w:cs="Times New Roman"/>
          <w:b/>
          <w:bCs/>
          <w:color w:val="auto"/>
          <w:szCs w:val="24"/>
        </w:rPr>
        <w:t>The Caribbean Institute for Meteorology and Hydrology (CIMH)</w:t>
      </w:r>
    </w:p>
    <w:p w14:paraId="4AD5300E" w14:textId="77777777" w:rsidR="00EF52AF" w:rsidRPr="0043140E" w:rsidRDefault="00EF52AF" w:rsidP="00EF52AF">
      <w:pPr>
        <w:pStyle w:val="Body"/>
        <w:rPr>
          <w:rFonts w:ascii="Arial Narrow" w:hAnsi="Arial Narrow" w:cs="Times New Roman"/>
          <w:bCs/>
          <w:color w:val="auto"/>
          <w:szCs w:val="24"/>
        </w:rPr>
      </w:pPr>
    </w:p>
    <w:p w14:paraId="6FA15942" w14:textId="77777777" w:rsidR="00EF52AF" w:rsidRPr="00BA3FAE" w:rsidRDefault="00EF52AF" w:rsidP="00EF52AF">
      <w:pPr>
        <w:pStyle w:val="Body"/>
        <w:rPr>
          <w:rFonts w:ascii="Arial Narrow" w:hAnsi="Arial Narrow" w:cs="Times New Roman"/>
          <w:color w:val="auto"/>
          <w:szCs w:val="24"/>
        </w:rPr>
      </w:pPr>
      <w:bookmarkStart w:id="1" w:name="_Hlk520797294"/>
      <w:r>
        <w:rPr>
          <w:rFonts w:ascii="Arial Narrow" w:hAnsi="Arial Narrow" w:cs="Times New Roman"/>
          <w:color w:val="auto"/>
          <w:szCs w:val="24"/>
        </w:rPr>
        <w:t xml:space="preserve">The CIMH is an </w:t>
      </w:r>
      <w:r w:rsidRPr="00CA25E1">
        <w:rPr>
          <w:rFonts w:ascii="Arial Narrow" w:hAnsi="Arial Narrow" w:cs="Times New Roman"/>
          <w:color w:val="auto"/>
          <w:szCs w:val="24"/>
        </w:rPr>
        <w:t>Institution</w:t>
      </w:r>
      <w:r w:rsidRPr="00BA3FAE">
        <w:rPr>
          <w:rFonts w:ascii="Arial Narrow" w:hAnsi="Arial Narrow" w:cs="Times New Roman"/>
          <w:color w:val="auto"/>
          <w:szCs w:val="24"/>
        </w:rPr>
        <w:t xml:space="preserve"> of the Caribbean Community and the technical </w:t>
      </w:r>
      <w:r w:rsidRPr="00CA25E1">
        <w:rPr>
          <w:rFonts w:ascii="Arial Narrow" w:hAnsi="Arial Narrow" w:cs="Times New Roman"/>
          <w:color w:val="auto"/>
          <w:szCs w:val="24"/>
        </w:rPr>
        <w:t>Organ</w:t>
      </w:r>
      <w:r w:rsidRPr="00BA3FAE">
        <w:rPr>
          <w:rFonts w:ascii="Arial Narrow" w:hAnsi="Arial Narrow" w:cs="Times New Roman"/>
          <w:color w:val="auto"/>
          <w:szCs w:val="24"/>
        </w:rPr>
        <w:t xml:space="preserve"> of the Caribbean Meteorological </w:t>
      </w:r>
      <w:proofErr w:type="spellStart"/>
      <w:r w:rsidRPr="00BA3FAE">
        <w:rPr>
          <w:rFonts w:ascii="Arial Narrow" w:hAnsi="Arial Narrow" w:cs="Times New Roman"/>
          <w:color w:val="auto"/>
          <w:szCs w:val="24"/>
        </w:rPr>
        <w:t>Organisation</w:t>
      </w:r>
      <w:proofErr w:type="spellEnd"/>
      <w:r w:rsidRPr="00BA3FAE">
        <w:rPr>
          <w:rFonts w:ascii="Arial Narrow" w:hAnsi="Arial Narrow" w:cs="Times New Roman"/>
          <w:color w:val="auto"/>
          <w:szCs w:val="24"/>
        </w:rPr>
        <w:t xml:space="preserve"> (CMO).  The mandate of the CIMH is to assist in improving and developing the meteorological and hydrological services as well as, providing the awareness of the benefits of meteorology and hydrology for the economic well-being of the 16 CMO Member States.  This is achieved through training, research, investigations, and the provision of related </w:t>
      </w:r>
      <w:proofErr w:type="spellStart"/>
      <w:r w:rsidRPr="00BA3FAE">
        <w:rPr>
          <w:rFonts w:ascii="Arial Narrow" w:hAnsi="Arial Narrow" w:cs="Times New Roman"/>
          <w:color w:val="auto"/>
          <w:szCs w:val="24"/>
        </w:rPr>
        <w:t>specialised</w:t>
      </w:r>
      <w:proofErr w:type="spellEnd"/>
      <w:r w:rsidRPr="00BA3FAE">
        <w:rPr>
          <w:rFonts w:ascii="Arial Narrow" w:hAnsi="Arial Narrow" w:cs="Times New Roman"/>
          <w:color w:val="auto"/>
          <w:szCs w:val="24"/>
        </w:rPr>
        <w:t xml:space="preserve"> services and advice.</w:t>
      </w:r>
    </w:p>
    <w:p w14:paraId="1BEA2074" w14:textId="77777777" w:rsidR="00EF52AF" w:rsidRPr="00BA3FAE" w:rsidRDefault="00EF52AF" w:rsidP="00EF52AF">
      <w:pPr>
        <w:pStyle w:val="Body"/>
        <w:rPr>
          <w:rFonts w:ascii="Arial Narrow" w:hAnsi="Arial Narrow" w:cs="Times New Roman"/>
          <w:color w:val="auto"/>
          <w:szCs w:val="24"/>
        </w:rPr>
      </w:pPr>
    </w:p>
    <w:p w14:paraId="7FEBD622" w14:textId="77777777" w:rsidR="00EF52AF" w:rsidRPr="00CA25E1" w:rsidRDefault="00EF52AF" w:rsidP="00EF52AF">
      <w:pPr>
        <w:pStyle w:val="Body"/>
        <w:rPr>
          <w:rFonts w:ascii="Arial Narrow" w:hAnsi="Arial Narrow" w:cs="Times New Roman"/>
          <w:color w:val="auto"/>
          <w:szCs w:val="24"/>
        </w:rPr>
      </w:pPr>
      <w:r w:rsidRPr="00CA25E1">
        <w:rPr>
          <w:rFonts w:ascii="Arial Narrow" w:hAnsi="Arial Narrow" w:cs="Times New Roman"/>
          <w:color w:val="auto"/>
          <w:szCs w:val="24"/>
        </w:rPr>
        <w:t xml:space="preserve">To achieve its mandate, the CIMH established an affiliation agreement with the UWI in 1972 in which its primary responsibility is the delivery of the B.Sc. </w:t>
      </w:r>
      <w:proofErr w:type="spellStart"/>
      <w:r w:rsidRPr="00CA25E1">
        <w:rPr>
          <w:rFonts w:ascii="Arial Narrow" w:hAnsi="Arial Narrow" w:cs="Times New Roman"/>
          <w:color w:val="auto"/>
          <w:szCs w:val="24"/>
        </w:rPr>
        <w:t>programme</w:t>
      </w:r>
      <w:proofErr w:type="spellEnd"/>
      <w:r w:rsidRPr="00CA25E1">
        <w:rPr>
          <w:rFonts w:ascii="Arial Narrow" w:hAnsi="Arial Narrow" w:cs="Times New Roman"/>
          <w:color w:val="auto"/>
          <w:szCs w:val="24"/>
        </w:rPr>
        <w:t xml:space="preserve"> in Meteorology in the Faculty of Pure and Applied Sciences.  The CIMH is also </w:t>
      </w:r>
      <w:proofErr w:type="spellStart"/>
      <w:r w:rsidRPr="00CA25E1">
        <w:rPr>
          <w:rFonts w:ascii="Arial Narrow" w:hAnsi="Arial Narrow" w:cs="Times New Roman"/>
          <w:color w:val="auto"/>
          <w:szCs w:val="24"/>
        </w:rPr>
        <w:t>recognised</w:t>
      </w:r>
      <w:proofErr w:type="spellEnd"/>
      <w:r w:rsidRPr="00CA25E1">
        <w:rPr>
          <w:rFonts w:ascii="Arial Narrow" w:hAnsi="Arial Narrow" w:cs="Times New Roman"/>
          <w:color w:val="auto"/>
          <w:szCs w:val="24"/>
        </w:rPr>
        <w:t xml:space="preserve"> as: (</w:t>
      </w:r>
      <w:proofErr w:type="spellStart"/>
      <w:r w:rsidRPr="00CA25E1">
        <w:rPr>
          <w:rFonts w:ascii="Arial Narrow" w:hAnsi="Arial Narrow" w:cs="Times New Roman"/>
          <w:color w:val="auto"/>
          <w:szCs w:val="24"/>
        </w:rPr>
        <w:t>i</w:t>
      </w:r>
      <w:proofErr w:type="spellEnd"/>
      <w:r w:rsidRPr="00CA25E1">
        <w:rPr>
          <w:rFonts w:ascii="Arial Narrow" w:hAnsi="Arial Narrow" w:cs="Times New Roman"/>
          <w:color w:val="auto"/>
          <w:szCs w:val="24"/>
        </w:rPr>
        <w:t>) the WMO Regional Training Centre (RTC) in the Caribbean specializing in meteorology, hydrology, climate science and related disciplines; (ii) a WMO Regional Instrument Centre (RIC) for the Caribbean; (iii) a Caribbean Centre for research in weather, climate, hydrological and related sciences and disciplines; (iv) the Caribbean Climate Data Archive; (v) Centre of Excellence for Training in Satellite Meteorology; (vi) the WMO Regional Climate Centre (RCC) for the Caribbean; (vii) the Pan American Centre for the WMO Sand and Dust Storm Warning Advisory and Assessment System (SDS-WAS); and (viii) the Caribbean Centre for Climate and Environmental Simulations (CCCES).</w:t>
      </w:r>
    </w:p>
    <w:p w14:paraId="1582C7F2" w14:textId="77777777" w:rsidR="00EF52AF" w:rsidRPr="00CA25E1" w:rsidRDefault="00EF52AF" w:rsidP="00EF52AF">
      <w:pPr>
        <w:pStyle w:val="ListParagraph"/>
        <w:rPr>
          <w:rFonts w:ascii="Arial Narrow" w:hAnsi="Arial Narrow"/>
        </w:rPr>
      </w:pPr>
    </w:p>
    <w:p w14:paraId="553D507A" w14:textId="77777777" w:rsidR="00EF52AF" w:rsidRDefault="00EF52AF" w:rsidP="00EF52AF">
      <w:pPr>
        <w:pStyle w:val="Body"/>
        <w:rPr>
          <w:rFonts w:ascii="Arial Narrow" w:hAnsi="Arial Narrow" w:cs="Times New Roman"/>
          <w:color w:val="auto"/>
          <w:szCs w:val="24"/>
        </w:rPr>
      </w:pPr>
      <w:r w:rsidRPr="00CA25E1">
        <w:rPr>
          <w:rFonts w:ascii="Arial Narrow" w:hAnsi="Arial Narrow" w:cs="Times New Roman"/>
          <w:color w:val="auto"/>
          <w:szCs w:val="24"/>
        </w:rPr>
        <w:t xml:space="preserve">By virtue of the above, the CIMH is active in such areas of hydro-meteorological and climate risk impacts forecasting as well as agricultural risks forecasting and has had strong collaborations with other regional institutions, national </w:t>
      </w:r>
      <w:proofErr w:type="spellStart"/>
      <w:r w:rsidRPr="00CA25E1">
        <w:rPr>
          <w:rFonts w:ascii="Arial Narrow" w:hAnsi="Arial Narrow" w:cs="Times New Roman"/>
          <w:color w:val="auto"/>
          <w:szCs w:val="24"/>
        </w:rPr>
        <w:t>organisations</w:t>
      </w:r>
      <w:proofErr w:type="spellEnd"/>
      <w:r w:rsidRPr="00CA25E1">
        <w:rPr>
          <w:rFonts w:ascii="Arial Narrow" w:hAnsi="Arial Narrow" w:cs="Times New Roman"/>
          <w:color w:val="auto"/>
          <w:szCs w:val="24"/>
        </w:rPr>
        <w:t xml:space="preserve"> in CMO Member States and the international community.</w:t>
      </w:r>
    </w:p>
    <w:p w14:paraId="2C452FB0" w14:textId="77777777" w:rsidR="00EF52AF" w:rsidRDefault="00EF52AF" w:rsidP="00EF52AF">
      <w:pPr>
        <w:pStyle w:val="Body"/>
        <w:rPr>
          <w:rFonts w:ascii="Arial Narrow" w:hAnsi="Arial Narrow" w:cs="Times New Roman"/>
          <w:color w:val="auto"/>
          <w:szCs w:val="24"/>
        </w:rPr>
      </w:pPr>
    </w:p>
    <w:bookmarkEnd w:id="1"/>
    <w:p w14:paraId="754344D5" w14:textId="77777777" w:rsidR="00EF52AF" w:rsidRDefault="00EF52AF" w:rsidP="00EF52AF">
      <w:pPr>
        <w:pStyle w:val="Body"/>
        <w:rPr>
          <w:rFonts w:ascii="Arial Narrow" w:hAnsi="Arial Narrow" w:cs="Times New Roman"/>
          <w:color w:val="auto"/>
          <w:szCs w:val="24"/>
        </w:rPr>
      </w:pPr>
    </w:p>
    <w:p w14:paraId="30B48DAD" w14:textId="77777777" w:rsidR="00EF52AF" w:rsidRDefault="00EF52AF" w:rsidP="00EF52AF">
      <w:pPr>
        <w:pStyle w:val="Body"/>
        <w:numPr>
          <w:ilvl w:val="0"/>
          <w:numId w:val="2"/>
        </w:numPr>
        <w:rPr>
          <w:rFonts w:ascii="Arial Narrow" w:hAnsi="Arial Narrow" w:cs="Times New Roman"/>
          <w:b/>
          <w:bCs/>
          <w:color w:val="00000A"/>
          <w:szCs w:val="24"/>
        </w:rPr>
      </w:pPr>
      <w:r>
        <w:rPr>
          <w:rFonts w:ascii="Arial Narrow" w:hAnsi="Arial Narrow" w:cs="Times New Roman"/>
          <w:b/>
          <w:bCs/>
          <w:color w:val="00000A"/>
          <w:szCs w:val="24"/>
          <w:lang w:val="fr-FR"/>
        </w:rPr>
        <w:t>BACKGROUND</w:t>
      </w:r>
    </w:p>
    <w:p w14:paraId="19ABE7B6" w14:textId="77777777" w:rsidR="00EF52AF" w:rsidRDefault="00EF52AF" w:rsidP="00EF52AF">
      <w:pPr>
        <w:pStyle w:val="Body"/>
        <w:rPr>
          <w:rFonts w:ascii="Arial Narrow" w:hAnsi="Arial Narrow" w:cs="Times New Roman"/>
          <w:color w:val="00000A"/>
          <w:szCs w:val="24"/>
        </w:rPr>
      </w:pPr>
    </w:p>
    <w:p w14:paraId="72E4FDFE" w14:textId="77777777" w:rsidR="00EF52AF" w:rsidRDefault="00EF52AF" w:rsidP="00EF52AF">
      <w:pPr>
        <w:pStyle w:val="Body"/>
        <w:tabs>
          <w:tab w:val="left" w:pos="720"/>
        </w:tabs>
        <w:rPr>
          <w:rFonts w:ascii="Arial Narrow" w:hAnsi="Arial Narrow" w:cs="Times New Roman"/>
          <w:szCs w:val="24"/>
        </w:rPr>
      </w:pPr>
      <w:r>
        <w:rPr>
          <w:rFonts w:ascii="Arial Narrow" w:hAnsi="Arial Narrow" w:cs="Times New Roman"/>
          <w:szCs w:val="24"/>
        </w:rPr>
        <w:t>Small Island Developing States (SIDS) are defined as largely coastal as they have a large coastal area to land mass ratio. This often means that SIDS have marine exclusion zones and related resources that are significantly greater than their land mass. As a result, the coastal and marine environment plays a critical role in the evolution of nearly all aspects of SIDS including their socio-economic development.</w:t>
      </w:r>
    </w:p>
    <w:p w14:paraId="55F0E10C" w14:textId="77777777" w:rsidR="00EF52AF" w:rsidRDefault="00EF52AF" w:rsidP="00EF52AF">
      <w:pPr>
        <w:pStyle w:val="Body"/>
        <w:ind w:left="420"/>
        <w:rPr>
          <w:rFonts w:ascii="Arial Narrow" w:hAnsi="Arial Narrow" w:cs="Times New Roman"/>
          <w:szCs w:val="24"/>
        </w:rPr>
      </w:pPr>
    </w:p>
    <w:p w14:paraId="14F6793B" w14:textId="77777777" w:rsidR="00EF52AF" w:rsidRDefault="00EF52AF" w:rsidP="00EF52AF">
      <w:pPr>
        <w:pStyle w:val="Body"/>
        <w:tabs>
          <w:tab w:val="left" w:pos="1080"/>
        </w:tabs>
        <w:rPr>
          <w:rFonts w:ascii="Arial Narrow" w:hAnsi="Arial Narrow" w:cs="Times New Roman"/>
          <w:szCs w:val="24"/>
        </w:rPr>
      </w:pPr>
      <w:r>
        <w:rPr>
          <w:rFonts w:ascii="Arial Narrow" w:hAnsi="Arial Narrow" w:cs="Times New Roman"/>
          <w:szCs w:val="24"/>
        </w:rPr>
        <w:t xml:space="preserve">Marine ecosystems in the Caribbean face constant and significant threats from weather and climate events that can degrade seriously the halieutic resources and consequently, endanger their sustainability. Despite the importance of these resources for the socio-economic development of SIDS, daily to seasonal marine forecasting capabilities in the Caribbean remain extremely limited. However, information at these time scales is critical for operational planning in many marine related sectors including fisheries, energy, transportation and tourism. While many National Meteorological and Hydrological Services (NMHSs) of the Caribbean Meteorological Organization (CMO) Member States issue marine forecasts, the information is frequently derived from external sources and not always at the spatial and temporal </w:t>
      </w:r>
      <w:r>
        <w:rPr>
          <w:rFonts w:ascii="Arial Narrow" w:hAnsi="Arial Narrow" w:cs="Times New Roman"/>
          <w:szCs w:val="24"/>
        </w:rPr>
        <w:lastRenderedPageBreak/>
        <w:t>scales suitable for use by many of the smaller Caribbean SIDS to provide detailed marine conditions at all locations along their coast lines.</w:t>
      </w:r>
    </w:p>
    <w:p w14:paraId="4E95872D" w14:textId="77777777" w:rsidR="00EF52AF" w:rsidRDefault="00EF52AF" w:rsidP="00EF52AF">
      <w:pPr>
        <w:pStyle w:val="Body"/>
        <w:tabs>
          <w:tab w:val="left" w:pos="1080"/>
        </w:tabs>
        <w:rPr>
          <w:rFonts w:ascii="Arial Narrow" w:hAnsi="Arial Narrow" w:cs="Times New Roman"/>
          <w:szCs w:val="24"/>
        </w:rPr>
      </w:pPr>
    </w:p>
    <w:p w14:paraId="596FB2C5" w14:textId="77777777" w:rsidR="00EF52AF" w:rsidRDefault="00EF52AF" w:rsidP="00EF52AF">
      <w:pPr>
        <w:pStyle w:val="Body"/>
        <w:tabs>
          <w:tab w:val="left" w:pos="1080"/>
        </w:tabs>
      </w:pPr>
      <w:proofErr w:type="spellStart"/>
      <w:r>
        <w:rPr>
          <w:rFonts w:ascii="Arial Narrow" w:hAnsi="Arial Narrow" w:cs="Times New Roman"/>
          <w:szCs w:val="24"/>
        </w:rPr>
        <w:t>Recognising</w:t>
      </w:r>
      <w:proofErr w:type="spellEnd"/>
      <w:r>
        <w:rPr>
          <w:rFonts w:ascii="Arial Narrow" w:hAnsi="Arial Narrow" w:cs="Times New Roman"/>
          <w:szCs w:val="24"/>
        </w:rPr>
        <w:t xml:space="preserve"> this gap in knowledge and knowhow related to marine forecasting and the increasing value of marine forecasts to livelihoods, reduction in loss of life and overall economic activity of many states in the Caribbean, the CIMH at the urging of NMHSs in Member States of the CMO teamed with the Caribbean Disaster and Emergency Management Agency (CDEMA) and the United Kingdom Meteorological Office (UK Met Office) to deliver a marine forecasting course to the region. The one week course (5-9 July, 2010) delivered by the UK Met Office, which provided participants with basic skills in marine forecasting was well received with many encouraging follow up training in the area and increased access to high resolution regional marine forecasts, to drive and inform national marine forecasts. While some of the knowledge and know-how acquired in the course has been incorporated into the CIMH training </w:t>
      </w:r>
      <w:proofErr w:type="spellStart"/>
      <w:r>
        <w:rPr>
          <w:rFonts w:ascii="Arial Narrow" w:hAnsi="Arial Narrow" w:cs="Times New Roman"/>
          <w:szCs w:val="24"/>
        </w:rPr>
        <w:t>programmes</w:t>
      </w:r>
      <w:proofErr w:type="spellEnd"/>
      <w:r>
        <w:rPr>
          <w:rFonts w:ascii="Arial Narrow" w:hAnsi="Arial Narrow" w:cs="Times New Roman"/>
          <w:szCs w:val="24"/>
        </w:rPr>
        <w:t>, no new significant initiatives to expand and improve the marine forecasting capabilities of NMHSs have been undertaken even though the need is great.</w:t>
      </w:r>
    </w:p>
    <w:p w14:paraId="2D2A1F36" w14:textId="77777777" w:rsidR="00EF52AF" w:rsidRDefault="00EF52AF" w:rsidP="00EF52AF">
      <w:pPr>
        <w:pStyle w:val="Body"/>
        <w:tabs>
          <w:tab w:val="left" w:pos="1080"/>
        </w:tabs>
        <w:rPr>
          <w:rFonts w:ascii="Arial Narrow" w:hAnsi="Arial Narrow" w:cs="Times New Roman"/>
          <w:szCs w:val="24"/>
        </w:rPr>
      </w:pPr>
    </w:p>
    <w:p w14:paraId="43FC26D2" w14:textId="77777777" w:rsidR="00EF52AF" w:rsidRDefault="00EF52AF" w:rsidP="00EF52AF">
      <w:pPr>
        <w:pStyle w:val="Body"/>
        <w:tabs>
          <w:tab w:val="left" w:pos="1080"/>
        </w:tabs>
        <w:rPr>
          <w:rFonts w:ascii="Arial Narrow" w:hAnsi="Arial Narrow" w:cs="Times New Roman"/>
          <w:szCs w:val="24"/>
        </w:rPr>
      </w:pPr>
      <w:r>
        <w:rPr>
          <w:rFonts w:ascii="Arial Narrow" w:hAnsi="Arial Narrow" w:cs="Times New Roman"/>
          <w:szCs w:val="24"/>
        </w:rPr>
        <w:t>Since the initial offering, the CIMH has been seeking additional opportunities to deliver a follow-up course in marine forecasting for persons in NMHSs. These would include (a) introductory courses similar to that previously delivered and particularly focused on building the capacity of meteorological forecasters with little background in marine forecasting, (b) mid-level courses for meteorological forecasters who took the previous course or have taken recent courses in marine forecasting offered by the CIMH, and (c) advance- level courses in marine forecasting for those persons with mid-level experience in marine forecasting.</w:t>
      </w:r>
    </w:p>
    <w:p w14:paraId="3B6A15B7" w14:textId="77777777" w:rsidR="00EF52AF" w:rsidRDefault="00EF52AF" w:rsidP="00EF52AF">
      <w:pPr>
        <w:pStyle w:val="Body"/>
        <w:tabs>
          <w:tab w:val="left" w:pos="1080"/>
        </w:tabs>
        <w:rPr>
          <w:rFonts w:ascii="Arial Narrow" w:hAnsi="Arial Narrow" w:cs="Times New Roman"/>
          <w:szCs w:val="24"/>
        </w:rPr>
      </w:pPr>
    </w:p>
    <w:p w14:paraId="6FCFD5A2" w14:textId="77777777" w:rsidR="00EF52AF" w:rsidRDefault="00EF52AF" w:rsidP="00EF52AF">
      <w:pPr>
        <w:pStyle w:val="Body"/>
        <w:tabs>
          <w:tab w:val="left" w:pos="1080"/>
        </w:tabs>
        <w:rPr>
          <w:rFonts w:ascii="Arial Narrow" w:hAnsi="Arial Narrow" w:cs="Times New Roman"/>
          <w:szCs w:val="24"/>
        </w:rPr>
      </w:pPr>
      <w:r>
        <w:rPr>
          <w:rFonts w:ascii="Arial Narrow" w:hAnsi="Arial Narrow" w:cs="Times New Roman"/>
          <w:szCs w:val="24"/>
        </w:rPr>
        <w:t xml:space="preserve">As part of the Reduced Risk to Human and Natural Assets Resulting from Climate Change (RRACC) project funded by USAID and implemented by the </w:t>
      </w:r>
      <w:proofErr w:type="spellStart"/>
      <w:r>
        <w:rPr>
          <w:rFonts w:ascii="Arial Narrow" w:hAnsi="Arial Narrow" w:cs="Times New Roman"/>
          <w:szCs w:val="24"/>
        </w:rPr>
        <w:t>Organisation</w:t>
      </w:r>
      <w:proofErr w:type="spellEnd"/>
      <w:r>
        <w:rPr>
          <w:rFonts w:ascii="Arial Narrow" w:hAnsi="Arial Narrow" w:cs="Times New Roman"/>
          <w:szCs w:val="24"/>
        </w:rPr>
        <w:t xml:space="preserve"> of Eastern Caribbean States (OECS) Secretariat, OEA Technologies Incorporated was commissioned to design and implement a regional marine monitoring and forecasting system for the OECS. The OEA Technologies Incorporated report of 2013 noted that while climate change and associated sea-level rise were high priorities for the OECS, there was very limited marine monitoring and forecasting services in the Eastern Caribbean. The report also noted that with regards to marine monitoring, there were three sea-level monitoring sensors present in the OECS that were operated by international entities</w:t>
      </w:r>
    </w:p>
    <w:p w14:paraId="1343A4FC" w14:textId="77777777" w:rsidR="00EF52AF" w:rsidRDefault="00EF52AF" w:rsidP="00EF52AF">
      <w:pPr>
        <w:pStyle w:val="Body"/>
        <w:tabs>
          <w:tab w:val="left" w:pos="1080"/>
        </w:tabs>
        <w:rPr>
          <w:rFonts w:ascii="Arial Narrow" w:hAnsi="Arial Narrow" w:cs="Times New Roman"/>
          <w:szCs w:val="24"/>
        </w:rPr>
      </w:pPr>
    </w:p>
    <w:p w14:paraId="251D1836" w14:textId="77777777" w:rsidR="00EF52AF" w:rsidRDefault="00EF52AF" w:rsidP="00EF52AF">
      <w:pPr>
        <w:pStyle w:val="Body"/>
        <w:tabs>
          <w:tab w:val="left" w:pos="1080"/>
        </w:tabs>
        <w:rPr>
          <w:rFonts w:ascii="Arial Narrow" w:hAnsi="Arial Narrow" w:cs="Times New Roman"/>
          <w:szCs w:val="24"/>
        </w:rPr>
      </w:pPr>
      <w:proofErr w:type="spellStart"/>
      <w:r>
        <w:rPr>
          <w:rFonts w:ascii="Arial Narrow" w:hAnsi="Arial Narrow" w:cs="Times New Roman"/>
          <w:szCs w:val="24"/>
        </w:rPr>
        <w:t>Recognising</w:t>
      </w:r>
      <w:proofErr w:type="spellEnd"/>
      <w:r>
        <w:rPr>
          <w:rFonts w:ascii="Arial Narrow" w:hAnsi="Arial Narrow" w:cs="Times New Roman"/>
          <w:szCs w:val="24"/>
        </w:rPr>
        <w:t xml:space="preserve"> the daily risks posed by marine conditions to marine-based sectors and the report of OEA Technologies Incorporated, the CIMH in 2015 </w:t>
      </w:r>
      <w:proofErr w:type="spellStart"/>
      <w:r>
        <w:rPr>
          <w:rFonts w:ascii="Arial Narrow" w:hAnsi="Arial Narrow" w:cs="Times New Roman"/>
          <w:szCs w:val="24"/>
        </w:rPr>
        <w:t>operationalised</w:t>
      </w:r>
      <w:proofErr w:type="spellEnd"/>
      <w:r>
        <w:rPr>
          <w:rFonts w:ascii="Arial Narrow" w:hAnsi="Arial Narrow" w:cs="Times New Roman"/>
          <w:szCs w:val="24"/>
        </w:rPr>
        <w:t xml:space="preserve"> an implementation of the WaveWatch-3 marine wave modeling software over a large area covering the Caribbean Sea and adjacent oceans. Operational model runs of seven days at 4 </w:t>
      </w:r>
      <w:proofErr w:type="spellStart"/>
      <w:r>
        <w:rPr>
          <w:rFonts w:ascii="Arial Narrow" w:hAnsi="Arial Narrow" w:cs="Times New Roman"/>
          <w:szCs w:val="24"/>
        </w:rPr>
        <w:t>kilometres</w:t>
      </w:r>
      <w:proofErr w:type="spellEnd"/>
      <w:r>
        <w:rPr>
          <w:rFonts w:ascii="Arial Narrow" w:hAnsi="Arial Narrow" w:cs="Times New Roman"/>
          <w:szCs w:val="24"/>
        </w:rPr>
        <w:t xml:space="preserve"> resolution are initiated twice per day using global datasets to </w:t>
      </w:r>
      <w:proofErr w:type="spellStart"/>
      <w:r>
        <w:rPr>
          <w:rFonts w:ascii="Arial Narrow" w:hAnsi="Arial Narrow" w:cs="Times New Roman"/>
          <w:szCs w:val="24"/>
        </w:rPr>
        <w:t>initialise</w:t>
      </w:r>
      <w:proofErr w:type="spellEnd"/>
      <w:r>
        <w:rPr>
          <w:rFonts w:ascii="Arial Narrow" w:hAnsi="Arial Narrow" w:cs="Times New Roman"/>
          <w:szCs w:val="24"/>
        </w:rPr>
        <w:t xml:space="preserve"> and establish relevant boundary conditions. Since 2000, the CIMH has built experience installing and maintaining marine observation platforms. The CIMH was an active participant in the establishment of the sea level monitoring network for the Caribbean established under the Caribbean Planning for Adaptation to Climate Change project implemented by the World Bank and executed by the Organization of American States (OAS) during the period 1997-2001. Under the project, several staff supported the installation of 18 sea level stations at various locations across the Caribbean, monitoring and maintenance of the network.</w:t>
      </w:r>
    </w:p>
    <w:p w14:paraId="6836A017" w14:textId="77777777" w:rsidR="00EF52AF" w:rsidRDefault="00EF52AF" w:rsidP="00EF52AF">
      <w:pPr>
        <w:pStyle w:val="Body"/>
        <w:tabs>
          <w:tab w:val="left" w:pos="1080"/>
        </w:tabs>
        <w:rPr>
          <w:rFonts w:ascii="Arial Narrow" w:hAnsi="Arial Narrow"/>
          <w:color w:val="585858"/>
          <w:szCs w:val="24"/>
          <w:shd w:val="clear" w:color="auto" w:fill="FFFFFF"/>
        </w:rPr>
      </w:pPr>
    </w:p>
    <w:p w14:paraId="12A86F58" w14:textId="77777777" w:rsidR="00EF52AF" w:rsidRPr="00DA2B17" w:rsidRDefault="00EF52AF" w:rsidP="00EF52AF">
      <w:pPr>
        <w:pStyle w:val="Body"/>
        <w:tabs>
          <w:tab w:val="left" w:pos="1080"/>
        </w:tabs>
        <w:rPr>
          <w:rFonts w:ascii="Arial Narrow" w:hAnsi="Arial Narrow" w:cs="Times New Roman"/>
          <w:color w:val="000000" w:themeColor="text1"/>
          <w:szCs w:val="24"/>
        </w:rPr>
      </w:pPr>
      <w:r w:rsidRPr="00DA2B17">
        <w:rPr>
          <w:rFonts w:ascii="Arial Narrow" w:hAnsi="Arial Narrow"/>
          <w:color w:val="000000" w:themeColor="text1"/>
          <w:szCs w:val="24"/>
          <w:shd w:val="clear" w:color="auto" w:fill="FFFFFF"/>
        </w:rPr>
        <w:t xml:space="preserve">Operational marine meteorologists/forecasters collect weather and ocean data from weather stations, satellites and observation vessels. This information is fed into computers, used to interpret the output and produce and analyze charts. This information is also used to predict weather changes, and to provide a record of past weather, from which calculations of largescale changes in the global climate can be made. </w:t>
      </w:r>
    </w:p>
    <w:p w14:paraId="62C44667" w14:textId="4BACCA28" w:rsidR="00EF52AF" w:rsidRDefault="00EF52AF" w:rsidP="00EF52AF">
      <w:pPr>
        <w:pStyle w:val="Body"/>
        <w:rPr>
          <w:rFonts w:ascii="Arial Narrow" w:hAnsi="Arial Narrow" w:cs="Times New Roman"/>
          <w:color w:val="auto"/>
          <w:szCs w:val="24"/>
        </w:rPr>
      </w:pPr>
    </w:p>
    <w:p w14:paraId="3ED450C6" w14:textId="77777777" w:rsidR="00EF52AF" w:rsidRPr="00E17121" w:rsidRDefault="00EF52AF" w:rsidP="00EF52AF">
      <w:pPr>
        <w:pStyle w:val="Body"/>
        <w:rPr>
          <w:rFonts w:ascii="Arial Narrow" w:hAnsi="Arial Narrow" w:cs="Times New Roman"/>
          <w:color w:val="auto"/>
          <w:szCs w:val="24"/>
        </w:rPr>
      </w:pPr>
    </w:p>
    <w:p w14:paraId="1ECDC98B" w14:textId="77777777" w:rsidR="00EF52AF" w:rsidRDefault="00EF52AF" w:rsidP="00EF52AF">
      <w:pPr>
        <w:pStyle w:val="Body"/>
        <w:numPr>
          <w:ilvl w:val="0"/>
          <w:numId w:val="2"/>
        </w:numPr>
        <w:ind w:left="540" w:hanging="540"/>
        <w:rPr>
          <w:rFonts w:ascii="Arial Narrow" w:hAnsi="Arial Narrow" w:cs="Times New Roman"/>
          <w:b/>
          <w:color w:val="00000A"/>
          <w:szCs w:val="24"/>
        </w:rPr>
      </w:pPr>
      <w:r>
        <w:rPr>
          <w:rFonts w:ascii="Arial Narrow" w:hAnsi="Arial Narrow" w:cs="Times New Roman"/>
          <w:b/>
          <w:color w:val="00000A"/>
          <w:szCs w:val="24"/>
        </w:rPr>
        <w:lastRenderedPageBreak/>
        <w:t>CONSULTANCY AIM AND OBJECTIVES</w:t>
      </w:r>
    </w:p>
    <w:p w14:paraId="57B99117" w14:textId="77777777" w:rsidR="00EF52AF" w:rsidRDefault="00EF52AF" w:rsidP="00EF52AF">
      <w:pPr>
        <w:pStyle w:val="Body"/>
        <w:ind w:left="720"/>
        <w:rPr>
          <w:rFonts w:ascii="Arial Narrow" w:hAnsi="Arial Narrow" w:cs="Times New Roman"/>
          <w:color w:val="00000A"/>
          <w:szCs w:val="24"/>
        </w:rPr>
      </w:pPr>
    </w:p>
    <w:p w14:paraId="05001705" w14:textId="77777777" w:rsidR="00EF52AF" w:rsidRDefault="00EF52AF" w:rsidP="00EF52AF">
      <w:pPr>
        <w:pStyle w:val="Body"/>
        <w:rPr>
          <w:rFonts w:ascii="Arial Narrow" w:hAnsi="Arial Narrow" w:cs="Times New Roman"/>
          <w:color w:val="00000A"/>
          <w:szCs w:val="24"/>
        </w:rPr>
      </w:pPr>
      <w:r>
        <w:rPr>
          <w:rFonts w:ascii="Arial Narrow" w:hAnsi="Arial Narrow" w:cs="Times New Roman"/>
          <w:color w:val="00000A"/>
          <w:szCs w:val="24"/>
        </w:rPr>
        <w:t xml:space="preserve">The focus of this consultancy is to </w:t>
      </w:r>
      <w:bookmarkStart w:id="2" w:name="_Hlk503450544"/>
      <w:r>
        <w:rPr>
          <w:rFonts w:ascii="Arial Narrow" w:hAnsi="Arial Narrow" w:cs="Times New Roman"/>
          <w:color w:val="00000A"/>
          <w:szCs w:val="24"/>
        </w:rPr>
        <w:t>strengthen operational marine forecasting across the region and in particular the member states of the CIMH and borrowing member countries of the Caribbean Development Bank</w:t>
      </w:r>
      <w:bookmarkEnd w:id="2"/>
      <w:r>
        <w:rPr>
          <w:rFonts w:ascii="Arial Narrow" w:hAnsi="Arial Narrow" w:cs="Times New Roman"/>
          <w:color w:val="00000A"/>
          <w:szCs w:val="24"/>
        </w:rPr>
        <w:t>.</w:t>
      </w:r>
    </w:p>
    <w:p w14:paraId="6F7FD15D" w14:textId="77777777" w:rsidR="00EF52AF" w:rsidRDefault="00EF52AF" w:rsidP="00EF52AF">
      <w:pPr>
        <w:pStyle w:val="Body"/>
        <w:rPr>
          <w:rFonts w:ascii="Arial Narrow" w:hAnsi="Arial Narrow" w:cs="Times New Roman"/>
          <w:color w:val="auto"/>
          <w:szCs w:val="24"/>
        </w:rPr>
      </w:pPr>
    </w:p>
    <w:p w14:paraId="158FBF9E" w14:textId="77777777" w:rsidR="00EF52AF" w:rsidRDefault="00EF52AF" w:rsidP="00EF52AF">
      <w:pPr>
        <w:pStyle w:val="Body"/>
        <w:rPr>
          <w:rFonts w:ascii="Arial Narrow" w:hAnsi="Arial Narrow" w:cs="Times New Roman"/>
          <w:color w:val="auto"/>
          <w:szCs w:val="24"/>
        </w:rPr>
      </w:pPr>
    </w:p>
    <w:p w14:paraId="46B6DA5A" w14:textId="77777777" w:rsidR="00EF52AF" w:rsidRDefault="00EF52AF" w:rsidP="00EF52AF">
      <w:pPr>
        <w:pStyle w:val="Body"/>
        <w:numPr>
          <w:ilvl w:val="0"/>
          <w:numId w:val="2"/>
        </w:numPr>
        <w:ind w:left="540" w:hanging="540"/>
        <w:rPr>
          <w:rFonts w:ascii="Arial Narrow" w:hAnsi="Arial Narrow" w:cs="Times New Roman"/>
          <w:b/>
          <w:color w:val="00000A"/>
          <w:szCs w:val="24"/>
        </w:rPr>
      </w:pPr>
      <w:r>
        <w:rPr>
          <w:rFonts w:ascii="Arial Narrow" w:hAnsi="Arial Narrow" w:cs="Times New Roman"/>
          <w:b/>
          <w:color w:val="00000A"/>
          <w:szCs w:val="24"/>
        </w:rPr>
        <w:t>SCOPE OF WORK</w:t>
      </w:r>
    </w:p>
    <w:p w14:paraId="6FE3933F" w14:textId="77777777" w:rsidR="00EF52AF" w:rsidRDefault="00EF52AF" w:rsidP="00EF52AF">
      <w:pPr>
        <w:pStyle w:val="Body"/>
        <w:ind w:left="540"/>
        <w:rPr>
          <w:rFonts w:ascii="Arial Narrow" w:hAnsi="Arial Narrow" w:cs="Times New Roman"/>
          <w:b/>
          <w:color w:val="00000A"/>
          <w:szCs w:val="24"/>
        </w:rPr>
      </w:pPr>
    </w:p>
    <w:p w14:paraId="0894CEF4" w14:textId="77777777" w:rsidR="00EF52AF" w:rsidRDefault="00EF52AF" w:rsidP="00EF52AF">
      <w:pPr>
        <w:jc w:val="both"/>
        <w:rPr>
          <w:rFonts w:ascii="Arial Narrow" w:hAnsi="Arial Narrow"/>
          <w:b/>
          <w:bCs/>
          <w:sz w:val="22"/>
          <w:szCs w:val="22"/>
          <w:u w:val="single"/>
        </w:rPr>
      </w:pPr>
      <w:r>
        <w:rPr>
          <w:rFonts w:ascii="Arial Narrow" w:eastAsia="Arial Unicode MS" w:hAnsi="Arial Narrow"/>
          <w:lang w:val="en-US"/>
        </w:rPr>
        <w:t xml:space="preserve">Within the framework of the </w:t>
      </w:r>
      <w:r>
        <w:rPr>
          <w:rFonts w:ascii="Arial Narrow" w:hAnsi="Arial Narrow"/>
          <w:lang w:val="en-029"/>
        </w:rPr>
        <w:t>Expanded Weather and Climate Forecasting and Innovative Product and Service Development and Delivery in the Caribbean Project, the specific duties and responsibilities of the Consultant include:</w:t>
      </w:r>
    </w:p>
    <w:p w14:paraId="4FD40BE1" w14:textId="77777777" w:rsidR="00EF52AF" w:rsidRDefault="00EF52AF" w:rsidP="00EF52AF">
      <w:pPr>
        <w:rPr>
          <w:rFonts w:ascii="Times New Roman" w:eastAsia="Arial Unicode MS" w:hAnsi="Times New Roman"/>
          <w:sz w:val="22"/>
          <w:szCs w:val="22"/>
          <w:lang w:val="en-US"/>
        </w:rPr>
      </w:pPr>
    </w:p>
    <w:p w14:paraId="14D89B25" w14:textId="77777777" w:rsidR="00EF52AF" w:rsidRDefault="00EF52AF" w:rsidP="00EF52AF">
      <w:pPr>
        <w:pStyle w:val="Body"/>
        <w:numPr>
          <w:ilvl w:val="0"/>
          <w:numId w:val="1"/>
        </w:numPr>
        <w:ind w:left="1080" w:hanging="540"/>
        <w:rPr>
          <w:rFonts w:ascii="Arial Narrow" w:hAnsi="Arial Narrow" w:cs="Times New Roman"/>
          <w:color w:val="00000A"/>
          <w:szCs w:val="24"/>
        </w:rPr>
      </w:pPr>
      <w:r w:rsidRPr="00D21835">
        <w:rPr>
          <w:rFonts w:ascii="Arial Narrow" w:hAnsi="Arial Narrow" w:cs="Times New Roman"/>
          <w:color w:val="00000A"/>
          <w:szCs w:val="24"/>
        </w:rPr>
        <w:t>Enhancing</w:t>
      </w:r>
      <w:r>
        <w:rPr>
          <w:rFonts w:ascii="Arial Narrow" w:hAnsi="Arial Narrow" w:cs="Times New Roman"/>
          <w:color w:val="00000A"/>
          <w:szCs w:val="24"/>
        </w:rPr>
        <w:t xml:space="preserve"> the capacity of NMHSs to make and issue local marine forecasts through the development and delivery of training courses in areas of marine forecasting. It is expected that the training courses would consist of a mixture of face-to-face and online training modules with the face-to-face exercise lasting at least one week.</w:t>
      </w:r>
    </w:p>
    <w:p w14:paraId="54C49D34" w14:textId="77777777" w:rsidR="00EF52AF" w:rsidRDefault="00EF52AF" w:rsidP="00EF52AF">
      <w:pPr>
        <w:pStyle w:val="Body"/>
        <w:ind w:left="1080"/>
        <w:rPr>
          <w:rFonts w:ascii="Arial Narrow" w:hAnsi="Arial Narrow" w:cs="Times New Roman"/>
          <w:color w:val="00000A"/>
          <w:szCs w:val="24"/>
        </w:rPr>
      </w:pPr>
    </w:p>
    <w:p w14:paraId="15CFA7AA" w14:textId="77777777" w:rsidR="00EF52AF" w:rsidRDefault="00EF52AF" w:rsidP="00EF52AF">
      <w:pPr>
        <w:pStyle w:val="Body"/>
        <w:numPr>
          <w:ilvl w:val="0"/>
          <w:numId w:val="1"/>
        </w:numPr>
        <w:ind w:left="1080" w:hanging="540"/>
        <w:rPr>
          <w:rFonts w:ascii="Arial Narrow" w:hAnsi="Arial Narrow" w:cs="Times New Roman"/>
          <w:color w:val="00000A"/>
          <w:szCs w:val="24"/>
        </w:rPr>
      </w:pPr>
      <w:r>
        <w:rPr>
          <w:rFonts w:ascii="Arial Narrow" w:hAnsi="Arial Narrow" w:cs="Times New Roman"/>
          <w:color w:val="00000A"/>
          <w:szCs w:val="24"/>
        </w:rPr>
        <w:t xml:space="preserve">Strengthening the CIMH’s capacity to develop and deliver face-to-face and online training </w:t>
      </w:r>
      <w:proofErr w:type="spellStart"/>
      <w:r>
        <w:rPr>
          <w:rFonts w:ascii="Arial Narrow" w:hAnsi="Arial Narrow" w:cs="Times New Roman"/>
          <w:color w:val="00000A"/>
          <w:szCs w:val="24"/>
        </w:rPr>
        <w:t>programmes</w:t>
      </w:r>
      <w:proofErr w:type="spellEnd"/>
      <w:r>
        <w:rPr>
          <w:rFonts w:ascii="Arial Narrow" w:hAnsi="Arial Narrow" w:cs="Times New Roman"/>
          <w:color w:val="00000A"/>
          <w:szCs w:val="24"/>
        </w:rPr>
        <w:t xml:space="preserve"> in marine meteorology forecasting to NMHSs and the stakeholders across the Caribbean. The Consultant will develop and deliver </w:t>
      </w:r>
      <w:proofErr w:type="spellStart"/>
      <w:r>
        <w:rPr>
          <w:rFonts w:ascii="Arial Narrow" w:hAnsi="Arial Narrow" w:cs="Times New Roman"/>
          <w:color w:val="00000A"/>
          <w:szCs w:val="24"/>
        </w:rPr>
        <w:t>specialised</w:t>
      </w:r>
      <w:proofErr w:type="spellEnd"/>
      <w:r>
        <w:rPr>
          <w:rFonts w:ascii="Arial Narrow" w:hAnsi="Arial Narrow" w:cs="Times New Roman"/>
          <w:color w:val="00000A"/>
          <w:szCs w:val="24"/>
        </w:rPr>
        <w:t xml:space="preserve"> in-house training </w:t>
      </w:r>
      <w:proofErr w:type="spellStart"/>
      <w:r>
        <w:rPr>
          <w:rFonts w:ascii="Arial Narrow" w:hAnsi="Arial Narrow" w:cs="Times New Roman"/>
          <w:color w:val="00000A"/>
          <w:szCs w:val="24"/>
        </w:rPr>
        <w:t>programmes</w:t>
      </w:r>
      <w:proofErr w:type="spellEnd"/>
      <w:r>
        <w:rPr>
          <w:rFonts w:ascii="Arial Narrow" w:hAnsi="Arial Narrow" w:cs="Times New Roman"/>
          <w:color w:val="00000A"/>
          <w:szCs w:val="24"/>
        </w:rPr>
        <w:t xml:space="preserve"> for CIMH staff. The Consultant will also identify at least one international course or </w:t>
      </w:r>
      <w:proofErr w:type="spellStart"/>
      <w:r>
        <w:rPr>
          <w:rFonts w:ascii="Arial Narrow" w:hAnsi="Arial Narrow" w:cs="Times New Roman"/>
          <w:color w:val="00000A"/>
          <w:szCs w:val="24"/>
        </w:rPr>
        <w:t>programme</w:t>
      </w:r>
      <w:proofErr w:type="spellEnd"/>
      <w:r>
        <w:rPr>
          <w:rFonts w:ascii="Arial Narrow" w:hAnsi="Arial Narrow" w:cs="Times New Roman"/>
          <w:color w:val="00000A"/>
          <w:szCs w:val="24"/>
        </w:rPr>
        <w:t xml:space="preserve"> that at least one member of staff can attend to further strengthen their background and skills in marine forecasting.</w:t>
      </w:r>
    </w:p>
    <w:p w14:paraId="5A5FDB14" w14:textId="77777777" w:rsidR="00EF52AF" w:rsidRDefault="00EF52AF" w:rsidP="00EF52AF">
      <w:pPr>
        <w:pStyle w:val="Body"/>
        <w:ind w:left="1080"/>
        <w:rPr>
          <w:rFonts w:ascii="Arial Narrow" w:hAnsi="Arial Narrow" w:cs="Times New Roman"/>
          <w:color w:val="00000A"/>
          <w:szCs w:val="24"/>
        </w:rPr>
      </w:pPr>
    </w:p>
    <w:p w14:paraId="2A64828E" w14:textId="77777777" w:rsidR="00EF52AF" w:rsidRDefault="00EF52AF" w:rsidP="00EF52AF">
      <w:pPr>
        <w:pStyle w:val="Body"/>
        <w:numPr>
          <w:ilvl w:val="0"/>
          <w:numId w:val="1"/>
        </w:numPr>
        <w:ind w:left="1080" w:hanging="540"/>
        <w:rPr>
          <w:rFonts w:ascii="Arial Narrow" w:hAnsi="Arial Narrow" w:cs="Times New Roman"/>
          <w:color w:val="00000A"/>
          <w:szCs w:val="24"/>
        </w:rPr>
      </w:pPr>
      <w:r>
        <w:rPr>
          <w:rFonts w:ascii="Arial Narrow" w:hAnsi="Arial Narrow" w:cs="Times New Roman"/>
          <w:color w:val="00000A"/>
          <w:szCs w:val="24"/>
        </w:rPr>
        <w:t>Strengthening the CIMH’s capabilities to deliver marine forecasting products and services to a broad range of stakeholders. The Consultant will work with the CIMH staff to identify the potential market for marine products and services and work with staff to pilot products to some potential clients;</w:t>
      </w:r>
    </w:p>
    <w:p w14:paraId="6CF157D3" w14:textId="77777777" w:rsidR="00EF52AF" w:rsidRDefault="00EF52AF" w:rsidP="00EF52AF">
      <w:pPr>
        <w:pStyle w:val="ListParagraph"/>
        <w:rPr>
          <w:rFonts w:ascii="Arial Narrow" w:hAnsi="Arial Narrow"/>
        </w:rPr>
      </w:pPr>
    </w:p>
    <w:p w14:paraId="01C33C7B" w14:textId="77777777" w:rsidR="00EF52AF" w:rsidRDefault="00EF52AF" w:rsidP="00EF52AF">
      <w:pPr>
        <w:pStyle w:val="Body"/>
        <w:ind w:left="720"/>
        <w:rPr>
          <w:rFonts w:ascii="Arial Narrow" w:hAnsi="Arial Narrow" w:cs="Times New Roman"/>
          <w:b/>
          <w:bCs/>
          <w:color w:val="00000A"/>
        </w:rPr>
      </w:pPr>
    </w:p>
    <w:p w14:paraId="39F3F3DB" w14:textId="77777777" w:rsidR="00EF52AF" w:rsidRDefault="00EF52AF" w:rsidP="00EF52AF">
      <w:pPr>
        <w:pStyle w:val="Body"/>
        <w:numPr>
          <w:ilvl w:val="0"/>
          <w:numId w:val="2"/>
        </w:numPr>
        <w:ind w:left="540" w:hanging="540"/>
        <w:rPr>
          <w:rFonts w:ascii="Arial Narrow" w:hAnsi="Arial Narrow" w:cs="Times New Roman"/>
          <w:b/>
          <w:color w:val="00000A"/>
          <w:szCs w:val="24"/>
        </w:rPr>
      </w:pPr>
      <w:r>
        <w:rPr>
          <w:rFonts w:ascii="Arial Narrow" w:hAnsi="Arial Narrow" w:cs="Times New Roman"/>
          <w:b/>
          <w:color w:val="00000A"/>
          <w:szCs w:val="24"/>
        </w:rPr>
        <w:t xml:space="preserve">CONSULTANT DELIVERABLES </w:t>
      </w:r>
    </w:p>
    <w:p w14:paraId="5EDEE2BD" w14:textId="77777777" w:rsidR="00EF52AF" w:rsidRDefault="00EF52AF" w:rsidP="00EF52AF">
      <w:pPr>
        <w:pStyle w:val="Body"/>
        <w:ind w:left="720"/>
        <w:rPr>
          <w:rFonts w:ascii="Arial Narrow" w:hAnsi="Arial Narrow" w:cs="Times New Roman"/>
          <w:color w:val="00000A"/>
          <w:szCs w:val="24"/>
        </w:rPr>
      </w:pPr>
    </w:p>
    <w:tbl>
      <w:tblPr>
        <w:tblStyle w:val="TableGrid"/>
        <w:tblW w:w="8095" w:type="dxa"/>
        <w:tblInd w:w="720" w:type="dxa"/>
        <w:tblLook w:val="04A0" w:firstRow="1" w:lastRow="0" w:firstColumn="1" w:lastColumn="0" w:noHBand="0" w:noVBand="1"/>
      </w:tblPr>
      <w:tblGrid>
        <w:gridCol w:w="444"/>
        <w:gridCol w:w="7651"/>
      </w:tblGrid>
      <w:tr w:rsidR="00EF52AF" w14:paraId="7D1D29A5" w14:textId="77777777" w:rsidTr="007D5EE4">
        <w:trPr>
          <w:trHeight w:val="350"/>
        </w:trPr>
        <w:tc>
          <w:tcPr>
            <w:tcW w:w="444" w:type="dxa"/>
            <w:shd w:val="clear" w:color="auto" w:fill="auto"/>
            <w:tcMar>
              <w:left w:w="108" w:type="dxa"/>
            </w:tcMar>
          </w:tcPr>
          <w:p w14:paraId="27AD56C3"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1.</w:t>
            </w:r>
          </w:p>
        </w:tc>
        <w:tc>
          <w:tcPr>
            <w:tcW w:w="7651" w:type="dxa"/>
            <w:shd w:val="clear" w:color="auto" w:fill="auto"/>
            <w:tcMar>
              <w:left w:w="108" w:type="dxa"/>
            </w:tcMar>
          </w:tcPr>
          <w:p w14:paraId="3FE6321C"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 xml:space="preserve">An Inception Report </w:t>
            </w:r>
          </w:p>
        </w:tc>
      </w:tr>
      <w:tr w:rsidR="00EF52AF" w14:paraId="223DD013" w14:textId="77777777" w:rsidTr="007D5EE4">
        <w:trPr>
          <w:trHeight w:val="620"/>
        </w:trPr>
        <w:tc>
          <w:tcPr>
            <w:tcW w:w="444" w:type="dxa"/>
            <w:shd w:val="clear" w:color="auto" w:fill="auto"/>
            <w:tcMar>
              <w:left w:w="108" w:type="dxa"/>
            </w:tcMar>
          </w:tcPr>
          <w:p w14:paraId="62D39819"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2.</w:t>
            </w:r>
          </w:p>
        </w:tc>
        <w:tc>
          <w:tcPr>
            <w:tcW w:w="7651" w:type="dxa"/>
            <w:shd w:val="clear" w:color="auto" w:fill="auto"/>
            <w:tcMar>
              <w:left w:w="108" w:type="dxa"/>
            </w:tcMar>
          </w:tcPr>
          <w:p w14:paraId="6A7EEC58"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Training syllabi for entry-level, intermediate and advanced level marine forecaster training courses inclusive of time table for the training</w:t>
            </w:r>
          </w:p>
        </w:tc>
      </w:tr>
      <w:tr w:rsidR="00EF52AF" w14:paraId="455FBC6C" w14:textId="77777777" w:rsidTr="007D5EE4">
        <w:trPr>
          <w:trHeight w:val="620"/>
        </w:trPr>
        <w:tc>
          <w:tcPr>
            <w:tcW w:w="444" w:type="dxa"/>
            <w:shd w:val="clear" w:color="auto" w:fill="auto"/>
            <w:tcMar>
              <w:left w:w="108" w:type="dxa"/>
            </w:tcMar>
          </w:tcPr>
          <w:p w14:paraId="38643627"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3.</w:t>
            </w:r>
          </w:p>
        </w:tc>
        <w:tc>
          <w:tcPr>
            <w:tcW w:w="7651" w:type="dxa"/>
            <w:shd w:val="clear" w:color="auto" w:fill="auto"/>
            <w:tcMar>
              <w:left w:w="108" w:type="dxa"/>
            </w:tcMar>
          </w:tcPr>
          <w:p w14:paraId="777E5A6B"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Report on the face-to-face training on marine forecasting at the CIMH, as well as conduct online training</w:t>
            </w:r>
          </w:p>
        </w:tc>
      </w:tr>
      <w:tr w:rsidR="00EF52AF" w14:paraId="397FC883" w14:textId="77777777" w:rsidTr="007D5EE4">
        <w:trPr>
          <w:trHeight w:val="620"/>
        </w:trPr>
        <w:tc>
          <w:tcPr>
            <w:tcW w:w="444" w:type="dxa"/>
            <w:shd w:val="clear" w:color="auto" w:fill="auto"/>
            <w:tcMar>
              <w:left w:w="108" w:type="dxa"/>
            </w:tcMar>
          </w:tcPr>
          <w:p w14:paraId="04CC5753"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4.</w:t>
            </w:r>
          </w:p>
        </w:tc>
        <w:tc>
          <w:tcPr>
            <w:tcW w:w="7651" w:type="dxa"/>
            <w:shd w:val="clear" w:color="auto" w:fill="auto"/>
            <w:tcMar>
              <w:left w:w="108" w:type="dxa"/>
            </w:tcMar>
          </w:tcPr>
          <w:p w14:paraId="2E3EC7B2"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 xml:space="preserve">Training syllabi for internal training </w:t>
            </w:r>
            <w:proofErr w:type="spellStart"/>
            <w:r>
              <w:rPr>
                <w:rFonts w:ascii="Arial Narrow" w:hAnsi="Arial Narrow" w:cs="Times New Roman"/>
                <w:color w:val="00000A"/>
                <w:szCs w:val="24"/>
              </w:rPr>
              <w:t>programme</w:t>
            </w:r>
            <w:proofErr w:type="spellEnd"/>
            <w:r>
              <w:rPr>
                <w:rFonts w:ascii="Arial Narrow" w:hAnsi="Arial Narrow" w:cs="Times New Roman"/>
                <w:color w:val="00000A"/>
                <w:szCs w:val="24"/>
              </w:rPr>
              <w:t xml:space="preserve"> for the CIMH staff along with identification of a proposed </w:t>
            </w:r>
            <w:proofErr w:type="spellStart"/>
            <w:r>
              <w:rPr>
                <w:rFonts w:ascii="Arial Narrow" w:hAnsi="Arial Narrow" w:cs="Times New Roman"/>
                <w:color w:val="00000A"/>
                <w:szCs w:val="24"/>
              </w:rPr>
              <w:t>programme</w:t>
            </w:r>
            <w:proofErr w:type="spellEnd"/>
            <w:r>
              <w:rPr>
                <w:rFonts w:ascii="Arial Narrow" w:hAnsi="Arial Narrow" w:cs="Times New Roman"/>
                <w:color w:val="00000A"/>
                <w:szCs w:val="24"/>
              </w:rPr>
              <w:t xml:space="preserve"> for advanced study for a least one member of staff</w:t>
            </w:r>
          </w:p>
        </w:tc>
      </w:tr>
      <w:tr w:rsidR="00EF52AF" w14:paraId="7EE682DC" w14:textId="77777777" w:rsidTr="007D5EE4">
        <w:trPr>
          <w:trHeight w:val="620"/>
        </w:trPr>
        <w:tc>
          <w:tcPr>
            <w:tcW w:w="444" w:type="dxa"/>
            <w:shd w:val="clear" w:color="auto" w:fill="auto"/>
            <w:tcMar>
              <w:left w:w="108" w:type="dxa"/>
            </w:tcMar>
          </w:tcPr>
          <w:p w14:paraId="763C230D"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5.</w:t>
            </w:r>
          </w:p>
        </w:tc>
        <w:tc>
          <w:tcPr>
            <w:tcW w:w="7651" w:type="dxa"/>
            <w:shd w:val="clear" w:color="auto" w:fill="auto"/>
            <w:tcMar>
              <w:left w:w="108" w:type="dxa"/>
            </w:tcMar>
          </w:tcPr>
          <w:p w14:paraId="7C19A547" w14:textId="77777777" w:rsidR="00EF52AF" w:rsidRDefault="00EF52AF" w:rsidP="007D5EE4">
            <w:pPr>
              <w:pStyle w:val="Body"/>
              <w:rPr>
                <w:rFonts w:ascii="Arial Narrow" w:hAnsi="Arial Narrow" w:cs="Times New Roman"/>
                <w:color w:val="00000A"/>
                <w:szCs w:val="24"/>
              </w:rPr>
            </w:pPr>
            <w:r>
              <w:rPr>
                <w:rFonts w:ascii="Arial Narrow" w:hAnsi="Arial Narrow" w:cs="Times New Roman"/>
                <w:color w:val="00000A"/>
                <w:szCs w:val="24"/>
              </w:rPr>
              <w:t xml:space="preserve">Report on training </w:t>
            </w:r>
            <w:proofErr w:type="spellStart"/>
            <w:r>
              <w:rPr>
                <w:rFonts w:ascii="Arial Narrow" w:hAnsi="Arial Narrow" w:cs="Times New Roman"/>
                <w:color w:val="00000A"/>
                <w:szCs w:val="24"/>
              </w:rPr>
              <w:t>programme</w:t>
            </w:r>
            <w:proofErr w:type="spellEnd"/>
            <w:r>
              <w:rPr>
                <w:rFonts w:ascii="Arial Narrow" w:hAnsi="Arial Narrow" w:cs="Times New Roman"/>
                <w:color w:val="00000A"/>
                <w:szCs w:val="24"/>
              </w:rPr>
              <w:t xml:space="preserve"> for the CIMH staff and new products that could be delivered by CIMH to regional stakeholders</w:t>
            </w:r>
          </w:p>
        </w:tc>
      </w:tr>
    </w:tbl>
    <w:p w14:paraId="6C372BAE" w14:textId="77777777" w:rsidR="00EF52AF" w:rsidRDefault="00EF52AF" w:rsidP="00EF52AF">
      <w:pPr>
        <w:pStyle w:val="Body"/>
        <w:ind w:left="540"/>
        <w:rPr>
          <w:rFonts w:ascii="Arial Narrow" w:hAnsi="Arial Narrow" w:cs="Times New Roman"/>
          <w:b/>
          <w:color w:val="00000A"/>
          <w:szCs w:val="24"/>
        </w:rPr>
      </w:pPr>
      <w:bookmarkStart w:id="3" w:name="_Hlk520279847"/>
    </w:p>
    <w:p w14:paraId="1B93927F" w14:textId="722B9983" w:rsidR="00EF52AF" w:rsidRDefault="00EF52AF">
      <w:pPr>
        <w:widowControl/>
        <w:suppressAutoHyphens w:val="0"/>
        <w:rPr>
          <w:rFonts w:ascii="Arial Narrow" w:eastAsia="Arial Unicode MS" w:hAnsi="Arial Narrow"/>
          <w:b/>
          <w:color w:val="00000A"/>
          <w:lang w:val="en-US"/>
        </w:rPr>
      </w:pPr>
      <w:r>
        <w:rPr>
          <w:rFonts w:ascii="Arial Narrow" w:hAnsi="Arial Narrow"/>
          <w:b/>
          <w:color w:val="00000A"/>
        </w:rPr>
        <w:br w:type="page"/>
      </w:r>
    </w:p>
    <w:p w14:paraId="0767D55A" w14:textId="77777777" w:rsidR="00EF52AF" w:rsidRDefault="00EF52AF" w:rsidP="00EF52AF">
      <w:pPr>
        <w:pStyle w:val="Body"/>
        <w:numPr>
          <w:ilvl w:val="0"/>
          <w:numId w:val="2"/>
        </w:numPr>
        <w:ind w:left="540" w:hanging="540"/>
        <w:rPr>
          <w:rFonts w:ascii="Arial Narrow" w:hAnsi="Arial Narrow" w:cs="Times New Roman"/>
          <w:b/>
          <w:color w:val="00000A"/>
          <w:szCs w:val="24"/>
        </w:rPr>
      </w:pPr>
      <w:r>
        <w:rPr>
          <w:rFonts w:ascii="Arial Narrow" w:hAnsi="Arial Narrow" w:cs="Times New Roman"/>
          <w:b/>
          <w:color w:val="00000A"/>
          <w:szCs w:val="24"/>
        </w:rPr>
        <w:lastRenderedPageBreak/>
        <w:t>CREDENTIALS</w:t>
      </w:r>
    </w:p>
    <w:bookmarkEnd w:id="3"/>
    <w:p w14:paraId="35708E8D" w14:textId="77777777" w:rsidR="00EF52AF" w:rsidRDefault="00EF52AF" w:rsidP="00EF52AF">
      <w:pPr>
        <w:pStyle w:val="Body"/>
        <w:ind w:left="720"/>
        <w:rPr>
          <w:rFonts w:ascii="Arial Narrow" w:hAnsi="Arial Narrow" w:cs="Times New Roman"/>
          <w:color w:val="00000A"/>
          <w:szCs w:val="24"/>
        </w:rPr>
      </w:pPr>
    </w:p>
    <w:p w14:paraId="3A197B2F" w14:textId="77777777" w:rsidR="00EF52AF" w:rsidRDefault="00EF52AF" w:rsidP="00EF52AF">
      <w:pPr>
        <w:tabs>
          <w:tab w:val="left" w:pos="6002"/>
        </w:tabs>
        <w:jc w:val="both"/>
        <w:outlineLvl w:val="0"/>
        <w:rPr>
          <w:rFonts w:ascii="Arial Narrow" w:hAnsi="Arial Narrow"/>
          <w:b/>
          <w:lang w:val="en-US"/>
        </w:rPr>
      </w:pPr>
      <w:r>
        <w:rPr>
          <w:rFonts w:ascii="Arial Narrow" w:hAnsi="Arial Narrow"/>
          <w:b/>
          <w:lang w:val="en-US"/>
        </w:rPr>
        <w:t>Marine Meteorology Training (Introductory, Intermediate and Advanced Courses)</w:t>
      </w:r>
    </w:p>
    <w:p w14:paraId="7E978A3E" w14:textId="77777777" w:rsidR="00EF52AF" w:rsidRDefault="00EF52AF" w:rsidP="00EF52AF">
      <w:pPr>
        <w:tabs>
          <w:tab w:val="left" w:pos="6002"/>
        </w:tabs>
        <w:jc w:val="both"/>
        <w:rPr>
          <w:rFonts w:ascii="Arial Narrow" w:hAnsi="Arial Narrow"/>
          <w:lang w:val="en-US"/>
        </w:rPr>
      </w:pPr>
    </w:p>
    <w:p w14:paraId="169F7A5E" w14:textId="77777777" w:rsidR="00EF52AF" w:rsidRDefault="00EF52AF" w:rsidP="00EF52AF">
      <w:pPr>
        <w:tabs>
          <w:tab w:val="left" w:pos="6002"/>
        </w:tabs>
        <w:jc w:val="both"/>
        <w:rPr>
          <w:rFonts w:ascii="Arial Narrow" w:hAnsi="Arial Narrow"/>
          <w:lang w:val="en-US"/>
        </w:rPr>
      </w:pPr>
      <w:r>
        <w:rPr>
          <w:rFonts w:ascii="Arial Narrow" w:hAnsi="Arial Narrow"/>
          <w:lang w:val="en-US"/>
        </w:rPr>
        <w:t xml:space="preserve">The Consultant Team member is required to have </w:t>
      </w:r>
      <w:proofErr w:type="spellStart"/>
      <w:r>
        <w:rPr>
          <w:rFonts w:ascii="Arial Narrow" w:hAnsi="Arial Narrow"/>
          <w:lang w:val="en-US"/>
        </w:rPr>
        <w:t>recognised</w:t>
      </w:r>
      <w:proofErr w:type="spellEnd"/>
      <w:r>
        <w:rPr>
          <w:rFonts w:ascii="Arial Narrow" w:hAnsi="Arial Narrow"/>
          <w:lang w:val="en-US"/>
        </w:rPr>
        <w:t xml:space="preserve"> credentials (with strong preference being given to candidates with MSc and PhD degrees) in either Meteorology, Marine Science, Oceanography, Marine Meteorology or related disciplines. In addition, the Consultant must have:</w:t>
      </w:r>
    </w:p>
    <w:p w14:paraId="7F2615C7" w14:textId="77777777" w:rsidR="00EF52AF" w:rsidRDefault="00EF52AF" w:rsidP="00EF52AF">
      <w:pPr>
        <w:tabs>
          <w:tab w:val="left" w:pos="6002"/>
        </w:tabs>
        <w:jc w:val="both"/>
        <w:rPr>
          <w:rFonts w:ascii="Arial Narrow" w:hAnsi="Arial Narrow"/>
          <w:lang w:val="en-US"/>
        </w:rPr>
      </w:pPr>
    </w:p>
    <w:p w14:paraId="731E64E2" w14:textId="77777777" w:rsidR="00EF52AF" w:rsidRDefault="00EF52AF" w:rsidP="00EF52AF">
      <w:pPr>
        <w:pStyle w:val="Body"/>
        <w:numPr>
          <w:ilvl w:val="0"/>
          <w:numId w:val="8"/>
        </w:numPr>
        <w:ind w:left="1080" w:hanging="540"/>
        <w:rPr>
          <w:rFonts w:ascii="Arial Narrow" w:hAnsi="Arial Narrow" w:cs="Times New Roman"/>
          <w:color w:val="00000A"/>
          <w:szCs w:val="24"/>
        </w:rPr>
      </w:pPr>
      <w:r>
        <w:rPr>
          <w:rFonts w:ascii="Arial Narrow" w:hAnsi="Arial Narrow"/>
          <w:szCs w:val="24"/>
        </w:rPr>
        <w:t>more than ten years of experience delivering training in areas of marine forecasting and the development of marine forecasting products to a broad range of stakeholders</w:t>
      </w:r>
      <w:r>
        <w:rPr>
          <w:rFonts w:ascii="Arial Narrow" w:hAnsi="Arial Narrow" w:cs="Times New Roman"/>
          <w:color w:val="00000A"/>
          <w:szCs w:val="24"/>
        </w:rPr>
        <w:t>;</w:t>
      </w:r>
    </w:p>
    <w:p w14:paraId="70111A06" w14:textId="77777777" w:rsidR="00EF52AF" w:rsidRDefault="00EF52AF" w:rsidP="00EF52AF">
      <w:pPr>
        <w:pStyle w:val="Body"/>
        <w:ind w:left="1080" w:hanging="540"/>
        <w:rPr>
          <w:rFonts w:ascii="Arial Narrow" w:hAnsi="Arial Narrow" w:cs="Times New Roman"/>
          <w:color w:val="00000A"/>
          <w:szCs w:val="24"/>
        </w:rPr>
      </w:pPr>
    </w:p>
    <w:p w14:paraId="5B2055FC" w14:textId="77777777" w:rsidR="00EF52AF" w:rsidRDefault="00EF52AF" w:rsidP="00EF52AF">
      <w:pPr>
        <w:pStyle w:val="Body"/>
        <w:numPr>
          <w:ilvl w:val="0"/>
          <w:numId w:val="8"/>
        </w:numPr>
        <w:ind w:left="1080" w:hanging="540"/>
        <w:rPr>
          <w:rFonts w:ascii="Arial Narrow" w:hAnsi="Arial Narrow" w:cs="Times New Roman"/>
          <w:color w:val="00000A"/>
          <w:szCs w:val="24"/>
        </w:rPr>
      </w:pPr>
      <w:r>
        <w:rPr>
          <w:rFonts w:ascii="Arial Narrow" w:hAnsi="Arial Narrow"/>
          <w:szCs w:val="24"/>
        </w:rPr>
        <w:t xml:space="preserve">experience building marine forecasting </w:t>
      </w:r>
      <w:proofErr w:type="spellStart"/>
      <w:r>
        <w:rPr>
          <w:rFonts w:ascii="Arial Narrow" w:hAnsi="Arial Narrow"/>
          <w:szCs w:val="24"/>
        </w:rPr>
        <w:t>programmes</w:t>
      </w:r>
      <w:proofErr w:type="spellEnd"/>
      <w:r>
        <w:rPr>
          <w:rFonts w:ascii="Arial Narrow" w:hAnsi="Arial Narrow"/>
          <w:szCs w:val="24"/>
        </w:rPr>
        <w:t xml:space="preserve"> and related </w:t>
      </w:r>
      <w:proofErr w:type="spellStart"/>
      <w:r>
        <w:rPr>
          <w:rFonts w:ascii="Arial Narrow" w:hAnsi="Arial Narrow"/>
          <w:szCs w:val="24"/>
        </w:rPr>
        <w:t>centres</w:t>
      </w:r>
      <w:proofErr w:type="spellEnd"/>
      <w:r>
        <w:rPr>
          <w:rFonts w:ascii="Arial Narrow" w:hAnsi="Arial Narrow" w:cs="Times New Roman"/>
          <w:color w:val="00000A"/>
          <w:szCs w:val="24"/>
        </w:rPr>
        <w:t xml:space="preserve">; </w:t>
      </w:r>
    </w:p>
    <w:p w14:paraId="028F7D7E" w14:textId="77777777" w:rsidR="00EF52AF" w:rsidRDefault="00EF52AF" w:rsidP="00EF52AF">
      <w:pPr>
        <w:pStyle w:val="ListParagraph"/>
        <w:rPr>
          <w:rFonts w:ascii="Arial Narrow" w:hAnsi="Arial Narrow"/>
          <w:color w:val="00000A"/>
        </w:rPr>
      </w:pPr>
    </w:p>
    <w:p w14:paraId="55CDEF30" w14:textId="77777777" w:rsidR="00EF52AF" w:rsidRDefault="00EF52AF" w:rsidP="00EF52AF">
      <w:pPr>
        <w:pStyle w:val="Body"/>
        <w:numPr>
          <w:ilvl w:val="0"/>
          <w:numId w:val="8"/>
        </w:numPr>
        <w:ind w:left="1080" w:hanging="540"/>
        <w:rPr>
          <w:rFonts w:ascii="Arial Narrow" w:hAnsi="Arial Narrow" w:cs="Times New Roman"/>
          <w:color w:val="00000A"/>
          <w:szCs w:val="24"/>
        </w:rPr>
      </w:pPr>
      <w:r>
        <w:rPr>
          <w:rFonts w:ascii="Arial Narrow" w:hAnsi="Arial Narrow" w:cs="Times New Roman"/>
          <w:color w:val="00000A"/>
          <w:szCs w:val="24"/>
        </w:rPr>
        <w:t xml:space="preserve">experience and or specialization in the use of satellite and model data in the study of marine meteorology is a strong preference, and </w:t>
      </w:r>
    </w:p>
    <w:p w14:paraId="585DE8EB" w14:textId="77777777" w:rsidR="00EF52AF" w:rsidRDefault="00EF52AF" w:rsidP="00EF52AF">
      <w:pPr>
        <w:pStyle w:val="Body"/>
        <w:ind w:left="1080" w:hanging="540"/>
        <w:rPr>
          <w:rFonts w:ascii="Arial Narrow" w:hAnsi="Arial Narrow" w:cs="Times New Roman"/>
          <w:color w:val="00000A"/>
          <w:szCs w:val="24"/>
        </w:rPr>
      </w:pPr>
    </w:p>
    <w:p w14:paraId="25BD601B" w14:textId="77777777" w:rsidR="00EF52AF" w:rsidRDefault="00EF52AF" w:rsidP="00EF52AF">
      <w:pPr>
        <w:pStyle w:val="Body"/>
        <w:numPr>
          <w:ilvl w:val="0"/>
          <w:numId w:val="8"/>
        </w:numPr>
        <w:ind w:left="1080" w:hanging="540"/>
        <w:rPr>
          <w:rFonts w:ascii="Arial Narrow" w:hAnsi="Arial Narrow" w:cs="Times New Roman"/>
          <w:color w:val="00000A"/>
          <w:szCs w:val="24"/>
        </w:rPr>
      </w:pPr>
      <w:r>
        <w:rPr>
          <w:rFonts w:ascii="Arial Narrow" w:hAnsi="Arial Narrow" w:cs="Times New Roman"/>
          <w:color w:val="00000A"/>
          <w:szCs w:val="24"/>
        </w:rPr>
        <w:t>experience working with developing countries.</w:t>
      </w:r>
    </w:p>
    <w:p w14:paraId="6D1CB263" w14:textId="77777777" w:rsidR="00EF52AF" w:rsidRDefault="00EF52AF" w:rsidP="00EF52AF">
      <w:pPr>
        <w:pStyle w:val="Body"/>
        <w:rPr>
          <w:rFonts w:ascii="Arial Narrow" w:hAnsi="Arial Narrow" w:cs="Times New Roman"/>
          <w:color w:val="00000A"/>
          <w:szCs w:val="24"/>
        </w:rPr>
      </w:pPr>
    </w:p>
    <w:p w14:paraId="00F48438" w14:textId="77777777" w:rsidR="00EF52AF" w:rsidRDefault="00EF52AF" w:rsidP="00EF52AF">
      <w:pPr>
        <w:tabs>
          <w:tab w:val="left" w:pos="6002"/>
        </w:tabs>
        <w:jc w:val="both"/>
        <w:rPr>
          <w:rFonts w:ascii="Arial Narrow" w:hAnsi="Arial Narrow"/>
          <w:lang w:val="en-US"/>
        </w:rPr>
      </w:pPr>
    </w:p>
    <w:p w14:paraId="3F80FC62" w14:textId="77777777" w:rsidR="00EF52AF" w:rsidRDefault="00EF52AF" w:rsidP="00EF52AF">
      <w:pPr>
        <w:pStyle w:val="Body"/>
        <w:numPr>
          <w:ilvl w:val="0"/>
          <w:numId w:val="2"/>
        </w:numPr>
        <w:ind w:left="540" w:hanging="540"/>
        <w:rPr>
          <w:rFonts w:ascii="Arial Narrow" w:hAnsi="Arial Narrow" w:cs="Times New Roman"/>
          <w:b/>
          <w:color w:val="00000A"/>
          <w:szCs w:val="24"/>
        </w:rPr>
      </w:pPr>
      <w:r>
        <w:rPr>
          <w:rFonts w:ascii="Arial Narrow" w:hAnsi="Arial Narrow" w:cs="Times New Roman"/>
          <w:b/>
          <w:color w:val="00000A"/>
          <w:szCs w:val="24"/>
        </w:rPr>
        <w:t>DURATION</w:t>
      </w:r>
    </w:p>
    <w:p w14:paraId="525F239A" w14:textId="77777777" w:rsidR="00EF52AF" w:rsidRDefault="00EF52AF" w:rsidP="00EF52AF">
      <w:pPr>
        <w:pStyle w:val="Body"/>
        <w:ind w:left="720"/>
        <w:rPr>
          <w:rFonts w:ascii="Arial Narrow" w:hAnsi="Arial Narrow" w:cs="Times New Roman"/>
          <w:color w:val="00000A"/>
          <w:szCs w:val="24"/>
        </w:rPr>
      </w:pPr>
    </w:p>
    <w:p w14:paraId="26E5B4BF" w14:textId="3DB5E7FB" w:rsidR="00EF52AF" w:rsidRDefault="00EF52AF" w:rsidP="00EF52AF">
      <w:pPr>
        <w:pStyle w:val="Body"/>
        <w:rPr>
          <w:rFonts w:ascii="Arial Narrow" w:hAnsi="Arial Narrow" w:cs="Times New Roman"/>
          <w:color w:val="00000A"/>
          <w:szCs w:val="24"/>
        </w:rPr>
      </w:pPr>
      <w:r>
        <w:rPr>
          <w:rFonts w:ascii="Arial Narrow" w:hAnsi="Arial Narrow" w:cs="Times New Roman"/>
          <w:color w:val="00000A"/>
          <w:szCs w:val="24"/>
        </w:rPr>
        <w:t xml:space="preserve">The contract will be for a duration not exceeding </w:t>
      </w:r>
      <w:r w:rsidRPr="004A3D4D">
        <w:rPr>
          <w:rFonts w:ascii="Arial Narrow" w:hAnsi="Arial Narrow" w:cs="Times New Roman"/>
          <w:color w:val="00000A"/>
          <w:szCs w:val="24"/>
        </w:rPr>
        <w:t>eight (8) months</w:t>
      </w:r>
      <w:r>
        <w:rPr>
          <w:rFonts w:ascii="Arial Narrow" w:hAnsi="Arial Narrow" w:cs="Times New Roman"/>
          <w:color w:val="00000A"/>
          <w:szCs w:val="24"/>
        </w:rPr>
        <w:t>.</w:t>
      </w:r>
    </w:p>
    <w:p w14:paraId="012DF3B0" w14:textId="5AEA5B3C" w:rsidR="00910AFC" w:rsidRPr="005C203C" w:rsidRDefault="00910AFC" w:rsidP="002B0A7A">
      <w:pPr>
        <w:pStyle w:val="ListParagraph"/>
        <w:ind w:left="0"/>
        <w:rPr>
          <w:rFonts w:ascii="Times New Roman" w:hAnsi="Times New Roman"/>
          <w:sz w:val="22"/>
          <w:szCs w:val="22"/>
        </w:rPr>
      </w:pPr>
    </w:p>
    <w:p w14:paraId="6BBB04C2" w14:textId="00B2645E" w:rsidR="00910AFC" w:rsidRDefault="00910AFC">
      <w:pPr>
        <w:widowControl/>
        <w:suppressAutoHyphens w:val="0"/>
        <w:rPr>
          <w:rFonts w:ascii="Times New Roman" w:hAnsi="Times New Roman"/>
        </w:rPr>
      </w:pPr>
      <w:r>
        <w:rPr>
          <w:rFonts w:ascii="Times New Roman" w:hAnsi="Times New Roman"/>
        </w:rPr>
        <w:br w:type="page"/>
      </w:r>
    </w:p>
    <w:p w14:paraId="474A2F70" w14:textId="77777777" w:rsidR="00910AFC" w:rsidRPr="00F973D9" w:rsidRDefault="00910AFC" w:rsidP="00910AFC">
      <w:pPr>
        <w:jc w:val="right"/>
        <w:rPr>
          <w:b/>
          <w:spacing w:val="-1"/>
          <w:u w:val="single"/>
        </w:rPr>
      </w:pPr>
      <w:r w:rsidRPr="00F973D9">
        <w:rPr>
          <w:b/>
          <w:spacing w:val="-1"/>
          <w:u w:val="single"/>
        </w:rPr>
        <w:lastRenderedPageBreak/>
        <w:t xml:space="preserve">Appendix </w:t>
      </w:r>
      <w:r>
        <w:rPr>
          <w:b/>
          <w:spacing w:val="-1"/>
          <w:u w:val="single"/>
        </w:rPr>
        <w:t>2</w:t>
      </w:r>
    </w:p>
    <w:p w14:paraId="040AC57D" w14:textId="77777777" w:rsidR="00910AFC" w:rsidRPr="00F973D9" w:rsidRDefault="00910AFC" w:rsidP="00910AFC">
      <w:pPr>
        <w:jc w:val="center"/>
        <w:rPr>
          <w:b/>
          <w:spacing w:val="-1"/>
          <w:u w:val="single"/>
        </w:rPr>
      </w:pPr>
    </w:p>
    <w:p w14:paraId="2C47122C" w14:textId="77777777" w:rsidR="00910AFC" w:rsidRPr="005C203C" w:rsidRDefault="00910AFC" w:rsidP="00910AFC">
      <w:pPr>
        <w:jc w:val="center"/>
        <w:rPr>
          <w:b/>
          <w:sz w:val="22"/>
          <w:szCs w:val="22"/>
          <w:u w:val="single"/>
        </w:rPr>
      </w:pPr>
      <w:r w:rsidRPr="005C203C">
        <w:rPr>
          <w:b/>
          <w:spacing w:val="-1"/>
          <w:sz w:val="22"/>
          <w:szCs w:val="22"/>
          <w:u w:val="single"/>
        </w:rPr>
        <w:t>EUROPEAN UNION</w:t>
      </w:r>
      <w:r w:rsidRPr="005C203C">
        <w:rPr>
          <w:b/>
          <w:spacing w:val="-2"/>
          <w:sz w:val="22"/>
          <w:szCs w:val="22"/>
          <w:u w:val="single"/>
        </w:rPr>
        <w:t xml:space="preserve"> </w:t>
      </w:r>
      <w:r w:rsidRPr="005C203C">
        <w:rPr>
          <w:b/>
          <w:spacing w:val="-1"/>
          <w:sz w:val="22"/>
          <w:szCs w:val="22"/>
          <w:u w:val="single"/>
        </w:rPr>
        <w:t>ELIGIBILITY</w:t>
      </w:r>
      <w:r w:rsidRPr="005C203C">
        <w:rPr>
          <w:b/>
          <w:spacing w:val="2"/>
          <w:sz w:val="22"/>
          <w:szCs w:val="22"/>
          <w:u w:val="single"/>
        </w:rPr>
        <w:t xml:space="preserve"> </w:t>
      </w:r>
      <w:r w:rsidRPr="005C203C">
        <w:rPr>
          <w:b/>
          <w:spacing w:val="-2"/>
          <w:sz w:val="22"/>
          <w:szCs w:val="22"/>
          <w:u w:val="single"/>
        </w:rPr>
        <w:t>RULES</w:t>
      </w:r>
      <w:r w:rsidRPr="005C203C">
        <w:rPr>
          <w:b/>
          <w:sz w:val="22"/>
          <w:szCs w:val="22"/>
          <w:u w:val="single"/>
        </w:rPr>
        <w:t xml:space="preserve"> </w:t>
      </w:r>
    </w:p>
    <w:p w14:paraId="3D90D995" w14:textId="77777777" w:rsidR="00910AFC" w:rsidRPr="005C203C" w:rsidRDefault="00910AFC" w:rsidP="00910AFC">
      <w:pPr>
        <w:jc w:val="center"/>
        <w:rPr>
          <w:b/>
          <w:spacing w:val="-1"/>
          <w:sz w:val="22"/>
          <w:szCs w:val="22"/>
          <w:u w:val="single"/>
        </w:rPr>
      </w:pPr>
      <w:r w:rsidRPr="005C203C">
        <w:rPr>
          <w:b/>
          <w:spacing w:val="-1"/>
          <w:sz w:val="22"/>
          <w:szCs w:val="22"/>
          <w:u w:val="single"/>
        </w:rPr>
        <w:t xml:space="preserve">AFRICAN CARIBBEAN PACIFIC – EUROPEAN UNION </w:t>
      </w:r>
    </w:p>
    <w:p w14:paraId="78F7FA6C" w14:textId="77777777" w:rsidR="00910AFC" w:rsidRPr="005C203C" w:rsidRDefault="00910AFC" w:rsidP="00910AFC">
      <w:pPr>
        <w:jc w:val="center"/>
        <w:rPr>
          <w:rFonts w:ascii="Calibri" w:hAnsi="Calibri"/>
          <w:b/>
          <w:spacing w:val="-1"/>
          <w:sz w:val="22"/>
          <w:szCs w:val="22"/>
          <w:u w:val="single"/>
        </w:rPr>
      </w:pPr>
      <w:r w:rsidRPr="005C203C">
        <w:rPr>
          <w:b/>
          <w:spacing w:val="-1"/>
          <w:sz w:val="22"/>
          <w:szCs w:val="22"/>
          <w:u w:val="single"/>
        </w:rPr>
        <w:t xml:space="preserve">NATURAL DISASTER RISK MANAGEMENT </w:t>
      </w:r>
    </w:p>
    <w:p w14:paraId="5C4F0482" w14:textId="77777777" w:rsidR="00910AFC" w:rsidRPr="005C203C" w:rsidRDefault="00910AFC" w:rsidP="00910AFC">
      <w:pPr>
        <w:jc w:val="center"/>
        <w:rPr>
          <w:rFonts w:ascii="Calibri" w:hAnsi="Calibri"/>
          <w:b/>
          <w:spacing w:val="-1"/>
          <w:sz w:val="22"/>
          <w:szCs w:val="22"/>
          <w:u w:val="single"/>
        </w:rPr>
      </w:pPr>
    </w:p>
    <w:p w14:paraId="5E6CD20E" w14:textId="77777777" w:rsidR="00910AFC" w:rsidRPr="005C203C" w:rsidRDefault="00910AFC" w:rsidP="00910AFC">
      <w:pPr>
        <w:ind w:right="60"/>
        <w:jc w:val="center"/>
        <w:rPr>
          <w:b/>
          <w:sz w:val="22"/>
          <w:szCs w:val="22"/>
          <w:u w:val="single"/>
        </w:rPr>
      </w:pPr>
      <w:r w:rsidRPr="005C203C">
        <w:rPr>
          <w:b/>
          <w:spacing w:val="-1"/>
          <w:sz w:val="22"/>
          <w:szCs w:val="22"/>
          <w:u w:val="single"/>
        </w:rPr>
        <w:t>PARTICIPATION</w:t>
      </w:r>
      <w:r w:rsidRPr="005C203C">
        <w:rPr>
          <w:b/>
          <w:spacing w:val="-2"/>
          <w:sz w:val="22"/>
          <w:szCs w:val="22"/>
          <w:u w:val="single"/>
        </w:rPr>
        <w:t xml:space="preserve"> </w:t>
      </w:r>
      <w:r w:rsidRPr="005C203C">
        <w:rPr>
          <w:b/>
          <w:sz w:val="22"/>
          <w:szCs w:val="22"/>
          <w:u w:val="single"/>
        </w:rPr>
        <w:t>IN</w:t>
      </w:r>
      <w:r w:rsidRPr="005C203C">
        <w:rPr>
          <w:b/>
          <w:spacing w:val="-4"/>
          <w:sz w:val="22"/>
          <w:szCs w:val="22"/>
          <w:u w:val="single"/>
        </w:rPr>
        <w:t xml:space="preserve"> </w:t>
      </w:r>
      <w:r w:rsidRPr="005C203C">
        <w:rPr>
          <w:b/>
          <w:spacing w:val="-1"/>
          <w:sz w:val="22"/>
          <w:szCs w:val="22"/>
          <w:u w:val="single"/>
        </w:rPr>
        <w:t xml:space="preserve">PROCEDURES </w:t>
      </w:r>
      <w:r w:rsidRPr="005C203C">
        <w:rPr>
          <w:b/>
          <w:sz w:val="22"/>
          <w:szCs w:val="22"/>
          <w:u w:val="single"/>
        </w:rPr>
        <w:t>FOR</w:t>
      </w:r>
      <w:r w:rsidRPr="005C203C">
        <w:rPr>
          <w:b/>
          <w:spacing w:val="-2"/>
          <w:sz w:val="22"/>
          <w:szCs w:val="22"/>
          <w:u w:val="single"/>
        </w:rPr>
        <w:t xml:space="preserve"> </w:t>
      </w:r>
      <w:r w:rsidRPr="005C203C">
        <w:rPr>
          <w:b/>
          <w:spacing w:val="-1"/>
          <w:sz w:val="22"/>
          <w:szCs w:val="22"/>
          <w:u w:val="single"/>
        </w:rPr>
        <w:t>THE</w:t>
      </w:r>
      <w:r w:rsidRPr="005C203C">
        <w:rPr>
          <w:b/>
          <w:spacing w:val="-4"/>
          <w:sz w:val="22"/>
          <w:szCs w:val="22"/>
          <w:u w:val="single"/>
        </w:rPr>
        <w:t xml:space="preserve"> </w:t>
      </w:r>
      <w:r w:rsidRPr="005C203C">
        <w:rPr>
          <w:b/>
          <w:spacing w:val="-2"/>
          <w:sz w:val="22"/>
          <w:szCs w:val="22"/>
          <w:u w:val="single"/>
        </w:rPr>
        <w:t>AWARDING</w:t>
      </w:r>
      <w:r w:rsidRPr="005C203C">
        <w:rPr>
          <w:b/>
          <w:spacing w:val="-1"/>
          <w:sz w:val="22"/>
          <w:szCs w:val="22"/>
          <w:u w:val="single"/>
        </w:rPr>
        <w:t xml:space="preserve"> </w:t>
      </w:r>
      <w:r w:rsidRPr="005C203C">
        <w:rPr>
          <w:b/>
          <w:sz w:val="22"/>
          <w:szCs w:val="22"/>
          <w:u w:val="single"/>
        </w:rPr>
        <w:t>OF</w:t>
      </w:r>
    </w:p>
    <w:p w14:paraId="0FC35355" w14:textId="77777777" w:rsidR="00910AFC" w:rsidRPr="005C203C" w:rsidRDefault="00910AFC" w:rsidP="00910AFC">
      <w:pPr>
        <w:ind w:right="60"/>
        <w:jc w:val="center"/>
        <w:rPr>
          <w:sz w:val="22"/>
          <w:szCs w:val="22"/>
          <w:u w:val="single"/>
        </w:rPr>
      </w:pPr>
      <w:r w:rsidRPr="005C203C">
        <w:rPr>
          <w:b/>
          <w:spacing w:val="-2"/>
          <w:sz w:val="22"/>
          <w:szCs w:val="22"/>
          <w:u w:val="single"/>
        </w:rPr>
        <w:t>PROCUREMENT</w:t>
      </w:r>
      <w:r w:rsidRPr="005C203C">
        <w:rPr>
          <w:b/>
          <w:sz w:val="22"/>
          <w:szCs w:val="22"/>
          <w:u w:val="single"/>
        </w:rPr>
        <w:t xml:space="preserve"> </w:t>
      </w:r>
      <w:r w:rsidRPr="005C203C">
        <w:rPr>
          <w:b/>
          <w:spacing w:val="-2"/>
          <w:sz w:val="22"/>
          <w:szCs w:val="22"/>
          <w:u w:val="single"/>
        </w:rPr>
        <w:t>CONTRACTS</w:t>
      </w:r>
      <w:r w:rsidRPr="005C203C">
        <w:rPr>
          <w:b/>
          <w:spacing w:val="-1"/>
          <w:sz w:val="22"/>
          <w:szCs w:val="22"/>
          <w:u w:val="single"/>
        </w:rPr>
        <w:t xml:space="preserve"> </w:t>
      </w:r>
      <w:r w:rsidRPr="005C203C">
        <w:rPr>
          <w:b/>
          <w:sz w:val="22"/>
          <w:szCs w:val="22"/>
          <w:u w:val="single"/>
        </w:rPr>
        <w:t>OR</w:t>
      </w:r>
      <w:r w:rsidRPr="005C203C">
        <w:rPr>
          <w:b/>
          <w:spacing w:val="-2"/>
          <w:sz w:val="22"/>
          <w:szCs w:val="22"/>
          <w:u w:val="single"/>
        </w:rPr>
        <w:t xml:space="preserve"> GRANT</w:t>
      </w:r>
      <w:r w:rsidRPr="005C203C">
        <w:rPr>
          <w:b/>
          <w:sz w:val="22"/>
          <w:szCs w:val="22"/>
          <w:u w:val="single"/>
        </w:rPr>
        <w:t xml:space="preserve"> </w:t>
      </w:r>
      <w:r w:rsidRPr="005C203C">
        <w:rPr>
          <w:b/>
          <w:spacing w:val="-1"/>
          <w:sz w:val="22"/>
          <w:szCs w:val="22"/>
          <w:u w:val="single"/>
        </w:rPr>
        <w:t>CONTRACTS</w:t>
      </w:r>
    </w:p>
    <w:p w14:paraId="53609B1A" w14:textId="77777777" w:rsidR="00910AFC" w:rsidRPr="005C203C" w:rsidRDefault="00910AFC" w:rsidP="00910AFC">
      <w:pPr>
        <w:tabs>
          <w:tab w:val="left" w:pos="3828"/>
        </w:tabs>
        <w:spacing w:before="8"/>
        <w:jc w:val="center"/>
        <w:rPr>
          <w:b/>
          <w:bCs/>
          <w:sz w:val="22"/>
          <w:szCs w:val="22"/>
        </w:rPr>
      </w:pPr>
    </w:p>
    <w:p w14:paraId="3C2B0944" w14:textId="77777777" w:rsidR="00910AFC" w:rsidRPr="005C203C" w:rsidRDefault="00910AFC" w:rsidP="00910AFC">
      <w:pPr>
        <w:numPr>
          <w:ilvl w:val="0"/>
          <w:numId w:val="5"/>
        </w:numPr>
        <w:tabs>
          <w:tab w:val="left" w:pos="720"/>
        </w:tabs>
        <w:suppressAutoHyphens w:val="0"/>
        <w:spacing w:after="160" w:line="254" w:lineRule="auto"/>
        <w:ind w:left="0" w:right="115" w:firstLine="0"/>
        <w:jc w:val="both"/>
        <w:rPr>
          <w:sz w:val="22"/>
          <w:szCs w:val="22"/>
        </w:rPr>
      </w:pPr>
      <w:r w:rsidRPr="005C203C">
        <w:rPr>
          <w:sz w:val="22"/>
          <w:szCs w:val="22"/>
        </w:rPr>
        <w:t>Participation in procedures for the award of procurement contracts financed under the EU Contribution Agreement for the Implementation for the Action entitled: “Africa Caribbean Pacific – European – Caribbean Development Bank (ACP-EU-CDB) Natural Disaster Risk Management in CARIFORUM Countries” (ACP – EU NDRM Resources)”, is open to international organisations and all natural persons who are nationals of, or legal persons who are established in, an eligible country.</w:t>
      </w:r>
    </w:p>
    <w:p w14:paraId="5A0F40DB" w14:textId="77777777" w:rsidR="00910AFC" w:rsidRPr="005C203C" w:rsidRDefault="00910AFC" w:rsidP="00910AFC">
      <w:pPr>
        <w:numPr>
          <w:ilvl w:val="0"/>
          <w:numId w:val="5"/>
        </w:numPr>
        <w:suppressAutoHyphens w:val="0"/>
        <w:spacing w:after="160" w:line="254" w:lineRule="auto"/>
        <w:ind w:left="90" w:hanging="90"/>
        <w:jc w:val="both"/>
        <w:rPr>
          <w:sz w:val="22"/>
          <w:szCs w:val="22"/>
        </w:rPr>
      </w:pPr>
      <w:r w:rsidRPr="005C203C">
        <w:rPr>
          <w:sz w:val="22"/>
          <w:szCs w:val="22"/>
        </w:rPr>
        <w:t>Eligible countries</w:t>
      </w:r>
      <w:hyperlink w:anchor="_bookmark29" w:history="1">
        <w:r w:rsidRPr="005C203C">
          <w:rPr>
            <w:color w:val="0000FF"/>
            <w:position w:val="8"/>
            <w:sz w:val="22"/>
            <w:szCs w:val="22"/>
            <w:u w:val="single"/>
          </w:rPr>
          <w:t>1</w:t>
        </w:r>
      </w:hyperlink>
      <w:r w:rsidRPr="005C203C">
        <w:rPr>
          <w:position w:val="8"/>
          <w:sz w:val="22"/>
          <w:szCs w:val="22"/>
        </w:rPr>
        <w:t xml:space="preserve"> </w:t>
      </w:r>
      <w:r w:rsidRPr="005C203C">
        <w:rPr>
          <w:sz w:val="22"/>
          <w:szCs w:val="22"/>
        </w:rPr>
        <w:t>are deemed to be:</w:t>
      </w:r>
    </w:p>
    <w:p w14:paraId="1637F285" w14:textId="77777777" w:rsidR="00910AFC" w:rsidRPr="005C203C" w:rsidRDefault="00910AFC" w:rsidP="00910AFC">
      <w:pPr>
        <w:numPr>
          <w:ilvl w:val="1"/>
          <w:numId w:val="5"/>
        </w:numPr>
        <w:suppressAutoHyphens w:val="0"/>
        <w:spacing w:after="160" w:line="254" w:lineRule="auto"/>
        <w:ind w:hanging="720"/>
        <w:rPr>
          <w:sz w:val="22"/>
          <w:szCs w:val="22"/>
        </w:rPr>
      </w:pPr>
      <w:r w:rsidRPr="005C203C">
        <w:rPr>
          <w:sz w:val="22"/>
          <w:szCs w:val="22"/>
        </w:rPr>
        <w:t>Caribbean Development Bank member countries:</w:t>
      </w:r>
    </w:p>
    <w:p w14:paraId="7B5F8D70" w14:textId="77777777" w:rsidR="00910AFC" w:rsidRPr="005C203C" w:rsidRDefault="00910AFC" w:rsidP="00910AFC">
      <w:pPr>
        <w:ind w:left="1440"/>
        <w:rPr>
          <w:sz w:val="22"/>
          <w:szCs w:val="22"/>
        </w:rPr>
      </w:pPr>
    </w:p>
    <w:p w14:paraId="1BC1F993" w14:textId="77777777" w:rsidR="00910AFC" w:rsidRPr="005C203C" w:rsidRDefault="00910AFC" w:rsidP="00910AFC">
      <w:pPr>
        <w:ind w:left="1440" w:right="114"/>
        <w:jc w:val="both"/>
        <w:rPr>
          <w:sz w:val="22"/>
          <w:szCs w:val="22"/>
        </w:rPr>
      </w:pPr>
      <w:r w:rsidRPr="005C203C">
        <w:rPr>
          <w:sz w:val="22"/>
          <w:szCs w:val="22"/>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7B9047DA" w14:textId="77777777" w:rsidR="00910AFC" w:rsidRPr="005C203C" w:rsidRDefault="00910AFC" w:rsidP="00910AFC">
      <w:pPr>
        <w:ind w:left="1560" w:right="114"/>
        <w:jc w:val="both"/>
        <w:rPr>
          <w:sz w:val="22"/>
          <w:szCs w:val="22"/>
        </w:rPr>
      </w:pPr>
    </w:p>
    <w:p w14:paraId="69217306" w14:textId="77777777" w:rsidR="00910AFC" w:rsidRPr="005C203C" w:rsidRDefault="00910AFC" w:rsidP="00910AFC">
      <w:pPr>
        <w:numPr>
          <w:ilvl w:val="1"/>
          <w:numId w:val="5"/>
        </w:numPr>
        <w:suppressAutoHyphens w:val="0"/>
        <w:spacing w:after="160" w:line="254" w:lineRule="auto"/>
        <w:ind w:hanging="720"/>
        <w:rPr>
          <w:sz w:val="22"/>
          <w:szCs w:val="22"/>
        </w:rPr>
      </w:pPr>
      <w:r w:rsidRPr="005C203C">
        <w:rPr>
          <w:sz w:val="22"/>
          <w:szCs w:val="22"/>
        </w:rPr>
        <w:t>Members of the “African, Caribbean and Pacific (ACP) Group of States”</w:t>
      </w:r>
      <w:hyperlink w:anchor="_bookmark30" w:history="1">
        <w:r w:rsidRPr="005C203C">
          <w:rPr>
            <w:color w:val="0000FF"/>
            <w:position w:val="8"/>
            <w:sz w:val="22"/>
            <w:szCs w:val="22"/>
            <w:u w:val="single"/>
          </w:rPr>
          <w:t>2</w:t>
        </w:r>
      </w:hyperlink>
      <w:r w:rsidRPr="005C203C">
        <w:rPr>
          <w:sz w:val="22"/>
          <w:szCs w:val="22"/>
        </w:rPr>
        <w:t>:</w:t>
      </w:r>
    </w:p>
    <w:p w14:paraId="43469EB2" w14:textId="77777777" w:rsidR="00910AFC" w:rsidRPr="005C203C" w:rsidRDefault="00910AFC" w:rsidP="00910AFC">
      <w:pPr>
        <w:ind w:left="1440"/>
        <w:jc w:val="both"/>
        <w:rPr>
          <w:sz w:val="22"/>
          <w:szCs w:val="22"/>
        </w:rPr>
      </w:pPr>
      <w:r w:rsidRPr="005C203C">
        <w:rPr>
          <w:b/>
          <w:sz w:val="22"/>
          <w:szCs w:val="22"/>
        </w:rPr>
        <w:t>Africa:</w:t>
      </w:r>
    </w:p>
    <w:p w14:paraId="0742F3A0" w14:textId="77777777" w:rsidR="00910AFC" w:rsidRPr="005C203C" w:rsidRDefault="00910AFC" w:rsidP="00910AFC">
      <w:pPr>
        <w:ind w:left="1440"/>
        <w:rPr>
          <w:sz w:val="22"/>
          <w:szCs w:val="22"/>
        </w:rPr>
      </w:pPr>
    </w:p>
    <w:p w14:paraId="2E88F640" w14:textId="77777777" w:rsidR="00910AFC" w:rsidRPr="005C203C" w:rsidRDefault="00910AFC" w:rsidP="00910AFC">
      <w:pPr>
        <w:ind w:left="1440" w:right="114"/>
        <w:jc w:val="both"/>
        <w:rPr>
          <w:sz w:val="22"/>
          <w:szCs w:val="22"/>
        </w:rPr>
      </w:pPr>
      <w:r w:rsidRPr="005C203C">
        <w:rPr>
          <w:sz w:val="22"/>
          <w:szCs w:val="22"/>
        </w:rPr>
        <w:t>South Africa</w:t>
      </w:r>
      <w:hyperlink w:anchor="_bookmark31" w:history="1">
        <w:r w:rsidRPr="005C203C">
          <w:rPr>
            <w:color w:val="0000FF"/>
            <w:position w:val="8"/>
            <w:sz w:val="22"/>
            <w:szCs w:val="22"/>
            <w:u w:val="single"/>
          </w:rPr>
          <w:t>3</w:t>
        </w:r>
      </w:hyperlink>
      <w:r w:rsidRPr="005C203C">
        <w:rPr>
          <w:sz w:val="22"/>
          <w:szCs w:val="22"/>
        </w:rPr>
        <w:t>, Angola, Benin, Botswana, Burkina Faso, Burundi, Central African Republic, Cameroon, Cape Verde, Chad, Comoros Islands, Congo, Côte d'Ivoire, 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Zambia and Zimbabwe.</w:t>
      </w:r>
    </w:p>
    <w:p w14:paraId="575BC6C5" w14:textId="77777777" w:rsidR="00910AFC" w:rsidRPr="005C203C" w:rsidRDefault="00910AFC" w:rsidP="00910AFC">
      <w:pPr>
        <w:ind w:left="1440"/>
        <w:rPr>
          <w:sz w:val="22"/>
          <w:szCs w:val="22"/>
        </w:rPr>
      </w:pPr>
    </w:p>
    <w:p w14:paraId="76E56561" w14:textId="77777777" w:rsidR="00910AFC" w:rsidRPr="005C203C" w:rsidRDefault="00910AFC" w:rsidP="00910AFC">
      <w:pPr>
        <w:ind w:left="1440"/>
        <w:rPr>
          <w:sz w:val="22"/>
          <w:szCs w:val="22"/>
        </w:rPr>
      </w:pPr>
      <w:r w:rsidRPr="005C203C">
        <w:rPr>
          <w:noProof/>
          <w:sz w:val="22"/>
          <w:szCs w:val="22"/>
          <w:lang w:val="en-US"/>
        </w:rPr>
        <mc:AlternateContent>
          <mc:Choice Requires="wpg">
            <w:drawing>
              <wp:inline distT="0" distB="0" distL="0" distR="0" wp14:anchorId="4C05ED4F" wp14:editId="1A6DC139">
                <wp:extent cx="1837055" cy="8255"/>
                <wp:effectExtent l="0" t="0" r="10795" b="10795"/>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8255"/>
                          <a:chOff x="0" y="0"/>
                          <a:chExt cx="1837055" cy="8255"/>
                        </a:xfrm>
                      </wpg:grpSpPr>
                      <wpg:grpSp>
                        <wpg:cNvPr id="5" name="Group 11"/>
                        <wpg:cNvGrpSpPr/>
                        <wpg:grpSpPr>
                          <a:xfrm>
                            <a:off x="0" y="0"/>
                            <a:ext cx="1836360" cy="7560"/>
                            <a:chOff x="0" y="0"/>
                            <a:chExt cx="0" cy="0"/>
                          </a:xfrm>
                        </wpg:grpSpPr>
                        <wps:wsp>
                          <wps:cNvPr id="6" name="Freeform 12"/>
                          <wps:cNvSpPr/>
                          <wps:spPr>
                            <a:xfrm>
                              <a:off x="0" y="0"/>
                              <a:ext cx="1836360" cy="7560"/>
                            </a:xfrm>
                            <a:custGeom>
                              <a:avLst/>
                              <a:gdLst/>
                              <a:ahLst/>
                              <a:cxnLst/>
                              <a:rect l="l" t="t" r="r" b="b"/>
                              <a:pathLst>
                                <a:path w="2880" h="2">
                                  <a:moveTo>
                                    <a:pt x="0" y="0"/>
                                  </a:moveTo>
                                  <a:lnTo>
                                    <a:pt x="2880" y="0"/>
                                  </a:lnTo>
                                </a:path>
                              </a:pathLst>
                            </a:custGeom>
                            <a:noFill/>
                            <a:ln w="6840">
                              <a:solidFill>
                                <a:srgbClr val="000000"/>
                              </a:solidFill>
                              <a:round/>
                            </a:ln>
                            <a:effectLst/>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0BA7CB" id="Group 10" o:spid="_x0000_s1026" style="width:144.65pt;height:.65pt;mso-position-horizontal-relative:char;mso-position-vertical-relative:line" coordsize="18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">
                <v:group id="Group 11" o:spid="_x0000_s1027" style="position:absolute;width:18363;height: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28" style="position:absolute;width:1836360;height:7560;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" path="m,l2880,e" filled="f" strokeweight=".19mm">
                    <v:path arrowok="t"/>
                  </v:shape>
                </v:group>
                <w10:anchorlock/>
              </v:group>
            </w:pict>
          </mc:Fallback>
        </mc:AlternateContent>
      </w:r>
    </w:p>
    <w:p w14:paraId="596F3711" w14:textId="77777777" w:rsidR="00910AFC" w:rsidRPr="005C203C" w:rsidRDefault="00910AFC" w:rsidP="00910AFC">
      <w:pPr>
        <w:ind w:left="270" w:hanging="270"/>
        <w:jc w:val="both"/>
        <w:rPr>
          <w:sz w:val="22"/>
          <w:szCs w:val="22"/>
        </w:rPr>
      </w:pPr>
      <w:r w:rsidRPr="005C203C">
        <w:rPr>
          <w:position w:val="7"/>
          <w:sz w:val="22"/>
          <w:szCs w:val="22"/>
        </w:rPr>
        <w:t xml:space="preserve">1 </w:t>
      </w:r>
      <w:r w:rsidRPr="005C203C">
        <w:rPr>
          <w:position w:val="7"/>
          <w:sz w:val="22"/>
          <w:szCs w:val="22"/>
        </w:rPr>
        <w:tab/>
      </w:r>
      <w:r w:rsidRPr="005C203C">
        <w:rPr>
          <w:sz w:val="22"/>
          <w:szCs w:val="22"/>
        </w:rPr>
        <w:t>Note some countries may be eligible by virtue of more than one category</w:t>
      </w:r>
    </w:p>
    <w:p w14:paraId="1AA078B2" w14:textId="77777777" w:rsidR="00910AFC" w:rsidRPr="005C203C" w:rsidRDefault="00910AFC" w:rsidP="00910AFC">
      <w:pPr>
        <w:ind w:left="270" w:right="114" w:hanging="270"/>
        <w:jc w:val="both"/>
        <w:rPr>
          <w:sz w:val="22"/>
          <w:szCs w:val="22"/>
        </w:rPr>
      </w:pPr>
      <w:r w:rsidRPr="005C203C">
        <w:rPr>
          <w:position w:val="6"/>
          <w:sz w:val="22"/>
          <w:szCs w:val="22"/>
        </w:rPr>
        <w:t xml:space="preserve">2 </w:t>
      </w:r>
      <w:r w:rsidRPr="005C203C">
        <w:rPr>
          <w:position w:val="6"/>
          <w:sz w:val="22"/>
          <w:szCs w:val="22"/>
        </w:rPr>
        <w:tab/>
      </w:r>
      <w:r w:rsidRPr="005C203C">
        <w:rPr>
          <w:sz w:val="22"/>
          <w:szCs w:val="22"/>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 cooperation committee of 13 April 2005).</w:t>
      </w:r>
    </w:p>
    <w:p w14:paraId="1942FF43" w14:textId="77777777" w:rsidR="00910AFC" w:rsidRPr="005C203C" w:rsidRDefault="00910AFC" w:rsidP="00910AFC">
      <w:pPr>
        <w:ind w:left="270" w:right="115" w:hanging="270"/>
        <w:jc w:val="both"/>
        <w:rPr>
          <w:sz w:val="22"/>
          <w:szCs w:val="22"/>
        </w:rPr>
      </w:pPr>
      <w:r w:rsidRPr="005C203C">
        <w:rPr>
          <w:position w:val="6"/>
          <w:sz w:val="22"/>
          <w:szCs w:val="22"/>
        </w:rPr>
        <w:t>3</w:t>
      </w:r>
      <w:r w:rsidRPr="005C203C">
        <w:rPr>
          <w:position w:val="6"/>
          <w:sz w:val="22"/>
          <w:szCs w:val="22"/>
        </w:rPr>
        <w:tab/>
      </w:r>
      <w:r w:rsidRPr="005C203C">
        <w:rPr>
          <w:sz w:val="22"/>
          <w:szCs w:val="22"/>
        </w:rPr>
        <w:t>Natural and legal South African persons are eligible to participate in contracts financed by the 10th/11th EDF. However, the 10th/11th EDF does not finance contracts in South Africa.</w:t>
      </w:r>
    </w:p>
    <w:p w14:paraId="3A476277" w14:textId="77777777" w:rsidR="00910AFC" w:rsidRPr="005C203C" w:rsidRDefault="00910AFC" w:rsidP="00910AFC">
      <w:pPr>
        <w:ind w:left="1440"/>
        <w:jc w:val="both"/>
        <w:rPr>
          <w:b/>
          <w:sz w:val="22"/>
          <w:szCs w:val="22"/>
        </w:rPr>
      </w:pPr>
    </w:p>
    <w:p w14:paraId="5F9940C0" w14:textId="77777777" w:rsidR="00910AFC" w:rsidRPr="005C203C" w:rsidRDefault="00910AFC" w:rsidP="00910AFC">
      <w:pPr>
        <w:ind w:left="1440"/>
        <w:jc w:val="both"/>
        <w:rPr>
          <w:b/>
          <w:sz w:val="22"/>
          <w:szCs w:val="22"/>
        </w:rPr>
      </w:pPr>
      <w:r w:rsidRPr="005C203C">
        <w:rPr>
          <w:b/>
          <w:sz w:val="22"/>
          <w:szCs w:val="22"/>
        </w:rPr>
        <w:t>Caribbean:</w:t>
      </w:r>
    </w:p>
    <w:p w14:paraId="1555F792" w14:textId="77777777" w:rsidR="00910AFC" w:rsidRPr="005C203C" w:rsidRDefault="00910AFC" w:rsidP="00910AFC">
      <w:pPr>
        <w:ind w:left="1440"/>
        <w:rPr>
          <w:sz w:val="22"/>
          <w:szCs w:val="22"/>
        </w:rPr>
      </w:pPr>
    </w:p>
    <w:p w14:paraId="1E074C25" w14:textId="77777777" w:rsidR="00910AFC" w:rsidRPr="005C203C" w:rsidRDefault="00910AFC" w:rsidP="00910AFC">
      <w:pPr>
        <w:ind w:left="1440" w:right="115"/>
        <w:jc w:val="both"/>
        <w:rPr>
          <w:sz w:val="22"/>
          <w:szCs w:val="22"/>
        </w:rPr>
      </w:pPr>
      <w:r w:rsidRPr="005C203C">
        <w:rPr>
          <w:sz w:val="22"/>
          <w:szCs w:val="22"/>
        </w:rPr>
        <w:t>Antigua and Barbuda, Bahamas, Barbados, Belize, Dominica, Dominican Republic, Grenada, Guyana, Haiti, Jamaica, Saint Kitts and Nevis, Saint Lucia, Saint Vincent and the Grenadines, Suriname, Trinidad and Tobago.</w:t>
      </w:r>
    </w:p>
    <w:p w14:paraId="1900F273" w14:textId="77777777" w:rsidR="00910AFC" w:rsidRPr="005C203C" w:rsidRDefault="00910AFC" w:rsidP="00910AFC">
      <w:pPr>
        <w:ind w:left="1440"/>
        <w:jc w:val="both"/>
        <w:rPr>
          <w:b/>
          <w:spacing w:val="-1"/>
          <w:sz w:val="22"/>
          <w:szCs w:val="22"/>
        </w:rPr>
      </w:pPr>
    </w:p>
    <w:p w14:paraId="5461D26F" w14:textId="77777777" w:rsidR="00910AFC" w:rsidRPr="005C203C" w:rsidRDefault="00910AFC" w:rsidP="00910AFC">
      <w:pPr>
        <w:ind w:left="1440"/>
        <w:jc w:val="both"/>
        <w:rPr>
          <w:b/>
          <w:sz w:val="22"/>
          <w:szCs w:val="22"/>
        </w:rPr>
      </w:pPr>
      <w:r w:rsidRPr="005C203C">
        <w:rPr>
          <w:b/>
          <w:spacing w:val="-1"/>
          <w:sz w:val="22"/>
          <w:szCs w:val="22"/>
        </w:rPr>
        <w:t>Pacific:</w:t>
      </w:r>
    </w:p>
    <w:p w14:paraId="47D2D00E" w14:textId="77777777" w:rsidR="00910AFC" w:rsidRPr="005C203C" w:rsidRDefault="00910AFC" w:rsidP="00910AFC">
      <w:pPr>
        <w:ind w:left="1440"/>
        <w:rPr>
          <w:sz w:val="22"/>
          <w:szCs w:val="22"/>
        </w:rPr>
      </w:pPr>
    </w:p>
    <w:p w14:paraId="7D8479DB" w14:textId="77777777" w:rsidR="00910AFC" w:rsidRPr="005C203C" w:rsidRDefault="00910AFC" w:rsidP="00910AFC">
      <w:pPr>
        <w:ind w:left="1440" w:right="116"/>
        <w:jc w:val="both"/>
        <w:rPr>
          <w:sz w:val="22"/>
          <w:szCs w:val="22"/>
        </w:rPr>
      </w:pPr>
      <w:r w:rsidRPr="005C203C">
        <w:rPr>
          <w:sz w:val="22"/>
          <w:szCs w:val="22"/>
        </w:rPr>
        <w:t>Cook Islands, East Timor, Fiji, Kiribati, Marshall Islands, Micronesia, Nauru, Niue, Palau, Papua New Guinea, the Solomon Islands, Western Samoa, Tonga, Tuvalu, Vanuatu.</w:t>
      </w:r>
    </w:p>
    <w:p w14:paraId="5E43BF6B" w14:textId="77777777" w:rsidR="00910AFC" w:rsidRPr="005C203C" w:rsidRDefault="00910AFC" w:rsidP="00910AFC">
      <w:pPr>
        <w:ind w:left="1440"/>
        <w:rPr>
          <w:sz w:val="22"/>
          <w:szCs w:val="22"/>
        </w:rPr>
      </w:pPr>
    </w:p>
    <w:p w14:paraId="68134542" w14:textId="77777777" w:rsidR="00910AFC" w:rsidRPr="005C203C" w:rsidRDefault="00910AFC" w:rsidP="00910AFC">
      <w:pPr>
        <w:ind w:left="1440"/>
        <w:jc w:val="both"/>
        <w:rPr>
          <w:sz w:val="22"/>
          <w:szCs w:val="22"/>
        </w:rPr>
      </w:pPr>
      <w:r w:rsidRPr="005C203C">
        <w:rPr>
          <w:b/>
          <w:sz w:val="22"/>
          <w:szCs w:val="22"/>
        </w:rPr>
        <w:t>Overseas Countries and Territories</w:t>
      </w:r>
      <w:r w:rsidRPr="005C203C">
        <w:rPr>
          <w:sz w:val="22"/>
          <w:szCs w:val="22"/>
        </w:rPr>
        <w:t>:</w:t>
      </w:r>
    </w:p>
    <w:p w14:paraId="4654E991" w14:textId="77777777" w:rsidR="00910AFC" w:rsidRPr="005C203C" w:rsidRDefault="00910AFC" w:rsidP="00910AFC">
      <w:pPr>
        <w:ind w:left="1440"/>
        <w:rPr>
          <w:sz w:val="22"/>
          <w:szCs w:val="22"/>
        </w:rPr>
      </w:pPr>
    </w:p>
    <w:p w14:paraId="42912B6E" w14:textId="77777777" w:rsidR="00910AFC" w:rsidRPr="005C203C" w:rsidRDefault="00910AFC" w:rsidP="00910AFC">
      <w:pPr>
        <w:ind w:left="1440" w:right="114"/>
        <w:jc w:val="both"/>
        <w:rPr>
          <w:sz w:val="22"/>
          <w:szCs w:val="22"/>
        </w:rPr>
      </w:pPr>
      <w:r w:rsidRPr="005C203C">
        <w:rPr>
          <w:sz w:val="22"/>
          <w:szCs w:val="22"/>
        </w:rPr>
        <w:t>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Wallis and Futuna Islands.</w:t>
      </w:r>
    </w:p>
    <w:p w14:paraId="563BE6F0" w14:textId="77777777" w:rsidR="00910AFC" w:rsidRPr="005C203C" w:rsidRDefault="00910AFC" w:rsidP="00910AFC">
      <w:pPr>
        <w:ind w:left="1440"/>
        <w:rPr>
          <w:sz w:val="22"/>
          <w:szCs w:val="22"/>
        </w:rPr>
      </w:pPr>
    </w:p>
    <w:p w14:paraId="53176612" w14:textId="77777777" w:rsidR="00910AFC" w:rsidRPr="005C203C" w:rsidRDefault="00910AFC" w:rsidP="00910AFC">
      <w:pPr>
        <w:numPr>
          <w:ilvl w:val="1"/>
          <w:numId w:val="5"/>
        </w:numPr>
        <w:suppressAutoHyphens w:val="0"/>
        <w:spacing w:after="160" w:line="254" w:lineRule="auto"/>
        <w:rPr>
          <w:sz w:val="22"/>
          <w:szCs w:val="22"/>
        </w:rPr>
      </w:pPr>
      <w:r w:rsidRPr="005C203C">
        <w:rPr>
          <w:sz w:val="22"/>
          <w:szCs w:val="22"/>
        </w:rPr>
        <w:t>A Member State of the European Union:</w:t>
      </w:r>
    </w:p>
    <w:p w14:paraId="43B3950F" w14:textId="77777777" w:rsidR="00910AFC" w:rsidRPr="005C203C" w:rsidRDefault="00910AFC" w:rsidP="00910AFC">
      <w:pPr>
        <w:ind w:left="1440"/>
        <w:rPr>
          <w:sz w:val="22"/>
          <w:szCs w:val="22"/>
        </w:rPr>
      </w:pPr>
    </w:p>
    <w:p w14:paraId="5B6A3617" w14:textId="77777777" w:rsidR="00910AFC" w:rsidRPr="005C203C" w:rsidRDefault="00910AFC" w:rsidP="00910AFC">
      <w:pPr>
        <w:ind w:left="1440" w:right="114"/>
        <w:jc w:val="both"/>
        <w:rPr>
          <w:sz w:val="22"/>
          <w:szCs w:val="22"/>
        </w:rPr>
      </w:pPr>
      <w:r w:rsidRPr="005C203C">
        <w:rPr>
          <w:sz w:val="22"/>
          <w:szCs w:val="22"/>
        </w:rPr>
        <w:t>Austria, Belgium, Bulgaria, Croatia, Czech republic, Cyprus, Denmark, Estonia, Finland, France, Germany, Greece, Hungary, Ireland, Italy, Latvia, Lithuania, Luxembourg, Malta, Netherlands, Poland, Portugal, Romania, Slovakia, Slovenia, Spain, Sweden, United Kingdom.</w:t>
      </w:r>
    </w:p>
    <w:p w14:paraId="14AA01CD" w14:textId="77777777" w:rsidR="00910AFC" w:rsidRPr="005C203C" w:rsidRDefault="00910AFC" w:rsidP="00910AFC">
      <w:pPr>
        <w:ind w:left="1440"/>
        <w:rPr>
          <w:sz w:val="22"/>
          <w:szCs w:val="22"/>
        </w:rPr>
      </w:pPr>
    </w:p>
    <w:p w14:paraId="5913C919" w14:textId="77777777" w:rsidR="00910AFC" w:rsidRPr="005C203C" w:rsidRDefault="00910AFC" w:rsidP="00910AFC">
      <w:pPr>
        <w:ind w:left="1440"/>
        <w:jc w:val="both"/>
        <w:rPr>
          <w:b/>
          <w:sz w:val="22"/>
          <w:szCs w:val="22"/>
        </w:rPr>
      </w:pPr>
      <w:r w:rsidRPr="005C203C">
        <w:rPr>
          <w:b/>
          <w:sz w:val="22"/>
          <w:szCs w:val="22"/>
        </w:rPr>
        <w:t>An official candidate country of the European Union:</w:t>
      </w:r>
    </w:p>
    <w:p w14:paraId="6716A3B0" w14:textId="77777777" w:rsidR="00910AFC" w:rsidRPr="005C203C" w:rsidRDefault="00910AFC" w:rsidP="00910AFC">
      <w:pPr>
        <w:ind w:left="1440"/>
        <w:rPr>
          <w:b/>
          <w:sz w:val="22"/>
          <w:szCs w:val="22"/>
        </w:rPr>
      </w:pPr>
    </w:p>
    <w:p w14:paraId="6A928E72" w14:textId="77777777" w:rsidR="00910AFC" w:rsidRPr="005C203C" w:rsidRDefault="00910AFC" w:rsidP="00910AFC">
      <w:pPr>
        <w:ind w:left="1440"/>
        <w:jc w:val="both"/>
        <w:rPr>
          <w:sz w:val="22"/>
          <w:szCs w:val="22"/>
        </w:rPr>
      </w:pPr>
      <w:r w:rsidRPr="005C203C">
        <w:rPr>
          <w:sz w:val="22"/>
          <w:szCs w:val="22"/>
        </w:rPr>
        <w:t>The Former Yugoslav Republic of Macedonia, Turkey, Iceland, Montenegro.</w:t>
      </w:r>
    </w:p>
    <w:p w14:paraId="136FA0C1" w14:textId="77777777" w:rsidR="00910AFC" w:rsidRPr="005C203C" w:rsidRDefault="00910AFC" w:rsidP="00910AFC">
      <w:pPr>
        <w:ind w:left="1440"/>
        <w:rPr>
          <w:sz w:val="22"/>
          <w:szCs w:val="22"/>
        </w:rPr>
      </w:pPr>
    </w:p>
    <w:p w14:paraId="3C76D0D3" w14:textId="77777777" w:rsidR="00910AFC" w:rsidRPr="005C203C" w:rsidRDefault="00910AFC" w:rsidP="00910AFC">
      <w:pPr>
        <w:ind w:left="1440"/>
        <w:jc w:val="both"/>
        <w:rPr>
          <w:sz w:val="22"/>
          <w:szCs w:val="22"/>
        </w:rPr>
      </w:pPr>
      <w:r w:rsidRPr="005C203C">
        <w:rPr>
          <w:b/>
          <w:sz w:val="22"/>
          <w:szCs w:val="22"/>
        </w:rPr>
        <w:t>A Member State of the European Economic Area</w:t>
      </w:r>
      <w:r w:rsidRPr="005C203C">
        <w:rPr>
          <w:sz w:val="22"/>
          <w:szCs w:val="22"/>
        </w:rPr>
        <w:t>: Iceland, Lichtenstein, Norway.</w:t>
      </w:r>
    </w:p>
    <w:p w14:paraId="3535F7C9" w14:textId="77777777" w:rsidR="00910AFC" w:rsidRPr="005C203C" w:rsidRDefault="00910AFC" w:rsidP="00910AFC">
      <w:pPr>
        <w:ind w:left="1440"/>
        <w:rPr>
          <w:sz w:val="22"/>
          <w:szCs w:val="22"/>
        </w:rPr>
      </w:pPr>
    </w:p>
    <w:p w14:paraId="726F9848" w14:textId="77777777" w:rsidR="00910AFC" w:rsidRPr="005C203C" w:rsidRDefault="00910AFC" w:rsidP="00910AFC">
      <w:pPr>
        <w:numPr>
          <w:ilvl w:val="1"/>
          <w:numId w:val="5"/>
        </w:numPr>
        <w:tabs>
          <w:tab w:val="left" w:pos="1541"/>
        </w:tabs>
        <w:suppressAutoHyphens w:val="0"/>
        <w:spacing w:after="160" w:line="254" w:lineRule="auto"/>
        <w:ind w:right="115" w:hanging="720"/>
        <w:jc w:val="both"/>
        <w:rPr>
          <w:sz w:val="22"/>
          <w:szCs w:val="22"/>
        </w:rPr>
      </w:pPr>
      <w:r w:rsidRPr="005C203C">
        <w:rPr>
          <w:sz w:val="22"/>
          <w:szCs w:val="22"/>
        </w:rPr>
        <w:t>All natural persons who are nationals of, or legal persons who are established in, a Least Developed Country as defined by the United Nations:</w:t>
      </w:r>
    </w:p>
    <w:p w14:paraId="3E320030" w14:textId="77777777" w:rsidR="00910AFC" w:rsidRPr="005C203C" w:rsidRDefault="00910AFC" w:rsidP="00910AFC">
      <w:pPr>
        <w:ind w:left="1440"/>
        <w:rPr>
          <w:sz w:val="22"/>
          <w:szCs w:val="22"/>
        </w:rPr>
      </w:pPr>
    </w:p>
    <w:p w14:paraId="1F3DF8FF" w14:textId="77777777" w:rsidR="00910AFC" w:rsidRPr="005C203C" w:rsidRDefault="00910AFC" w:rsidP="00910AFC">
      <w:pPr>
        <w:ind w:left="1440" w:right="114"/>
        <w:jc w:val="both"/>
        <w:rPr>
          <w:sz w:val="22"/>
          <w:szCs w:val="22"/>
        </w:rPr>
      </w:pPr>
      <w:r w:rsidRPr="005C203C">
        <w:rPr>
          <w:sz w:val="22"/>
          <w:szCs w:val="22"/>
        </w:rPr>
        <w:t>Afghanistan, Angola, Bangladesh, Benin, Bhutan, Burkina Faso, Burundi, Cambodia, Central African Republic, Chad, Comoros, Dem. Rep. Congo, Equatorial Guinea, Eritrea, Ethiopia, Guinea, Guinea-Bissau, Haiti, Kiribati, Lao PDR, Lesotho, Liberia, Madagascar, Malawi, Mali, Mauritania, Mozambique, Myanmar, Nepal, Niger, Rwanda, Sao Tome and Principe, Senegal, Sierra Leone, Djibouti, Solomon Islands, Somalia, South Sudan, Sudan, Tanzania, The Gambia, Timor-Leste, Togo, Tuvalu, Uganda, Vanuatu, Yemen, Rep. and Zambia.</w:t>
      </w:r>
    </w:p>
    <w:p w14:paraId="27861406" w14:textId="77777777" w:rsidR="00910AFC" w:rsidRPr="005C203C" w:rsidRDefault="00910AFC" w:rsidP="00910AFC">
      <w:pPr>
        <w:ind w:left="1440"/>
        <w:rPr>
          <w:sz w:val="22"/>
          <w:szCs w:val="22"/>
        </w:rPr>
      </w:pPr>
      <w:r w:rsidRPr="005C203C">
        <w:rPr>
          <w:sz w:val="22"/>
          <w:szCs w:val="22"/>
        </w:rPr>
        <w:br w:type="page"/>
      </w:r>
    </w:p>
    <w:p w14:paraId="5DBAE54C" w14:textId="77777777" w:rsidR="00910AFC" w:rsidRPr="005C203C" w:rsidRDefault="00910AFC" w:rsidP="00910AFC">
      <w:pPr>
        <w:numPr>
          <w:ilvl w:val="1"/>
          <w:numId w:val="5"/>
        </w:numPr>
        <w:tabs>
          <w:tab w:val="left" w:pos="1541"/>
        </w:tabs>
        <w:suppressAutoHyphens w:val="0"/>
        <w:spacing w:after="160" w:line="254" w:lineRule="auto"/>
        <w:ind w:right="113" w:hanging="720"/>
        <w:jc w:val="both"/>
        <w:rPr>
          <w:sz w:val="22"/>
          <w:szCs w:val="22"/>
        </w:rPr>
      </w:pPr>
      <w:r w:rsidRPr="005C203C">
        <w:rPr>
          <w:sz w:val="22"/>
          <w:szCs w:val="22"/>
        </w:rPr>
        <w:lastRenderedPageBreak/>
        <w:t xml:space="preserve">Participation in procedures for the award of procurement contracts or grants financed from the Facility shall be open to all natural persons who are nationals of, or legal persons established in, </w:t>
      </w:r>
      <w:r w:rsidRPr="005C203C">
        <w:rPr>
          <w:i/>
          <w:sz w:val="22"/>
          <w:szCs w:val="22"/>
        </w:rPr>
        <w:t xml:space="preserve">any country other than those referred to in paragraph 1, where reciprocal access to external assistance has been established. </w:t>
      </w:r>
      <w:r w:rsidRPr="005C203C">
        <w:rPr>
          <w:sz w:val="22"/>
          <w:szCs w:val="22"/>
        </w:rPr>
        <w:t>Reciprocal access in the Least Developed Countries as defined by the United Nations (UN) shall be automatically granted to the OECD/DAC members: Australia, Austria, Belgium, Canada, Denmark, Finland, France, Germany, Greece, Ireland, Italy, Japan, Korea, Luxembourg, Netherlands, New Zealand, Norway, Portugal, Spain, Sweden, Switzerland, United Kingdom, United States.</w:t>
      </w:r>
    </w:p>
    <w:p w14:paraId="65FB7A83" w14:textId="77777777" w:rsidR="00910AFC" w:rsidRPr="005C203C" w:rsidRDefault="00910AFC" w:rsidP="00910AFC">
      <w:pPr>
        <w:ind w:left="1440"/>
        <w:rPr>
          <w:sz w:val="22"/>
          <w:szCs w:val="22"/>
        </w:rPr>
      </w:pPr>
    </w:p>
    <w:p w14:paraId="7B97CEA0" w14:textId="77777777" w:rsidR="00910AFC" w:rsidRPr="005C203C" w:rsidRDefault="00910AFC" w:rsidP="00910AFC">
      <w:pPr>
        <w:numPr>
          <w:ilvl w:val="0"/>
          <w:numId w:val="5"/>
        </w:numPr>
        <w:tabs>
          <w:tab w:val="left" w:pos="720"/>
        </w:tabs>
        <w:suppressAutoHyphens w:val="0"/>
        <w:spacing w:after="160" w:line="254" w:lineRule="auto"/>
        <w:ind w:left="0" w:right="119" w:firstLine="0"/>
        <w:jc w:val="both"/>
        <w:rPr>
          <w:b/>
          <w:bCs/>
          <w:sz w:val="22"/>
          <w:szCs w:val="22"/>
        </w:rPr>
      </w:pPr>
      <w:r w:rsidRPr="005C203C">
        <w:rPr>
          <w:sz w:val="22"/>
          <w:szCs w:val="22"/>
        </w:rPr>
        <w:t>Services under a contract financed from the Facility may be provided by experts of any nationality, without prejudice to the qualitative and financial requirements set out in the Bank’s procurement rules.</w:t>
      </w:r>
    </w:p>
    <w:p w14:paraId="09DEC491" w14:textId="77777777" w:rsidR="00910AFC" w:rsidRPr="005C203C" w:rsidRDefault="00910AFC" w:rsidP="00910AFC">
      <w:pPr>
        <w:tabs>
          <w:tab w:val="left" w:pos="720"/>
        </w:tabs>
        <w:ind w:right="119"/>
        <w:jc w:val="both"/>
        <w:rPr>
          <w:b/>
          <w:bCs/>
          <w:sz w:val="22"/>
          <w:szCs w:val="22"/>
        </w:rPr>
      </w:pPr>
    </w:p>
    <w:p w14:paraId="4227ACA4" w14:textId="77777777" w:rsidR="00910AFC" w:rsidRPr="005C203C" w:rsidRDefault="00910AFC" w:rsidP="00910AFC">
      <w:pPr>
        <w:numPr>
          <w:ilvl w:val="0"/>
          <w:numId w:val="5"/>
        </w:numPr>
        <w:tabs>
          <w:tab w:val="left" w:pos="720"/>
        </w:tabs>
        <w:suppressAutoHyphens w:val="0"/>
        <w:spacing w:after="160" w:line="254" w:lineRule="auto"/>
        <w:ind w:left="0" w:right="115" w:firstLine="0"/>
        <w:jc w:val="both"/>
        <w:rPr>
          <w:sz w:val="22"/>
          <w:szCs w:val="22"/>
        </w:rPr>
      </w:pPr>
      <w:r w:rsidRPr="005C203C">
        <w:rPr>
          <w:sz w:val="22"/>
          <w:szCs w:val="22"/>
        </w:rPr>
        <w:t>Supplies and materials purchased under a contract financed from the Facility must originate in a State that is eligible under paragraph 1.  In this context, the definition of the concept of ’originating products’ shall be assessed by reference to the Bank’s prevailing procurement guidelines/procedures, and supplies originating in the EU shall include supplies originating in the Overseas Countries and Territories.</w:t>
      </w:r>
    </w:p>
    <w:p w14:paraId="0716F1BD" w14:textId="77777777" w:rsidR="00910AFC" w:rsidRPr="005C203C" w:rsidRDefault="00910AFC" w:rsidP="00910AFC">
      <w:pPr>
        <w:tabs>
          <w:tab w:val="left" w:pos="720"/>
        </w:tabs>
        <w:rPr>
          <w:sz w:val="22"/>
          <w:szCs w:val="22"/>
        </w:rPr>
      </w:pPr>
    </w:p>
    <w:p w14:paraId="16449131" w14:textId="77777777" w:rsidR="00910AFC" w:rsidRPr="005C203C" w:rsidRDefault="00910AFC" w:rsidP="00910AFC">
      <w:pPr>
        <w:numPr>
          <w:ilvl w:val="0"/>
          <w:numId w:val="5"/>
        </w:numPr>
        <w:tabs>
          <w:tab w:val="left" w:pos="720"/>
        </w:tabs>
        <w:suppressAutoHyphens w:val="0"/>
        <w:spacing w:after="160" w:line="254" w:lineRule="auto"/>
        <w:ind w:left="0" w:right="116" w:firstLine="0"/>
        <w:jc w:val="both"/>
        <w:rPr>
          <w:sz w:val="22"/>
          <w:szCs w:val="22"/>
        </w:rPr>
      </w:pPr>
      <w:r w:rsidRPr="005C203C">
        <w:rPr>
          <w:sz w:val="22"/>
          <w:szCs w:val="22"/>
        </w:rPr>
        <w:t>Whenever the Facility finances an operation implemented through an international organisation, participation in procedures for the award of procurement contracts or grants shall be open to all natural and legal persons who are eligible under paragraphs 1, care being taken to ensure equal treatment of all donors. The same rules apply for supplies and materials.</w:t>
      </w:r>
    </w:p>
    <w:p w14:paraId="5F82BABF" w14:textId="77777777" w:rsidR="00910AFC" w:rsidRPr="005C203C" w:rsidRDefault="00910AFC" w:rsidP="00910AFC">
      <w:pPr>
        <w:tabs>
          <w:tab w:val="left" w:pos="720"/>
        </w:tabs>
        <w:rPr>
          <w:sz w:val="22"/>
          <w:szCs w:val="22"/>
        </w:rPr>
      </w:pPr>
    </w:p>
    <w:p w14:paraId="35432933" w14:textId="77777777" w:rsidR="00910AFC" w:rsidRPr="005C203C" w:rsidRDefault="00910AFC" w:rsidP="00910AFC">
      <w:pPr>
        <w:numPr>
          <w:ilvl w:val="0"/>
          <w:numId w:val="5"/>
        </w:numPr>
        <w:tabs>
          <w:tab w:val="left" w:pos="720"/>
        </w:tabs>
        <w:suppressAutoHyphens w:val="0"/>
        <w:spacing w:after="160" w:line="254" w:lineRule="auto"/>
        <w:ind w:left="0" w:right="113" w:firstLine="0"/>
        <w:jc w:val="both"/>
        <w:rPr>
          <w:sz w:val="22"/>
          <w:szCs w:val="22"/>
        </w:rPr>
      </w:pPr>
      <w:r w:rsidRPr="005C203C">
        <w:rPr>
          <w:sz w:val="22"/>
          <w:szCs w:val="22"/>
        </w:rPr>
        <w:t>Whenever the Facility finances an operation implemented as part of a regional initiative, participation in procedures for the award of procurement contracts or grants shall be open to all natural and legal persons who are eligible under paragraph 1, and to all natural and legal persons from a country participating in the relevant initiative.  The same rules apply for supplies and materials.</w:t>
      </w:r>
    </w:p>
    <w:p w14:paraId="6C904E02" w14:textId="77777777" w:rsidR="00910AFC" w:rsidRPr="005C203C" w:rsidRDefault="00910AFC" w:rsidP="00910AFC">
      <w:pPr>
        <w:tabs>
          <w:tab w:val="left" w:pos="720"/>
        </w:tabs>
        <w:rPr>
          <w:sz w:val="22"/>
          <w:szCs w:val="22"/>
        </w:rPr>
      </w:pPr>
    </w:p>
    <w:p w14:paraId="770DA3AD" w14:textId="77777777" w:rsidR="00910AFC" w:rsidRPr="005C203C" w:rsidRDefault="00910AFC" w:rsidP="00910AFC">
      <w:pPr>
        <w:numPr>
          <w:ilvl w:val="0"/>
          <w:numId w:val="5"/>
        </w:numPr>
        <w:tabs>
          <w:tab w:val="left" w:pos="720"/>
        </w:tabs>
        <w:suppressAutoHyphens w:val="0"/>
        <w:spacing w:after="160" w:line="254" w:lineRule="auto"/>
        <w:ind w:left="0" w:right="113" w:firstLine="0"/>
        <w:jc w:val="both"/>
        <w:rPr>
          <w:sz w:val="22"/>
          <w:szCs w:val="22"/>
        </w:rPr>
      </w:pPr>
      <w:r w:rsidRPr="005C203C">
        <w:rPr>
          <w:sz w:val="22"/>
          <w:szCs w:val="22"/>
        </w:rPr>
        <w:t>Whenever the Facility finances an operation co-financed with a third entity, participation in procedures for the award of procurement contracts or grants shall be open to all natural and legal persons eligible under paragraph 1, and to all persons eligible under the rules of the third entity. The same rules shall apply to supplies and materials.</w:t>
      </w:r>
    </w:p>
    <w:p w14:paraId="614D14EA" w14:textId="77777777" w:rsidR="00910AFC" w:rsidRPr="005C203C" w:rsidRDefault="00910AFC" w:rsidP="00910AFC">
      <w:pPr>
        <w:rPr>
          <w:sz w:val="22"/>
          <w:szCs w:val="22"/>
        </w:rPr>
      </w:pPr>
    </w:p>
    <w:p w14:paraId="65283297" w14:textId="77777777" w:rsidR="00910AFC" w:rsidRPr="005C203C" w:rsidRDefault="00910AFC" w:rsidP="00910AFC">
      <w:pPr>
        <w:ind w:right="114"/>
        <w:jc w:val="both"/>
        <w:rPr>
          <w:sz w:val="22"/>
          <w:szCs w:val="22"/>
        </w:rPr>
      </w:pPr>
      <w:r w:rsidRPr="005C203C">
        <w:rPr>
          <w:b/>
          <w:bCs/>
          <w:sz w:val="22"/>
          <w:szCs w:val="22"/>
        </w:rPr>
        <w:t>Caveat:</w:t>
      </w:r>
      <w:r w:rsidRPr="005C203C">
        <w:rPr>
          <w:b/>
          <w:bCs/>
          <w:sz w:val="22"/>
          <w:szCs w:val="22"/>
        </w:rPr>
        <w:tab/>
      </w:r>
      <w:r w:rsidRPr="005C203C">
        <w:rPr>
          <w:sz w:val="22"/>
          <w:szCs w:val="22"/>
        </w:rPr>
        <w:t>The Bank and EU eligibility requirements are subject to change by the Bank and the EU. The applicant is responsible for checking whether there have been any updates on the eligibility requirements, as well as the UN’s list of Least Developed Countries.</w:t>
      </w:r>
    </w:p>
    <w:p w14:paraId="5229C609" w14:textId="77777777" w:rsidR="00910AFC" w:rsidRPr="005C203C" w:rsidRDefault="00910AFC" w:rsidP="00910AFC">
      <w:pPr>
        <w:ind w:right="114"/>
        <w:jc w:val="both"/>
        <w:rPr>
          <w:sz w:val="22"/>
          <w:szCs w:val="22"/>
        </w:rPr>
      </w:pPr>
    </w:p>
    <w:p w14:paraId="279F38CA" w14:textId="77777777" w:rsidR="00910AFC" w:rsidRPr="005C203C" w:rsidRDefault="00910AFC" w:rsidP="00910AFC">
      <w:pPr>
        <w:ind w:right="114"/>
        <w:jc w:val="both"/>
        <w:rPr>
          <w:sz w:val="22"/>
          <w:szCs w:val="22"/>
        </w:rPr>
      </w:pPr>
    </w:p>
    <w:p w14:paraId="225257FB" w14:textId="77777777" w:rsidR="00910AFC" w:rsidRPr="005C203C" w:rsidRDefault="00910AFC" w:rsidP="00910AFC">
      <w:pPr>
        <w:pStyle w:val="ListParagraph"/>
        <w:spacing w:line="360" w:lineRule="auto"/>
        <w:jc w:val="both"/>
        <w:rPr>
          <w:sz w:val="22"/>
          <w:szCs w:val="22"/>
        </w:rPr>
      </w:pPr>
    </w:p>
    <w:p w14:paraId="56C10E30" w14:textId="77777777" w:rsidR="00910AFC" w:rsidRPr="005C203C" w:rsidRDefault="00910AFC" w:rsidP="002B0A7A">
      <w:pPr>
        <w:pStyle w:val="ListParagraph"/>
        <w:ind w:left="0"/>
        <w:rPr>
          <w:rFonts w:ascii="Times New Roman" w:hAnsi="Times New Roman"/>
          <w:sz w:val="22"/>
          <w:szCs w:val="22"/>
        </w:rPr>
      </w:pPr>
    </w:p>
    <w:sectPr w:rsidR="00910AFC" w:rsidRPr="005C2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98C"/>
    <w:multiLevelType w:val="multilevel"/>
    <w:tmpl w:val="A7AC1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F141C0"/>
    <w:multiLevelType w:val="hybridMultilevel"/>
    <w:tmpl w:val="FD56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15B7C"/>
    <w:multiLevelType w:val="multilevel"/>
    <w:tmpl w:val="F7E46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4"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3A2152A0"/>
    <w:multiLevelType w:val="multilevel"/>
    <w:tmpl w:val="29C0F0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4D499A"/>
    <w:multiLevelType w:val="multilevel"/>
    <w:tmpl w:val="996660B0"/>
    <w:lvl w:ilvl="0">
      <w:start w:val="2"/>
      <w:numFmt w:val="decimal"/>
      <w:lvlText w:val="%1."/>
      <w:lvlJc w:val="left"/>
      <w:pPr>
        <w:ind w:left="720" w:hanging="360"/>
      </w:pPr>
      <w:rPr>
        <w:rFonts w:hint="default"/>
      </w:rPr>
    </w:lvl>
    <w:lvl w:ilvl="1">
      <w:start w:val="1"/>
      <w:numFmt w:val="lowerLetter"/>
      <w:lvlText w:val="(%2)"/>
      <w:lvlJc w:val="right"/>
      <w:pPr>
        <w:ind w:left="144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FCC1BFC"/>
    <w:multiLevelType w:val="hybridMultilevel"/>
    <w:tmpl w:val="890A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F5"/>
    <w:rsid w:val="00003FC9"/>
    <w:rsid w:val="0003639E"/>
    <w:rsid w:val="000439E2"/>
    <w:rsid w:val="000766F1"/>
    <w:rsid w:val="000B7FE4"/>
    <w:rsid w:val="001654F1"/>
    <w:rsid w:val="00196D7E"/>
    <w:rsid w:val="00234265"/>
    <w:rsid w:val="002B0A7A"/>
    <w:rsid w:val="002B0F6F"/>
    <w:rsid w:val="002E3C53"/>
    <w:rsid w:val="00403CC6"/>
    <w:rsid w:val="004C3213"/>
    <w:rsid w:val="005C203C"/>
    <w:rsid w:val="006C6693"/>
    <w:rsid w:val="006D26D2"/>
    <w:rsid w:val="00701F07"/>
    <w:rsid w:val="00713C1C"/>
    <w:rsid w:val="007C708A"/>
    <w:rsid w:val="007D178B"/>
    <w:rsid w:val="00821208"/>
    <w:rsid w:val="00822DB8"/>
    <w:rsid w:val="00892E8C"/>
    <w:rsid w:val="00910AFC"/>
    <w:rsid w:val="009133BF"/>
    <w:rsid w:val="009D2FFB"/>
    <w:rsid w:val="009D70AA"/>
    <w:rsid w:val="009F6825"/>
    <w:rsid w:val="00A91C0B"/>
    <w:rsid w:val="00BC0E87"/>
    <w:rsid w:val="00CF54E9"/>
    <w:rsid w:val="00CF65F5"/>
    <w:rsid w:val="00D04CB3"/>
    <w:rsid w:val="00D213CC"/>
    <w:rsid w:val="00D66E85"/>
    <w:rsid w:val="00D706F8"/>
    <w:rsid w:val="00D72B5A"/>
    <w:rsid w:val="00D94759"/>
    <w:rsid w:val="00DD1F52"/>
    <w:rsid w:val="00DD5DA1"/>
    <w:rsid w:val="00E0173D"/>
    <w:rsid w:val="00E96E08"/>
    <w:rsid w:val="00EF52AF"/>
    <w:rsid w:val="00F2380E"/>
    <w:rsid w:val="00F66FFE"/>
    <w:rsid w:val="00FB7647"/>
    <w:rsid w:val="00FF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4D80"/>
  <w15:chartTrackingRefBased/>
  <w15:docId w15:val="{0491F765-A774-4B71-A77B-EC0BD2EB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5F5"/>
    <w:pPr>
      <w:widowControl w:val="0"/>
      <w:suppressAutoHyphens/>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123 List Paragraph Char,List Paragraph1 Char,text Char,List Paragraph (numbered (a)) Char"/>
    <w:link w:val="ListParagraph"/>
    <w:uiPriority w:val="34"/>
    <w:locked/>
    <w:rsid w:val="00CF65F5"/>
    <w:rPr>
      <w:rFonts w:ascii="Times" w:eastAsia="Times New Roman" w:hAnsi="Times" w:cs="Times New Roman"/>
      <w:sz w:val="24"/>
      <w:szCs w:val="24"/>
    </w:rPr>
  </w:style>
  <w:style w:type="paragraph" w:styleId="ListParagraph">
    <w:name w:val="List Paragraph"/>
    <w:aliases w:val="123 List Paragraph,List Paragraph1,text,List Paragraph (numbered (a))"/>
    <w:basedOn w:val="Normal"/>
    <w:link w:val="ListParagraphChar"/>
    <w:uiPriority w:val="34"/>
    <w:qFormat/>
    <w:rsid w:val="00CF65F5"/>
    <w:pPr>
      <w:ind w:left="720"/>
    </w:pPr>
  </w:style>
  <w:style w:type="paragraph" w:customStyle="1" w:styleId="Body">
    <w:name w:val="Body"/>
    <w:rsid w:val="00CF65F5"/>
    <w:pPr>
      <w:suppressAutoHyphens/>
      <w:jc w:val="both"/>
    </w:pPr>
    <w:rPr>
      <w:rFonts w:ascii="Helvetica" w:eastAsia="Arial Unicode MS" w:hAnsi="Helvetica" w:cs="Arial Unicode MS"/>
      <w:color w:val="000000"/>
      <w:sz w:val="24"/>
      <w:lang w:val="en-US"/>
    </w:rPr>
  </w:style>
  <w:style w:type="table" w:styleId="TableGrid">
    <w:name w:val="Table Grid"/>
    <w:basedOn w:val="TableNormal"/>
    <w:uiPriority w:val="59"/>
    <w:rsid w:val="00CF65F5"/>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82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F6825"/>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2E3C53"/>
    <w:rPr>
      <w:sz w:val="16"/>
      <w:szCs w:val="16"/>
    </w:rPr>
  </w:style>
  <w:style w:type="paragraph" w:styleId="CommentText">
    <w:name w:val="annotation text"/>
    <w:basedOn w:val="Normal"/>
    <w:link w:val="CommentTextChar"/>
    <w:uiPriority w:val="99"/>
    <w:semiHidden/>
    <w:unhideWhenUsed/>
    <w:rsid w:val="002E3C53"/>
    <w:rPr>
      <w:sz w:val="20"/>
      <w:szCs w:val="20"/>
    </w:rPr>
  </w:style>
  <w:style w:type="character" w:customStyle="1" w:styleId="CommentTextChar">
    <w:name w:val="Comment Text Char"/>
    <w:basedOn w:val="DefaultParagraphFont"/>
    <w:link w:val="CommentText"/>
    <w:uiPriority w:val="99"/>
    <w:semiHidden/>
    <w:rsid w:val="002E3C53"/>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2E3C53"/>
    <w:rPr>
      <w:b/>
      <w:bCs/>
    </w:rPr>
  </w:style>
  <w:style w:type="character" w:customStyle="1" w:styleId="CommentSubjectChar">
    <w:name w:val="Comment Subject Char"/>
    <w:basedOn w:val="CommentTextChar"/>
    <w:link w:val="CommentSubject"/>
    <w:uiPriority w:val="99"/>
    <w:semiHidden/>
    <w:rsid w:val="002E3C53"/>
    <w:rPr>
      <w:rFonts w:ascii="Times" w:eastAsia="Times New Roman" w:hAnsi="Times" w:cs="Times New Roman"/>
      <w:b/>
      <w:bCs/>
      <w:sz w:val="20"/>
      <w:szCs w:val="20"/>
    </w:rPr>
  </w:style>
  <w:style w:type="paragraph" w:customStyle="1" w:styleId="Default">
    <w:name w:val="Default"/>
    <w:qFormat/>
    <w:rsid w:val="00D706F8"/>
    <w:pPr>
      <w:autoSpaceDE w:val="0"/>
      <w:autoSpaceDN w:val="0"/>
      <w:adjustRightInd w:val="0"/>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0B7FE4"/>
    <w:rPr>
      <w:color w:val="0563C1" w:themeColor="hyperlink"/>
      <w:u w:val="single"/>
    </w:rPr>
  </w:style>
  <w:style w:type="character" w:customStyle="1" w:styleId="UnresolvedMention">
    <w:name w:val="Unresolved Mention"/>
    <w:basedOn w:val="DefaultParagraphFont"/>
    <w:uiPriority w:val="99"/>
    <w:semiHidden/>
    <w:unhideWhenUsed/>
    <w:rsid w:val="0091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2715</Words>
  <Characters>15479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Sueanne</dc:creator>
  <cp:keywords/>
  <dc:description/>
  <cp:lastModifiedBy>Johanna Pelaez</cp:lastModifiedBy>
  <cp:revision>2</cp:revision>
  <cp:lastPrinted>2019-02-06T19:28:00Z</cp:lastPrinted>
  <dcterms:created xsi:type="dcterms:W3CDTF">2019-07-18T22:11:00Z</dcterms:created>
  <dcterms:modified xsi:type="dcterms:W3CDTF">2019-07-18T22:11:00Z</dcterms:modified>
</cp:coreProperties>
</file>