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B3786" w14:textId="5C8D486A" w:rsidR="003D2B14" w:rsidRPr="00F4558C" w:rsidRDefault="003D2B14" w:rsidP="00F4558C">
      <w:pPr>
        <w:spacing w:after="160" w:line="259" w:lineRule="auto"/>
        <w:jc w:val="center"/>
        <w:rPr>
          <w:rFonts w:eastAsia="Times New Roman"/>
          <w:b/>
          <w:sz w:val="24"/>
        </w:rPr>
      </w:pPr>
      <w:r w:rsidRPr="00F4558C">
        <w:rPr>
          <w:rFonts w:eastAsia="Times New Roman"/>
          <w:b/>
          <w:sz w:val="24"/>
        </w:rPr>
        <w:t>TE</w:t>
      </w:r>
      <w:bookmarkStart w:id="0" w:name="_GoBack"/>
      <w:bookmarkEnd w:id="0"/>
      <w:r w:rsidRPr="00F4558C">
        <w:rPr>
          <w:rFonts w:eastAsia="Times New Roman"/>
          <w:b/>
          <w:sz w:val="24"/>
        </w:rPr>
        <w:t>RMS OF REFERENCE</w:t>
      </w:r>
    </w:p>
    <w:p w14:paraId="6A8DE745" w14:textId="77777777" w:rsidR="003D2B14" w:rsidRDefault="003D2B14" w:rsidP="00C265E8">
      <w:pPr>
        <w:spacing w:after="0" w:line="240" w:lineRule="auto"/>
        <w:jc w:val="center"/>
        <w:rPr>
          <w:b/>
          <w:lang w:val="en-029"/>
        </w:rPr>
      </w:pPr>
    </w:p>
    <w:p w14:paraId="7DC2BF0C" w14:textId="6EA256B6" w:rsidR="00DC1CCD" w:rsidRDefault="00C265E8" w:rsidP="00095D5C">
      <w:pPr>
        <w:jc w:val="center"/>
        <w:rPr>
          <w:b/>
          <w:szCs w:val="22"/>
          <w:lang w:val="en-029"/>
        </w:rPr>
      </w:pPr>
      <w:r w:rsidRPr="003D2B14">
        <w:rPr>
          <w:b/>
          <w:szCs w:val="22"/>
          <w:lang w:val="en-029"/>
        </w:rPr>
        <w:t xml:space="preserve"> </w:t>
      </w:r>
      <w:r w:rsidR="003D2B14" w:rsidRPr="003D2B14">
        <w:rPr>
          <w:b/>
          <w:szCs w:val="22"/>
          <w:lang w:val="en-029"/>
        </w:rPr>
        <w:t xml:space="preserve">FOR </w:t>
      </w:r>
      <w:r w:rsidR="009B42B2" w:rsidRPr="003D2B14">
        <w:rPr>
          <w:b/>
          <w:szCs w:val="22"/>
          <w:lang w:val="en-029"/>
        </w:rPr>
        <w:t>CONSULTANCY SERVICES FOR THE PREPARATION OF THE NATIONAL REPORT OF LIVING CONDITIONS FOR THE SURVEY OF LIVING CONDITIONS AND HOUSEHOLD BUDGET SURVEY</w:t>
      </w:r>
      <w:r w:rsidR="003D2B14">
        <w:rPr>
          <w:b/>
          <w:szCs w:val="22"/>
          <w:lang w:val="en-029"/>
        </w:rPr>
        <w:t xml:space="preserve"> (SLC-HBS)</w:t>
      </w:r>
      <w:r w:rsidR="0028466E">
        <w:rPr>
          <w:b/>
          <w:szCs w:val="22"/>
          <w:lang w:val="en-029"/>
        </w:rPr>
        <w:t xml:space="preserve"> COMPONENT FOR </w:t>
      </w:r>
      <w:r w:rsidR="00DE4985">
        <w:rPr>
          <w:b/>
          <w:szCs w:val="22"/>
          <w:lang w:val="en-029"/>
        </w:rPr>
        <w:t>SEVEN</w:t>
      </w:r>
      <w:r w:rsidR="0028466E">
        <w:rPr>
          <w:b/>
          <w:szCs w:val="22"/>
          <w:lang w:val="en-029"/>
        </w:rPr>
        <w:t xml:space="preserve"> OECS MEMBER STATES - </w:t>
      </w:r>
      <w:r w:rsidR="0028466E" w:rsidRPr="003D2B14">
        <w:rPr>
          <w:b/>
          <w:szCs w:val="22"/>
          <w:lang w:val="en-029"/>
        </w:rPr>
        <w:t>ANGUILLA</w:t>
      </w:r>
      <w:r w:rsidR="0028466E">
        <w:rPr>
          <w:b/>
          <w:szCs w:val="22"/>
          <w:lang w:val="en-029"/>
        </w:rPr>
        <w:t>, ANTIGUA AND BARBUDA, BRITISH VIRGIN ISLANDS, DOMINICA, GRENADA, MONTSERRAT</w:t>
      </w:r>
      <w:r w:rsidR="0018148D">
        <w:rPr>
          <w:b/>
          <w:szCs w:val="22"/>
          <w:lang w:val="en-029"/>
        </w:rPr>
        <w:t>AND</w:t>
      </w:r>
      <w:r w:rsidR="0028466E">
        <w:rPr>
          <w:b/>
          <w:szCs w:val="22"/>
          <w:lang w:val="en-029"/>
        </w:rPr>
        <w:t xml:space="preserve"> ST. KITTS AND NEVIS </w:t>
      </w:r>
    </w:p>
    <w:p w14:paraId="2BA2AE95" w14:textId="6E316645" w:rsidR="00D123E5" w:rsidRPr="00D123E5" w:rsidRDefault="00DC1CCD" w:rsidP="00DC1CCD">
      <w:pPr>
        <w:rPr>
          <w:rFonts w:eastAsia="Times New Roman"/>
          <w:b/>
          <w:szCs w:val="22"/>
        </w:rPr>
      </w:pPr>
      <w:r>
        <w:rPr>
          <w:b/>
          <w:szCs w:val="22"/>
          <w:lang w:val="en-029"/>
        </w:rPr>
        <w:t xml:space="preserve">1. </w:t>
      </w:r>
      <w:r w:rsidR="00D123E5" w:rsidRPr="00D123E5">
        <w:rPr>
          <w:b/>
          <w:szCs w:val="22"/>
        </w:rPr>
        <w:t>Background</w:t>
      </w:r>
    </w:p>
    <w:p w14:paraId="1B104D1E" w14:textId="7EDBDB26" w:rsidR="00D123E5" w:rsidRPr="00D123E5" w:rsidRDefault="00443476" w:rsidP="007D0989">
      <w:pPr>
        <w:jc w:val="both"/>
        <w:rPr>
          <w:iCs/>
          <w:szCs w:val="22"/>
        </w:rPr>
      </w:pPr>
      <w:r>
        <w:rPr>
          <w:iCs/>
          <w:szCs w:val="22"/>
        </w:rPr>
        <w:t>1.01</w:t>
      </w:r>
      <w:r>
        <w:rPr>
          <w:iCs/>
          <w:szCs w:val="22"/>
        </w:rPr>
        <w:tab/>
      </w:r>
      <w:r w:rsidR="00D123E5" w:rsidRPr="00D123E5">
        <w:rPr>
          <w:iCs/>
          <w:szCs w:val="22"/>
        </w:rPr>
        <w:t>With the support of the Caribbean Development Bank (CDB) and development partners, several Caribbean</w:t>
      </w:r>
      <w:r w:rsidR="00D123E5" w:rsidRPr="00D123E5">
        <w:rPr>
          <w:rStyle w:val="FootnoteReference"/>
          <w:iCs/>
          <w:szCs w:val="22"/>
        </w:rPr>
        <w:footnoteReference w:id="1"/>
      </w:r>
      <w:r w:rsidR="00D123E5" w:rsidRPr="00D123E5">
        <w:rPr>
          <w:iCs/>
          <w:szCs w:val="22"/>
        </w:rPr>
        <w:t xml:space="preserve"> countries have since 1995 engaged in the conduct of Country Poverty Assessments (CPAs).  The CPAs are conducted according to the CDB Model which applies a mixed method approach involving both quantitative and qualitative research to determine the characteristics, extent, geographic concentration, severity and causes of poverty.  The results of the CPAs have been used for developing and implementing appropriate national </w:t>
      </w:r>
      <w:r w:rsidR="003774E9">
        <w:rPr>
          <w:iCs/>
          <w:szCs w:val="22"/>
        </w:rPr>
        <w:t xml:space="preserve">development </w:t>
      </w:r>
      <w:r w:rsidR="00D123E5" w:rsidRPr="00D123E5">
        <w:rPr>
          <w:iCs/>
          <w:szCs w:val="22"/>
        </w:rPr>
        <w:t>strategies and policy responses.</w:t>
      </w:r>
    </w:p>
    <w:p w14:paraId="5B6B3A35" w14:textId="53734D72" w:rsidR="00487916" w:rsidRDefault="00443476" w:rsidP="007D0989">
      <w:pPr>
        <w:jc w:val="both"/>
        <w:rPr>
          <w:iCs/>
          <w:szCs w:val="22"/>
        </w:rPr>
      </w:pPr>
      <w:r>
        <w:rPr>
          <w:iCs/>
          <w:szCs w:val="22"/>
        </w:rPr>
        <w:t>1.02</w:t>
      </w:r>
      <w:r>
        <w:rPr>
          <w:iCs/>
          <w:szCs w:val="22"/>
        </w:rPr>
        <w:tab/>
      </w:r>
      <w:r w:rsidR="006F3388">
        <w:rPr>
          <w:iCs/>
          <w:szCs w:val="22"/>
        </w:rPr>
        <w:t xml:space="preserve">CPAs in the Caribbean use the Survey </w:t>
      </w:r>
      <w:r w:rsidR="00D123E5" w:rsidRPr="00D123E5">
        <w:rPr>
          <w:iCs/>
          <w:szCs w:val="22"/>
        </w:rPr>
        <w:t xml:space="preserve">of Living Conditions (SLC) </w:t>
      </w:r>
      <w:r w:rsidR="00654B62">
        <w:rPr>
          <w:iCs/>
          <w:szCs w:val="22"/>
        </w:rPr>
        <w:t xml:space="preserve">as </w:t>
      </w:r>
      <w:r w:rsidR="006F3388">
        <w:rPr>
          <w:iCs/>
          <w:szCs w:val="22"/>
        </w:rPr>
        <w:t xml:space="preserve">the main source of robust quantitative data to generate key quantitative, poverty, indigence, inequality and vulnerability indicators to evaluate living conditions in a country at that point in time. </w:t>
      </w:r>
      <w:r w:rsidR="003774E9">
        <w:rPr>
          <w:iCs/>
          <w:szCs w:val="22"/>
        </w:rPr>
        <w:t xml:space="preserve"> </w:t>
      </w:r>
      <w:r w:rsidR="006F3388">
        <w:rPr>
          <w:iCs/>
          <w:szCs w:val="22"/>
        </w:rPr>
        <w:t>For the Enhanced CPA, the SLC is combined with a Household Budgetary Survey (</w:t>
      </w:r>
      <w:r w:rsidR="00D123E5" w:rsidRPr="00D123E5">
        <w:rPr>
          <w:iCs/>
          <w:szCs w:val="22"/>
        </w:rPr>
        <w:t>HBS</w:t>
      </w:r>
      <w:r w:rsidR="006F3388">
        <w:rPr>
          <w:iCs/>
          <w:szCs w:val="22"/>
        </w:rPr>
        <w:t>), which collects expenditure data in a more detailed format than would typically be collected in the SLC.  Data collection for the HBS is done in accordance with</w:t>
      </w:r>
      <w:r w:rsidR="00D123E5" w:rsidRPr="00D123E5">
        <w:rPr>
          <w:iCs/>
          <w:szCs w:val="22"/>
        </w:rPr>
        <w:t xml:space="preserve"> </w:t>
      </w:r>
      <w:r w:rsidR="006F3388">
        <w:rPr>
          <w:iCs/>
          <w:szCs w:val="22"/>
        </w:rPr>
        <w:t>the United Nations (UN) Classification of Individual Consumption According to Purpose</w:t>
      </w:r>
      <w:r w:rsidR="00E073EA">
        <w:rPr>
          <w:iCs/>
          <w:szCs w:val="22"/>
        </w:rPr>
        <w:t xml:space="preserve"> (COICOP) and with shorter reference periods. </w:t>
      </w:r>
    </w:p>
    <w:p w14:paraId="3BA4F9F1" w14:textId="40FF523D" w:rsidR="00D123E5" w:rsidRDefault="00487916" w:rsidP="007D0989">
      <w:pPr>
        <w:jc w:val="both"/>
        <w:rPr>
          <w:szCs w:val="22"/>
        </w:rPr>
      </w:pPr>
      <w:r>
        <w:rPr>
          <w:szCs w:val="22"/>
        </w:rPr>
        <w:t>1.03</w:t>
      </w:r>
      <w:r>
        <w:rPr>
          <w:szCs w:val="22"/>
        </w:rPr>
        <w:tab/>
        <w:t>The combined quantitative survey called the Survey of Living Conditions and Household Budget Survey (SLC-HB</w:t>
      </w:r>
      <w:r w:rsidR="00293874">
        <w:rPr>
          <w:szCs w:val="22"/>
        </w:rPr>
        <w:t>S</w:t>
      </w:r>
      <w:r>
        <w:rPr>
          <w:szCs w:val="22"/>
        </w:rPr>
        <w:t>) generates the household consumption and expenditure data used to establish the national indigence and absolute poverty lines and the information necessary to calculate multi</w:t>
      </w:r>
      <w:r w:rsidR="003774E9">
        <w:rPr>
          <w:szCs w:val="22"/>
        </w:rPr>
        <w:t>-</w:t>
      </w:r>
      <w:r>
        <w:rPr>
          <w:szCs w:val="22"/>
        </w:rPr>
        <w:t xml:space="preserve">dimensional measures of poverty, all in keeping with </w:t>
      </w:r>
      <w:r w:rsidR="003774E9">
        <w:rPr>
          <w:szCs w:val="22"/>
        </w:rPr>
        <w:t xml:space="preserve">current </w:t>
      </w:r>
      <w:r>
        <w:rPr>
          <w:szCs w:val="22"/>
        </w:rPr>
        <w:t xml:space="preserve">international </w:t>
      </w:r>
      <w:r w:rsidR="003774E9">
        <w:rPr>
          <w:szCs w:val="22"/>
        </w:rPr>
        <w:t xml:space="preserve">good </w:t>
      </w:r>
      <w:r>
        <w:rPr>
          <w:szCs w:val="22"/>
        </w:rPr>
        <w:t xml:space="preserve">practice. </w:t>
      </w:r>
      <w:r w:rsidR="003774E9">
        <w:rPr>
          <w:szCs w:val="22"/>
        </w:rPr>
        <w:t xml:space="preserve"> </w:t>
      </w:r>
      <w:r>
        <w:rPr>
          <w:szCs w:val="22"/>
        </w:rPr>
        <w:t xml:space="preserve">The survey also provides the national estimates of inequality, demographic information on the characteristics, extent, geographic concentration and possible causes of poverty. </w:t>
      </w:r>
      <w:r w:rsidR="003774E9">
        <w:rPr>
          <w:szCs w:val="22"/>
        </w:rPr>
        <w:t xml:space="preserve"> </w:t>
      </w:r>
      <w:r>
        <w:rPr>
          <w:szCs w:val="22"/>
        </w:rPr>
        <w:t xml:space="preserve">Furthermore, it assists in measuring a country’s progress towards related </w:t>
      </w:r>
      <w:r w:rsidR="003774E9">
        <w:rPr>
          <w:szCs w:val="22"/>
        </w:rPr>
        <w:t>Sustainable Development Goals (</w:t>
      </w:r>
      <w:r>
        <w:rPr>
          <w:szCs w:val="22"/>
        </w:rPr>
        <w:t>SDGs</w:t>
      </w:r>
      <w:r w:rsidR="003774E9">
        <w:rPr>
          <w:szCs w:val="22"/>
        </w:rPr>
        <w:t>)</w:t>
      </w:r>
      <w:r>
        <w:rPr>
          <w:szCs w:val="22"/>
        </w:rPr>
        <w:t>.</w:t>
      </w:r>
      <w:r w:rsidR="00654B62">
        <w:rPr>
          <w:szCs w:val="22"/>
        </w:rPr>
        <w:t xml:space="preserve">  The SLC-HBS is </w:t>
      </w:r>
      <w:r w:rsidR="00654B62" w:rsidRPr="00D123E5">
        <w:rPr>
          <w:iCs/>
          <w:szCs w:val="22"/>
        </w:rPr>
        <w:t xml:space="preserve">one of the </w:t>
      </w:r>
      <w:r w:rsidR="00654B62">
        <w:rPr>
          <w:iCs/>
          <w:szCs w:val="22"/>
        </w:rPr>
        <w:t xml:space="preserve">five </w:t>
      </w:r>
      <w:r w:rsidR="00654B62" w:rsidRPr="00D123E5">
        <w:rPr>
          <w:iCs/>
          <w:szCs w:val="22"/>
        </w:rPr>
        <w:t>components of the Enhanced CPA</w:t>
      </w:r>
      <w:r w:rsidR="00654B62">
        <w:rPr>
          <w:iCs/>
          <w:szCs w:val="22"/>
        </w:rPr>
        <w:t xml:space="preserve"> study. </w:t>
      </w:r>
    </w:p>
    <w:p w14:paraId="4315619A" w14:textId="2F16756B" w:rsidR="00804763" w:rsidRDefault="003A7B07" w:rsidP="00E8551D">
      <w:pPr>
        <w:jc w:val="both"/>
        <w:rPr>
          <w:szCs w:val="22"/>
        </w:rPr>
      </w:pPr>
      <w:r>
        <w:rPr>
          <w:szCs w:val="22"/>
        </w:rPr>
        <w:t>1.04</w:t>
      </w:r>
      <w:r>
        <w:rPr>
          <w:szCs w:val="22"/>
        </w:rPr>
        <w:tab/>
        <w:t>In previous CPA rounds, poverty was measured using the tradition uni</w:t>
      </w:r>
      <w:r w:rsidR="003774E9">
        <w:rPr>
          <w:szCs w:val="22"/>
        </w:rPr>
        <w:t>-</w:t>
      </w:r>
      <w:r>
        <w:rPr>
          <w:szCs w:val="22"/>
        </w:rPr>
        <w:t xml:space="preserve">dimensional measure –income or consumption levels.  </w:t>
      </w:r>
      <w:r w:rsidR="009650C9">
        <w:rPr>
          <w:szCs w:val="22"/>
        </w:rPr>
        <w:t>Given</w:t>
      </w:r>
      <w:r>
        <w:rPr>
          <w:szCs w:val="22"/>
        </w:rPr>
        <w:t xml:space="preserve"> the limitations of th</w:t>
      </w:r>
      <w:r w:rsidR="00804763">
        <w:rPr>
          <w:szCs w:val="22"/>
        </w:rPr>
        <w:t>at</w:t>
      </w:r>
      <w:r>
        <w:rPr>
          <w:szCs w:val="22"/>
        </w:rPr>
        <w:t xml:space="preserve"> uni</w:t>
      </w:r>
      <w:r w:rsidR="003774E9">
        <w:rPr>
          <w:szCs w:val="22"/>
        </w:rPr>
        <w:t>-</w:t>
      </w:r>
      <w:r>
        <w:rPr>
          <w:szCs w:val="22"/>
        </w:rPr>
        <w:t>dimensional approach, the Enhanced CPA embraces the multi</w:t>
      </w:r>
      <w:r w:rsidR="003774E9">
        <w:rPr>
          <w:szCs w:val="22"/>
        </w:rPr>
        <w:t>-</w:t>
      </w:r>
      <w:r>
        <w:rPr>
          <w:szCs w:val="22"/>
        </w:rPr>
        <w:t xml:space="preserve">dimensional approach to poverty measurement that captures the multiple aspects that contribute to poverty, such as the lack of education, health, housing, empowerment, employment, personal security and freedoms. </w:t>
      </w:r>
      <w:r w:rsidR="003774E9">
        <w:rPr>
          <w:szCs w:val="22"/>
        </w:rPr>
        <w:t xml:space="preserve"> </w:t>
      </w:r>
      <w:r w:rsidR="00804763" w:rsidRPr="00804763">
        <w:rPr>
          <w:szCs w:val="22"/>
        </w:rPr>
        <w:t>In 2014, the Organisation of Eastern Caribbean States (OECS) Living Standards Measurement Committee (LSMC) adopted a multi</w:t>
      </w:r>
      <w:r w:rsidR="003774E9">
        <w:rPr>
          <w:szCs w:val="22"/>
        </w:rPr>
        <w:t>-</w:t>
      </w:r>
      <w:r w:rsidR="00804763" w:rsidRPr="00804763">
        <w:rPr>
          <w:szCs w:val="22"/>
        </w:rPr>
        <w:t>dimensional poverty index (MPI) for OECS Member States</w:t>
      </w:r>
      <w:r w:rsidR="00804763">
        <w:rPr>
          <w:szCs w:val="22"/>
        </w:rPr>
        <w:t xml:space="preserve">.  </w:t>
      </w:r>
      <w:r w:rsidR="00804763" w:rsidRPr="00804763">
        <w:rPr>
          <w:szCs w:val="22"/>
        </w:rPr>
        <w:t>The methodology for measuring multi</w:t>
      </w:r>
      <w:r w:rsidR="003774E9">
        <w:rPr>
          <w:szCs w:val="22"/>
        </w:rPr>
        <w:t>-</w:t>
      </w:r>
      <w:r w:rsidR="00804763" w:rsidRPr="00804763">
        <w:rPr>
          <w:szCs w:val="22"/>
        </w:rPr>
        <w:t xml:space="preserve">dimensional poverty and the OECS MPI was constructed by the Oxford Poverty and Human Development Initiative (OPHI).  The basic harmonised OECS MPI has four </w:t>
      </w:r>
      <w:r w:rsidR="00804763" w:rsidRPr="00804763">
        <w:rPr>
          <w:szCs w:val="22"/>
        </w:rPr>
        <w:lastRenderedPageBreak/>
        <w:t>dimensions (education, employment, health and living conditions) and 14 related indicators that are used to compute the level of deprivation of individuals and households.  It was first constructed on the basis of data derived from the harmonised OECS Labour Force Survey (LFS)</w:t>
      </w:r>
      <w:r w:rsidR="003774E9">
        <w:rPr>
          <w:szCs w:val="22"/>
        </w:rPr>
        <w:t>, supported by the United Nations Development Programme</w:t>
      </w:r>
      <w:r w:rsidR="00A05D73">
        <w:rPr>
          <w:szCs w:val="22"/>
        </w:rPr>
        <w:t xml:space="preserve"> in partnership with the OECS Commission, CDB, OPHI, UN Women and United Nations Children Fund (UNICEF)</w:t>
      </w:r>
      <w:r w:rsidR="00804763" w:rsidRPr="00804763">
        <w:rPr>
          <w:szCs w:val="22"/>
        </w:rPr>
        <w:t xml:space="preserve">.  However, with the implementation of the Enhanced CPA from 2016, there was an expansion of the MPI to include a fifth dimension and several additional and related indicators.  As a consequence, Member States conducting the Enhanced CPA are expected to construct that expanded MPI on the basis of data </w:t>
      </w:r>
      <w:r w:rsidR="009650C9">
        <w:rPr>
          <w:szCs w:val="22"/>
        </w:rPr>
        <w:t>collected for</w:t>
      </w:r>
      <w:r w:rsidR="00804763" w:rsidRPr="00804763">
        <w:rPr>
          <w:szCs w:val="22"/>
        </w:rPr>
        <w:t xml:space="preserve"> the SLC-HBS</w:t>
      </w:r>
      <w:r w:rsidR="009650C9">
        <w:rPr>
          <w:szCs w:val="22"/>
        </w:rPr>
        <w:t xml:space="preserve"> component</w:t>
      </w:r>
      <w:r w:rsidR="00804763" w:rsidRPr="00804763">
        <w:rPr>
          <w:szCs w:val="22"/>
        </w:rPr>
        <w:t xml:space="preserve">.  This expanded MPI </w:t>
      </w:r>
      <w:r w:rsidR="001A171A">
        <w:rPr>
          <w:szCs w:val="22"/>
        </w:rPr>
        <w:t>is being</w:t>
      </w:r>
      <w:r w:rsidR="00804763" w:rsidRPr="00804763">
        <w:rPr>
          <w:szCs w:val="22"/>
        </w:rPr>
        <w:t xml:space="preserve"> calculated in addition to the traditional monetary poverty measures and indicators.</w:t>
      </w:r>
    </w:p>
    <w:p w14:paraId="264E1CA0" w14:textId="30B7419E" w:rsidR="00D123E5" w:rsidRPr="00D123E5" w:rsidRDefault="00804763" w:rsidP="00E8551D">
      <w:pPr>
        <w:jc w:val="both"/>
        <w:rPr>
          <w:b/>
          <w:bCs/>
          <w:szCs w:val="22"/>
        </w:rPr>
      </w:pPr>
      <w:r>
        <w:rPr>
          <w:iCs/>
          <w:szCs w:val="22"/>
        </w:rPr>
        <w:t xml:space="preserve"> </w:t>
      </w:r>
      <w:r w:rsidR="00443476">
        <w:rPr>
          <w:iCs/>
          <w:szCs w:val="22"/>
        </w:rPr>
        <w:t>1.0</w:t>
      </w:r>
      <w:r w:rsidR="003A7B07">
        <w:rPr>
          <w:iCs/>
          <w:szCs w:val="22"/>
        </w:rPr>
        <w:t>5</w:t>
      </w:r>
      <w:r w:rsidR="00443476">
        <w:rPr>
          <w:iCs/>
          <w:szCs w:val="22"/>
        </w:rPr>
        <w:tab/>
      </w:r>
      <w:r w:rsidR="002D06F9">
        <w:rPr>
          <w:iCs/>
          <w:szCs w:val="22"/>
        </w:rPr>
        <w:t>Several OECS Member States are currently engaged in conduct</w:t>
      </w:r>
      <w:r w:rsidR="003774E9">
        <w:rPr>
          <w:iCs/>
          <w:szCs w:val="22"/>
        </w:rPr>
        <w:t>ing</w:t>
      </w:r>
      <w:r w:rsidR="002D06F9">
        <w:rPr>
          <w:iCs/>
          <w:szCs w:val="22"/>
        </w:rPr>
        <w:t xml:space="preserve"> the field work/ data collection for the SLC-HBS component, and are presently at various stages of completion.  In some cases</w:t>
      </w:r>
      <w:r w:rsidR="00E073EA">
        <w:rPr>
          <w:iCs/>
          <w:szCs w:val="22"/>
        </w:rPr>
        <w:t>, the Member States have completed data collection and advanced to data cleaning, while in other cases</w:t>
      </w:r>
      <w:r w:rsidR="003774E9">
        <w:rPr>
          <w:iCs/>
          <w:szCs w:val="22"/>
        </w:rPr>
        <w:t>,</w:t>
      </w:r>
      <w:r w:rsidR="00E073EA">
        <w:rPr>
          <w:iCs/>
          <w:szCs w:val="22"/>
        </w:rPr>
        <w:t xml:space="preserve"> Member States are even more advanced and have commenced analysis of survey data</w:t>
      </w:r>
      <w:r w:rsidR="00E8551D">
        <w:rPr>
          <w:iCs/>
          <w:szCs w:val="22"/>
        </w:rPr>
        <w:t>.</w:t>
      </w:r>
      <w:r w:rsidR="002D06F9">
        <w:rPr>
          <w:iCs/>
          <w:szCs w:val="22"/>
        </w:rPr>
        <w:t xml:space="preserve">  </w:t>
      </w:r>
      <w:r w:rsidR="00E8551D">
        <w:rPr>
          <w:iCs/>
          <w:szCs w:val="22"/>
        </w:rPr>
        <w:t xml:space="preserve">Irrespective of the status of their activities, </w:t>
      </w:r>
      <w:r w:rsidR="00E073EA">
        <w:rPr>
          <w:iCs/>
          <w:szCs w:val="22"/>
        </w:rPr>
        <w:t>all Member States are moving</w:t>
      </w:r>
      <w:r w:rsidR="00821F0D">
        <w:rPr>
          <w:iCs/>
          <w:szCs w:val="22"/>
        </w:rPr>
        <w:t xml:space="preserve"> along the same trajectory and</w:t>
      </w:r>
      <w:r w:rsidR="00E073EA">
        <w:rPr>
          <w:iCs/>
          <w:szCs w:val="22"/>
        </w:rPr>
        <w:t xml:space="preserve"> towards </w:t>
      </w:r>
      <w:r w:rsidR="00821F0D">
        <w:rPr>
          <w:iCs/>
          <w:szCs w:val="22"/>
        </w:rPr>
        <w:t xml:space="preserve">the preparation of their respective national reports of living conditions.  To date, the OECS Commission </w:t>
      </w:r>
      <w:r w:rsidR="00E8551D" w:rsidRPr="00E8551D">
        <w:rPr>
          <w:iCs/>
          <w:szCs w:val="22"/>
        </w:rPr>
        <w:t xml:space="preserve">has received </w:t>
      </w:r>
      <w:r w:rsidR="00E8551D">
        <w:rPr>
          <w:iCs/>
          <w:szCs w:val="22"/>
        </w:rPr>
        <w:t xml:space="preserve">both formal and/ or verbal </w:t>
      </w:r>
      <w:r w:rsidR="00E8551D" w:rsidRPr="00E8551D">
        <w:rPr>
          <w:iCs/>
          <w:szCs w:val="22"/>
        </w:rPr>
        <w:t xml:space="preserve">requests from four Member States, namely </w:t>
      </w:r>
      <w:r w:rsidR="00821F0D">
        <w:rPr>
          <w:iCs/>
          <w:szCs w:val="22"/>
        </w:rPr>
        <w:t xml:space="preserve">British Virgin Islands, </w:t>
      </w:r>
      <w:r w:rsidR="00E8551D" w:rsidRPr="00E8551D">
        <w:rPr>
          <w:iCs/>
          <w:szCs w:val="22"/>
        </w:rPr>
        <w:t>Grenada, St. Kitts and Nevis</w:t>
      </w:r>
      <w:r w:rsidR="00821F0D">
        <w:rPr>
          <w:iCs/>
          <w:szCs w:val="22"/>
        </w:rPr>
        <w:t xml:space="preserve"> a</w:t>
      </w:r>
      <w:r w:rsidR="00E8551D" w:rsidRPr="00E8551D">
        <w:rPr>
          <w:iCs/>
          <w:szCs w:val="22"/>
        </w:rPr>
        <w:t xml:space="preserve">nd St. Vincent and The Grenadines for </w:t>
      </w:r>
      <w:r w:rsidR="00E8551D">
        <w:rPr>
          <w:iCs/>
          <w:szCs w:val="22"/>
        </w:rPr>
        <w:t xml:space="preserve">support with </w:t>
      </w:r>
      <w:r w:rsidR="003774E9">
        <w:rPr>
          <w:iCs/>
          <w:szCs w:val="22"/>
        </w:rPr>
        <w:t xml:space="preserve">data </w:t>
      </w:r>
      <w:r w:rsidR="00821F0D">
        <w:rPr>
          <w:iCs/>
          <w:szCs w:val="22"/>
        </w:rPr>
        <w:t>analysis and report preparation</w:t>
      </w:r>
      <w:r w:rsidR="00E8551D" w:rsidRPr="00821F0D">
        <w:rPr>
          <w:iCs/>
          <w:szCs w:val="22"/>
        </w:rPr>
        <w:t>.  While the remaining Member States have not submitted any request for technical support, it is anticipated that some level of technical guidance will be required and the nature and scope of the assistance will be varied based upon the country resources and technical capacities.</w:t>
      </w:r>
    </w:p>
    <w:p w14:paraId="1DACEB23" w14:textId="77777777" w:rsidR="00D123E5" w:rsidRPr="00D123E5" w:rsidRDefault="00D123E5" w:rsidP="007D0989">
      <w:pPr>
        <w:pStyle w:val="ListParagraph"/>
        <w:numPr>
          <w:ilvl w:val="0"/>
          <w:numId w:val="7"/>
        </w:numPr>
        <w:spacing w:before="360" w:after="120"/>
        <w:ind w:left="720"/>
        <w:rPr>
          <w:b/>
          <w:szCs w:val="22"/>
        </w:rPr>
      </w:pPr>
      <w:r w:rsidRPr="00D123E5">
        <w:rPr>
          <w:b/>
          <w:szCs w:val="22"/>
        </w:rPr>
        <w:t>Objective of the Assignment</w:t>
      </w:r>
    </w:p>
    <w:p w14:paraId="03AAF5E9" w14:textId="77777777" w:rsidR="00932A4E" w:rsidRPr="00932A4E" w:rsidRDefault="00EB0028" w:rsidP="00D81913">
      <w:pPr>
        <w:spacing w:after="120"/>
        <w:jc w:val="both"/>
        <w:rPr>
          <w:szCs w:val="22"/>
        </w:rPr>
      </w:pPr>
      <w:r>
        <w:rPr>
          <w:szCs w:val="22"/>
        </w:rPr>
        <w:t>2.01</w:t>
      </w:r>
      <w:r>
        <w:rPr>
          <w:szCs w:val="22"/>
        </w:rPr>
        <w:tab/>
      </w:r>
      <w:r w:rsidR="00D81913" w:rsidRPr="00932A4E">
        <w:rPr>
          <w:szCs w:val="22"/>
        </w:rPr>
        <w:t>U</w:t>
      </w:r>
      <w:r w:rsidR="00D123E5" w:rsidRPr="00932A4E">
        <w:rPr>
          <w:szCs w:val="22"/>
        </w:rPr>
        <w:t xml:space="preserve">nder this assignment, the </w:t>
      </w:r>
      <w:r w:rsidR="008A74EA" w:rsidRPr="00932A4E">
        <w:rPr>
          <w:szCs w:val="22"/>
        </w:rPr>
        <w:t>Consulting Firm</w:t>
      </w:r>
      <w:r w:rsidRPr="00932A4E">
        <w:rPr>
          <w:szCs w:val="22"/>
        </w:rPr>
        <w:t xml:space="preserve"> </w:t>
      </w:r>
      <w:r w:rsidR="00D123E5" w:rsidRPr="00932A4E">
        <w:rPr>
          <w:szCs w:val="22"/>
        </w:rPr>
        <w:t>will be required t</w:t>
      </w:r>
      <w:r w:rsidR="00D81913" w:rsidRPr="00932A4E">
        <w:rPr>
          <w:szCs w:val="22"/>
        </w:rPr>
        <w:t>o</w:t>
      </w:r>
      <w:r w:rsidR="00932A4E" w:rsidRPr="00932A4E">
        <w:rPr>
          <w:szCs w:val="22"/>
        </w:rPr>
        <w:t>:</w:t>
      </w:r>
    </w:p>
    <w:p w14:paraId="6F7E2D17" w14:textId="0CE14076" w:rsidR="00932A4E" w:rsidRDefault="00932A4E" w:rsidP="00932A4E">
      <w:pPr>
        <w:pStyle w:val="Body"/>
        <w:numPr>
          <w:ilvl w:val="0"/>
          <w:numId w:val="17"/>
        </w:numPr>
        <w:jc w:val="both"/>
        <w:rPr>
          <w:rFonts w:ascii="Times New Roman" w:hAnsi="Times New Roman" w:cs="Times New Roman"/>
          <w:color w:val="000000" w:themeColor="text1"/>
        </w:rPr>
      </w:pPr>
      <w:bookmarkStart w:id="1" w:name="_Hlk21697914"/>
      <w:r w:rsidRPr="00932A4E">
        <w:rPr>
          <w:rFonts w:ascii="Times New Roman" w:hAnsi="Times New Roman" w:cs="Times New Roman"/>
          <w:szCs w:val="22"/>
        </w:rPr>
        <w:t>P</w:t>
      </w:r>
      <w:r w:rsidR="00D123E5" w:rsidRPr="00932A4E">
        <w:rPr>
          <w:rFonts w:ascii="Times New Roman" w:hAnsi="Times New Roman" w:cs="Times New Roman"/>
          <w:szCs w:val="22"/>
        </w:rPr>
        <w:t xml:space="preserve">repare </w:t>
      </w:r>
      <w:r w:rsidR="001E5791" w:rsidRPr="00932A4E">
        <w:rPr>
          <w:rFonts w:ascii="Times New Roman" w:hAnsi="Times New Roman" w:cs="Times New Roman"/>
          <w:szCs w:val="22"/>
        </w:rPr>
        <w:t xml:space="preserve">a comprehensive </w:t>
      </w:r>
      <w:r w:rsidR="00CA7534" w:rsidRPr="00932A4E">
        <w:rPr>
          <w:rFonts w:ascii="Times New Roman" w:hAnsi="Times New Roman" w:cs="Times New Roman"/>
          <w:szCs w:val="22"/>
        </w:rPr>
        <w:t>N</w:t>
      </w:r>
      <w:r w:rsidR="00D123E5" w:rsidRPr="00932A4E">
        <w:rPr>
          <w:rFonts w:ascii="Times New Roman" w:hAnsi="Times New Roman" w:cs="Times New Roman"/>
          <w:szCs w:val="22"/>
        </w:rPr>
        <w:t xml:space="preserve">ational </w:t>
      </w:r>
      <w:r w:rsidR="00CA7534" w:rsidRPr="00932A4E">
        <w:rPr>
          <w:rFonts w:ascii="Times New Roman" w:hAnsi="Times New Roman" w:cs="Times New Roman"/>
          <w:szCs w:val="22"/>
        </w:rPr>
        <w:t>R</w:t>
      </w:r>
      <w:r w:rsidR="00D123E5" w:rsidRPr="00932A4E">
        <w:rPr>
          <w:rFonts w:ascii="Times New Roman" w:hAnsi="Times New Roman" w:cs="Times New Roman"/>
          <w:szCs w:val="22"/>
        </w:rPr>
        <w:t>eport</w:t>
      </w:r>
      <w:r w:rsidR="00D81913" w:rsidRPr="00932A4E">
        <w:rPr>
          <w:rFonts w:ascii="Times New Roman" w:hAnsi="Times New Roman" w:cs="Times New Roman"/>
          <w:szCs w:val="22"/>
        </w:rPr>
        <w:t xml:space="preserve"> of </w:t>
      </w:r>
      <w:r w:rsidR="00CA7534" w:rsidRPr="00932A4E">
        <w:rPr>
          <w:rFonts w:ascii="Times New Roman" w:hAnsi="Times New Roman" w:cs="Times New Roman"/>
          <w:szCs w:val="22"/>
        </w:rPr>
        <w:t>L</w:t>
      </w:r>
      <w:r w:rsidR="00D81913" w:rsidRPr="00932A4E">
        <w:rPr>
          <w:rFonts w:ascii="Times New Roman" w:hAnsi="Times New Roman" w:cs="Times New Roman"/>
          <w:szCs w:val="22"/>
        </w:rPr>
        <w:t xml:space="preserve">iving </w:t>
      </w:r>
      <w:r w:rsidR="00CA7534" w:rsidRPr="00932A4E">
        <w:rPr>
          <w:rFonts w:ascii="Times New Roman" w:hAnsi="Times New Roman" w:cs="Times New Roman"/>
          <w:szCs w:val="22"/>
        </w:rPr>
        <w:t>C</w:t>
      </w:r>
      <w:r w:rsidR="00D81913" w:rsidRPr="00932A4E">
        <w:rPr>
          <w:rFonts w:ascii="Times New Roman" w:hAnsi="Times New Roman" w:cs="Times New Roman"/>
          <w:szCs w:val="22"/>
        </w:rPr>
        <w:t>onditions for each requesting Member State</w:t>
      </w:r>
      <w:r w:rsidRPr="00932A4E">
        <w:rPr>
          <w:rFonts w:ascii="Times New Roman" w:hAnsi="Times New Roman" w:cs="Times New Roman"/>
          <w:szCs w:val="22"/>
        </w:rPr>
        <w:t xml:space="preserve"> including a Draft Programme of Action </w:t>
      </w:r>
      <w:r w:rsidR="0081345E">
        <w:rPr>
          <w:rFonts w:ascii="Times New Roman" w:hAnsi="Times New Roman" w:cs="Times New Roman"/>
          <w:szCs w:val="22"/>
        </w:rPr>
        <w:t xml:space="preserve">(POA) </w:t>
      </w:r>
      <w:r w:rsidRPr="00932A4E">
        <w:rPr>
          <w:rFonts w:ascii="Times New Roman" w:hAnsi="Times New Roman" w:cs="Times New Roman"/>
          <w:szCs w:val="22"/>
        </w:rPr>
        <w:t>for Enhancing Social development Programmes</w:t>
      </w:r>
      <w:r w:rsidR="00D81913" w:rsidRPr="00932A4E">
        <w:rPr>
          <w:rFonts w:ascii="Times New Roman" w:hAnsi="Times New Roman" w:cs="Times New Roman"/>
          <w:szCs w:val="22"/>
        </w:rPr>
        <w:t xml:space="preserve">.  The </w:t>
      </w:r>
      <w:r w:rsidR="00CA7534" w:rsidRPr="00932A4E">
        <w:rPr>
          <w:rFonts w:ascii="Times New Roman" w:hAnsi="Times New Roman" w:cs="Times New Roman"/>
          <w:szCs w:val="22"/>
        </w:rPr>
        <w:t>R</w:t>
      </w:r>
      <w:r w:rsidR="00D81913" w:rsidRPr="00932A4E">
        <w:rPr>
          <w:rFonts w:ascii="Times New Roman" w:hAnsi="Times New Roman" w:cs="Times New Roman"/>
          <w:szCs w:val="22"/>
        </w:rPr>
        <w:t xml:space="preserve">eport is expected to </w:t>
      </w:r>
      <w:r w:rsidR="00D123E5" w:rsidRPr="00932A4E">
        <w:rPr>
          <w:rFonts w:ascii="Times New Roman" w:hAnsi="Times New Roman" w:cs="Times New Roman"/>
          <w:szCs w:val="22"/>
        </w:rPr>
        <w:t xml:space="preserve">present </w:t>
      </w:r>
      <w:r w:rsidR="00CA7534" w:rsidRPr="00932A4E">
        <w:rPr>
          <w:rFonts w:ascii="Times New Roman" w:hAnsi="Times New Roman" w:cs="Times New Roman"/>
          <w:i/>
          <w:szCs w:val="22"/>
        </w:rPr>
        <w:t xml:space="preserve">inter alia, </w:t>
      </w:r>
      <w:r w:rsidR="00D123E5" w:rsidRPr="00932A4E">
        <w:rPr>
          <w:rFonts w:ascii="Times New Roman" w:hAnsi="Times New Roman" w:cs="Times New Roman"/>
          <w:szCs w:val="22"/>
        </w:rPr>
        <w:t xml:space="preserve">a detailed analysis of the living conditions in </w:t>
      </w:r>
      <w:r w:rsidR="00D81913" w:rsidRPr="00932A4E">
        <w:rPr>
          <w:rFonts w:ascii="Times New Roman" w:hAnsi="Times New Roman" w:cs="Times New Roman"/>
          <w:szCs w:val="22"/>
        </w:rPr>
        <w:t>the Member State</w:t>
      </w:r>
      <w:r w:rsidR="00F93CF8" w:rsidRPr="00932A4E">
        <w:rPr>
          <w:rFonts w:ascii="Times New Roman" w:hAnsi="Times New Roman" w:cs="Times New Roman"/>
          <w:szCs w:val="22"/>
        </w:rPr>
        <w:t>,</w:t>
      </w:r>
      <w:r w:rsidR="00D123E5" w:rsidRPr="00932A4E">
        <w:rPr>
          <w:rFonts w:ascii="Times New Roman" w:hAnsi="Times New Roman" w:cs="Times New Roman"/>
          <w:szCs w:val="22"/>
        </w:rPr>
        <w:t xml:space="preserve"> including the determination of the characteristics, extent, geographic concentration (by local government administrative jurisdictions and urban versus rural where applicable), and severity and causes of poverty.</w:t>
      </w:r>
      <w:r w:rsidRPr="00932A4E">
        <w:rPr>
          <w:rFonts w:ascii="Times New Roman" w:hAnsi="Times New Roman" w:cs="Times New Roman"/>
          <w:szCs w:val="22"/>
        </w:rPr>
        <w:t xml:space="preserve"> </w:t>
      </w:r>
      <w:r w:rsidRPr="00932A4E">
        <w:rPr>
          <w:rFonts w:ascii="Times New Roman" w:hAnsi="Times New Roman" w:cs="Times New Roman"/>
          <w:color w:val="000000" w:themeColor="text1"/>
        </w:rPr>
        <w:t xml:space="preserve">The study should emphasise analysis of the poverty situation for men, women, youth and children, the processes that generate and maintain conditions conducive to poverty, existing responses to the poverty situation and the means available to for more vigourous and effective actions to reduce poverty.  The report should also include a baseline assessment on the current status in the attainment of the Sustainable Development Goals.  </w:t>
      </w:r>
    </w:p>
    <w:p w14:paraId="6EA5A9BC" w14:textId="77777777" w:rsidR="00932A4E" w:rsidRDefault="00932A4E" w:rsidP="00932A4E">
      <w:pPr>
        <w:pStyle w:val="Body"/>
        <w:ind w:left="1440"/>
        <w:jc w:val="both"/>
        <w:rPr>
          <w:rFonts w:ascii="Times New Roman" w:hAnsi="Times New Roman" w:cs="Times New Roman"/>
          <w:color w:val="000000" w:themeColor="text1"/>
        </w:rPr>
      </w:pPr>
    </w:p>
    <w:p w14:paraId="1AA6EC72" w14:textId="34AC17F4" w:rsidR="00932A4E" w:rsidRPr="00932A4E" w:rsidRDefault="00932A4E" w:rsidP="00932A4E">
      <w:pPr>
        <w:pStyle w:val="Body"/>
        <w:numPr>
          <w:ilvl w:val="0"/>
          <w:numId w:val="17"/>
        </w:numPr>
        <w:jc w:val="both"/>
        <w:rPr>
          <w:rFonts w:ascii="Times New Roman" w:hAnsi="Times New Roman" w:cs="Times New Roman"/>
          <w:color w:val="000000" w:themeColor="text1"/>
        </w:rPr>
      </w:pPr>
      <w:r w:rsidRPr="00932A4E">
        <w:rPr>
          <w:rFonts w:ascii="Times New Roman" w:hAnsi="Times New Roman" w:cs="Times New Roman"/>
          <w:color w:val="000000" w:themeColor="text1"/>
          <w:sz w:val="22"/>
          <w:szCs w:val="22"/>
        </w:rPr>
        <w:t>Review the constructed Multidimensional Poverty Index and discuss any procedural errors or incorrect STATA codes used in its construction</w:t>
      </w:r>
      <w:r>
        <w:rPr>
          <w:rFonts w:ascii="Times New Roman" w:hAnsi="Times New Roman" w:cs="Times New Roman"/>
          <w:color w:val="000000" w:themeColor="text1"/>
          <w:sz w:val="22"/>
          <w:szCs w:val="22"/>
        </w:rPr>
        <w:t>.</w:t>
      </w:r>
      <w:bookmarkEnd w:id="1"/>
    </w:p>
    <w:p w14:paraId="0DC55C5C" w14:textId="6F408046" w:rsidR="00D123E5" w:rsidRPr="00932A4E" w:rsidRDefault="00932A4E" w:rsidP="00D81913">
      <w:pPr>
        <w:spacing w:after="120"/>
        <w:jc w:val="both"/>
        <w:rPr>
          <w:szCs w:val="22"/>
        </w:rPr>
      </w:pPr>
      <w:r w:rsidRPr="00932A4E">
        <w:rPr>
          <w:szCs w:val="22"/>
        </w:rPr>
        <w:t xml:space="preserve"> </w:t>
      </w:r>
    </w:p>
    <w:p w14:paraId="6774E333" w14:textId="77777777" w:rsidR="007D0989" w:rsidRPr="00932A4E" w:rsidRDefault="007D0989" w:rsidP="007D0989">
      <w:pPr>
        <w:pStyle w:val="ListParagraph"/>
        <w:widowControl w:val="0"/>
        <w:spacing w:after="120"/>
        <w:ind w:left="990"/>
        <w:jc w:val="both"/>
        <w:rPr>
          <w:szCs w:val="22"/>
        </w:rPr>
      </w:pPr>
    </w:p>
    <w:p w14:paraId="0A3D1B0F" w14:textId="77777777" w:rsidR="00D123E5" w:rsidRPr="00932A4E" w:rsidRDefault="00D123E5" w:rsidP="007D0989">
      <w:pPr>
        <w:pStyle w:val="ListParagraph"/>
        <w:numPr>
          <w:ilvl w:val="0"/>
          <w:numId w:val="7"/>
        </w:numPr>
        <w:spacing w:before="360" w:after="120"/>
        <w:ind w:left="720"/>
        <w:rPr>
          <w:b/>
          <w:szCs w:val="22"/>
        </w:rPr>
      </w:pPr>
      <w:r w:rsidRPr="00932A4E">
        <w:rPr>
          <w:b/>
          <w:szCs w:val="22"/>
        </w:rPr>
        <w:t>Scope of Services and Specific Tasks</w:t>
      </w:r>
    </w:p>
    <w:p w14:paraId="6543C7C4" w14:textId="7C9EDCF7" w:rsidR="00D123E5" w:rsidRPr="00D123E5" w:rsidRDefault="00EB0028" w:rsidP="007D0989">
      <w:pPr>
        <w:spacing w:after="120"/>
        <w:jc w:val="both"/>
        <w:rPr>
          <w:szCs w:val="22"/>
        </w:rPr>
      </w:pPr>
      <w:r>
        <w:rPr>
          <w:szCs w:val="22"/>
        </w:rPr>
        <w:lastRenderedPageBreak/>
        <w:t>3.01</w:t>
      </w:r>
      <w:r>
        <w:rPr>
          <w:szCs w:val="22"/>
        </w:rPr>
        <w:tab/>
      </w:r>
      <w:r w:rsidR="00D123E5" w:rsidRPr="00D123E5">
        <w:rPr>
          <w:szCs w:val="22"/>
        </w:rPr>
        <w:t xml:space="preserve">In pursuit of the above objectives, the </w:t>
      </w:r>
      <w:r w:rsidR="008A74EA">
        <w:rPr>
          <w:szCs w:val="22"/>
        </w:rPr>
        <w:t>Consulting Firm</w:t>
      </w:r>
      <w:r w:rsidR="00C309F4" w:rsidRPr="00D123E5">
        <w:rPr>
          <w:szCs w:val="22"/>
        </w:rPr>
        <w:t xml:space="preserve"> </w:t>
      </w:r>
      <w:r w:rsidR="00D123E5" w:rsidRPr="00D123E5">
        <w:rPr>
          <w:szCs w:val="22"/>
        </w:rPr>
        <w:t xml:space="preserve">will work closely with the identified local </w:t>
      </w:r>
      <w:r w:rsidR="00D81913" w:rsidRPr="00D123E5">
        <w:rPr>
          <w:szCs w:val="22"/>
        </w:rPr>
        <w:t>counterpart</w:t>
      </w:r>
      <w:r w:rsidR="00D81913">
        <w:rPr>
          <w:szCs w:val="22"/>
        </w:rPr>
        <w:t>s</w:t>
      </w:r>
      <w:r w:rsidR="00D123E5" w:rsidRPr="00D123E5">
        <w:rPr>
          <w:szCs w:val="22"/>
        </w:rPr>
        <w:t xml:space="preserve"> from the </w:t>
      </w:r>
      <w:r w:rsidR="00CA7534">
        <w:rPr>
          <w:szCs w:val="22"/>
        </w:rPr>
        <w:t>N</w:t>
      </w:r>
      <w:r w:rsidR="00D81913">
        <w:rPr>
          <w:szCs w:val="22"/>
        </w:rPr>
        <w:t xml:space="preserve">ational </w:t>
      </w:r>
      <w:r w:rsidR="00CA7534">
        <w:rPr>
          <w:szCs w:val="22"/>
        </w:rPr>
        <w:t>S</w:t>
      </w:r>
      <w:r w:rsidR="00D81913">
        <w:rPr>
          <w:szCs w:val="22"/>
        </w:rPr>
        <w:t xml:space="preserve">tatistics </w:t>
      </w:r>
      <w:r w:rsidR="00CA7534">
        <w:rPr>
          <w:szCs w:val="22"/>
        </w:rPr>
        <w:t>O</w:t>
      </w:r>
      <w:r w:rsidR="00D81913">
        <w:rPr>
          <w:szCs w:val="22"/>
        </w:rPr>
        <w:t>ffice</w:t>
      </w:r>
      <w:r w:rsidR="009B1B71">
        <w:rPr>
          <w:szCs w:val="22"/>
        </w:rPr>
        <w:t xml:space="preserve"> (NSO)</w:t>
      </w:r>
      <w:r w:rsidR="00D81913">
        <w:rPr>
          <w:szCs w:val="22"/>
        </w:rPr>
        <w:t xml:space="preserve">, </w:t>
      </w:r>
      <w:r w:rsidR="00CA7534">
        <w:rPr>
          <w:szCs w:val="22"/>
        </w:rPr>
        <w:t>M</w:t>
      </w:r>
      <w:r w:rsidR="00D81913">
        <w:rPr>
          <w:szCs w:val="22"/>
        </w:rPr>
        <w:t xml:space="preserve">inistry of </w:t>
      </w:r>
      <w:r w:rsidR="00CA7534">
        <w:rPr>
          <w:szCs w:val="22"/>
        </w:rPr>
        <w:t>S</w:t>
      </w:r>
      <w:r w:rsidR="00D81913">
        <w:rPr>
          <w:szCs w:val="22"/>
        </w:rPr>
        <w:t xml:space="preserve">ocial </w:t>
      </w:r>
      <w:r w:rsidR="00CA7534">
        <w:rPr>
          <w:szCs w:val="22"/>
        </w:rPr>
        <w:t>D</w:t>
      </w:r>
      <w:r w:rsidR="00D81913">
        <w:rPr>
          <w:szCs w:val="22"/>
        </w:rPr>
        <w:t>evelopment and other relevant line ministries and agencies</w:t>
      </w:r>
      <w:r w:rsidR="00D123E5" w:rsidRPr="00D123E5">
        <w:rPr>
          <w:szCs w:val="22"/>
        </w:rPr>
        <w:t xml:space="preserve"> to use the results of the analysis of SLC-HBS to develop a </w:t>
      </w:r>
      <w:r w:rsidR="00CA7534">
        <w:rPr>
          <w:szCs w:val="22"/>
        </w:rPr>
        <w:t>N</w:t>
      </w:r>
      <w:r w:rsidR="00D123E5" w:rsidRPr="00D123E5">
        <w:rPr>
          <w:szCs w:val="22"/>
        </w:rPr>
        <w:t xml:space="preserve">ational </w:t>
      </w:r>
      <w:r w:rsidR="00CA7534">
        <w:rPr>
          <w:szCs w:val="22"/>
        </w:rPr>
        <w:t>R</w:t>
      </w:r>
      <w:r w:rsidR="00D123E5" w:rsidRPr="00D123E5">
        <w:rPr>
          <w:szCs w:val="22"/>
        </w:rPr>
        <w:t>eport that</w:t>
      </w:r>
      <w:r w:rsidR="00345B2F">
        <w:rPr>
          <w:szCs w:val="22"/>
        </w:rPr>
        <w:t xml:space="preserve"> </w:t>
      </w:r>
      <w:r w:rsidR="00F93CF8">
        <w:rPr>
          <w:szCs w:val="22"/>
        </w:rPr>
        <w:t xml:space="preserve">reflects the disaggregation of data by sex and </w:t>
      </w:r>
      <w:r w:rsidR="00345B2F">
        <w:rPr>
          <w:szCs w:val="22"/>
        </w:rPr>
        <w:t>mainstreams gender in its analysis and</w:t>
      </w:r>
      <w:r w:rsidR="00D123E5" w:rsidRPr="00D123E5">
        <w:rPr>
          <w:szCs w:val="22"/>
        </w:rPr>
        <w:t>:</w:t>
      </w:r>
    </w:p>
    <w:p w14:paraId="7453A8AE" w14:textId="77777777" w:rsidR="00D123E5" w:rsidRDefault="00D123E5" w:rsidP="007D0989">
      <w:pPr>
        <w:pStyle w:val="ListParagraph"/>
        <w:widowControl w:val="0"/>
        <w:numPr>
          <w:ilvl w:val="0"/>
          <w:numId w:val="9"/>
        </w:numPr>
        <w:spacing w:after="120"/>
        <w:jc w:val="both"/>
        <w:rPr>
          <w:szCs w:val="22"/>
        </w:rPr>
      </w:pPr>
      <w:r w:rsidRPr="00D123E5">
        <w:rPr>
          <w:szCs w:val="22"/>
        </w:rPr>
        <w:t xml:space="preserve">Examines living conditions in </w:t>
      </w:r>
      <w:r w:rsidR="00D81913">
        <w:rPr>
          <w:szCs w:val="22"/>
        </w:rPr>
        <w:t>the Member State</w:t>
      </w:r>
      <w:r w:rsidRPr="00D123E5">
        <w:rPr>
          <w:szCs w:val="22"/>
        </w:rPr>
        <w:t xml:space="preserve"> and determines characteristics, extent, geographic concentration (by local government administrative jurisdictions and urban versus rural where applicable), and severity and causes of poverty;</w:t>
      </w:r>
    </w:p>
    <w:p w14:paraId="487B0C6D" w14:textId="77777777" w:rsidR="008C67EA" w:rsidRPr="00D123E5" w:rsidRDefault="008C67EA" w:rsidP="007D0989">
      <w:pPr>
        <w:pStyle w:val="ListParagraph"/>
        <w:widowControl w:val="0"/>
        <w:numPr>
          <w:ilvl w:val="0"/>
          <w:numId w:val="9"/>
        </w:numPr>
        <w:spacing w:after="120"/>
        <w:jc w:val="both"/>
        <w:rPr>
          <w:szCs w:val="22"/>
        </w:rPr>
      </w:pPr>
      <w:r>
        <w:rPr>
          <w:szCs w:val="22"/>
        </w:rPr>
        <w:t>Analyses the demographic distribution of poverty taking account of the following: headship characteristics, household size, age cohort, and ethnicity;</w:t>
      </w:r>
    </w:p>
    <w:p w14:paraId="33989D1F" w14:textId="77777777" w:rsidR="003E6093" w:rsidRDefault="00D123E5" w:rsidP="007D0989">
      <w:pPr>
        <w:pStyle w:val="ListParagraph"/>
        <w:widowControl w:val="0"/>
        <w:numPr>
          <w:ilvl w:val="0"/>
          <w:numId w:val="9"/>
        </w:numPr>
        <w:spacing w:after="120"/>
        <w:jc w:val="both"/>
        <w:rPr>
          <w:szCs w:val="22"/>
        </w:rPr>
      </w:pPr>
      <w:r w:rsidRPr="00D123E5">
        <w:rPr>
          <w:szCs w:val="22"/>
        </w:rPr>
        <w:t xml:space="preserve">Analyses living conditions by </w:t>
      </w:r>
      <w:r w:rsidR="001E5791">
        <w:rPr>
          <w:szCs w:val="22"/>
        </w:rPr>
        <w:t>d</w:t>
      </w:r>
      <w:r w:rsidRPr="00D123E5">
        <w:rPr>
          <w:szCs w:val="22"/>
        </w:rPr>
        <w:t>istrict</w:t>
      </w:r>
      <w:r w:rsidR="001E5791">
        <w:rPr>
          <w:szCs w:val="22"/>
        </w:rPr>
        <w:t>/ parish</w:t>
      </w:r>
      <w:r w:rsidRPr="00D123E5">
        <w:rPr>
          <w:szCs w:val="22"/>
        </w:rPr>
        <w:t xml:space="preserve"> (multi-dimensional poverty line – asset poverty line, poverty line, vulnerability line, </w:t>
      </w:r>
      <w:r w:rsidR="00DC3D60" w:rsidRPr="00DC3D60">
        <w:rPr>
          <w:szCs w:val="22"/>
        </w:rPr>
        <w:t>international poverty line</w:t>
      </w:r>
      <w:r w:rsidRPr="00D123E5">
        <w:rPr>
          <w:szCs w:val="22"/>
        </w:rPr>
        <w:t xml:space="preserve">), the poverty rating of communities and the review of secondary information about environmental conditions (e.g. risk of landslides, coastal erosion, flooding, </w:t>
      </w:r>
      <w:r w:rsidR="00DC3D60" w:rsidRPr="00DC3D60">
        <w:rPr>
          <w:szCs w:val="22"/>
        </w:rPr>
        <w:t>excessive heat, environmentally induced illnesses</w:t>
      </w:r>
      <w:r w:rsidRPr="00D123E5">
        <w:rPr>
          <w:szCs w:val="22"/>
        </w:rPr>
        <w:t xml:space="preserve">), occurrence of natural events (including flooding, landslide, </w:t>
      </w:r>
      <w:r w:rsidR="00DC3D60" w:rsidRPr="00DC3D60">
        <w:rPr>
          <w:szCs w:val="22"/>
        </w:rPr>
        <w:t>hurricanes, temperature rise</w:t>
      </w:r>
      <w:r w:rsidRPr="00D123E5">
        <w:rPr>
          <w:szCs w:val="22"/>
        </w:rPr>
        <w:t>.)</w:t>
      </w:r>
      <w:r w:rsidR="003E6093">
        <w:rPr>
          <w:szCs w:val="22"/>
        </w:rPr>
        <w:t>;</w:t>
      </w:r>
    </w:p>
    <w:p w14:paraId="00D07AD8" w14:textId="77777777" w:rsidR="00D123E5" w:rsidRPr="00D123E5" w:rsidRDefault="00D123E5" w:rsidP="007D0989">
      <w:pPr>
        <w:pStyle w:val="ListParagraph"/>
        <w:widowControl w:val="0"/>
        <w:numPr>
          <w:ilvl w:val="0"/>
          <w:numId w:val="9"/>
        </w:numPr>
        <w:spacing w:after="120"/>
        <w:jc w:val="both"/>
        <w:rPr>
          <w:szCs w:val="22"/>
        </w:rPr>
      </w:pPr>
      <w:r w:rsidRPr="00D123E5">
        <w:rPr>
          <w:szCs w:val="22"/>
        </w:rPr>
        <w:t>Provides a comparative analysis of poverty, social and economic conditions in relation to results of previous SLCs or other poverty analys</w:t>
      </w:r>
      <w:r w:rsidR="00F93CF8">
        <w:rPr>
          <w:szCs w:val="22"/>
        </w:rPr>
        <w:t>es</w:t>
      </w:r>
      <w:r w:rsidRPr="00D123E5">
        <w:rPr>
          <w:szCs w:val="22"/>
        </w:rPr>
        <w:t xml:space="preserve"> and examines the impact of social and economic policies and the institutional and legal environment on poverty</w:t>
      </w:r>
      <w:r w:rsidR="007E580D">
        <w:rPr>
          <w:szCs w:val="22"/>
        </w:rPr>
        <w:t>;</w:t>
      </w:r>
    </w:p>
    <w:p w14:paraId="59055602" w14:textId="77777777" w:rsidR="00D123E5" w:rsidRPr="00D123E5" w:rsidRDefault="00D123E5" w:rsidP="007D0989">
      <w:pPr>
        <w:pStyle w:val="ListParagraph"/>
        <w:widowControl w:val="0"/>
        <w:numPr>
          <w:ilvl w:val="0"/>
          <w:numId w:val="9"/>
        </w:numPr>
        <w:spacing w:after="120"/>
        <w:jc w:val="both"/>
        <w:rPr>
          <w:szCs w:val="22"/>
        </w:rPr>
      </w:pPr>
      <w:r w:rsidRPr="00D123E5">
        <w:rPr>
          <w:szCs w:val="22"/>
        </w:rPr>
        <w:t xml:space="preserve">Identifies and analyses the dynamic links between poverty and the following related variables with regard to: </w:t>
      </w:r>
    </w:p>
    <w:p w14:paraId="3CC164A4" w14:textId="77777777" w:rsidR="00D123E5" w:rsidRDefault="00D123E5" w:rsidP="007D0989">
      <w:pPr>
        <w:pStyle w:val="ListParagraph"/>
        <w:numPr>
          <w:ilvl w:val="0"/>
          <w:numId w:val="10"/>
        </w:numPr>
        <w:spacing w:after="120"/>
        <w:jc w:val="both"/>
        <w:rPr>
          <w:szCs w:val="22"/>
        </w:rPr>
      </w:pPr>
      <w:r w:rsidRPr="00D123E5">
        <w:rPr>
          <w:szCs w:val="22"/>
        </w:rPr>
        <w:t>health concerns and issues;</w:t>
      </w:r>
    </w:p>
    <w:p w14:paraId="623ECBAE" w14:textId="77777777" w:rsidR="008C67EA" w:rsidRPr="00D123E5" w:rsidRDefault="008C67EA" w:rsidP="007D0989">
      <w:pPr>
        <w:pStyle w:val="ListParagraph"/>
        <w:numPr>
          <w:ilvl w:val="0"/>
          <w:numId w:val="10"/>
        </w:numPr>
        <w:spacing w:after="120"/>
        <w:jc w:val="both"/>
        <w:rPr>
          <w:szCs w:val="22"/>
        </w:rPr>
      </w:pPr>
      <w:r>
        <w:rPr>
          <w:szCs w:val="22"/>
        </w:rPr>
        <w:t>living standards;</w:t>
      </w:r>
    </w:p>
    <w:p w14:paraId="1E18C5D4" w14:textId="77777777" w:rsidR="00D123E5" w:rsidRDefault="00D123E5" w:rsidP="007D0989">
      <w:pPr>
        <w:pStyle w:val="ListParagraph"/>
        <w:numPr>
          <w:ilvl w:val="0"/>
          <w:numId w:val="10"/>
        </w:numPr>
        <w:spacing w:after="120"/>
        <w:jc w:val="both"/>
        <w:rPr>
          <w:szCs w:val="22"/>
        </w:rPr>
      </w:pPr>
      <w:r w:rsidRPr="00D123E5">
        <w:rPr>
          <w:szCs w:val="22"/>
        </w:rPr>
        <w:t>employment, unemployment, and conditions in the formal and informal sectors and poverty;</w:t>
      </w:r>
    </w:p>
    <w:p w14:paraId="376A13E8" w14:textId="77777777" w:rsidR="00537FF2" w:rsidRPr="00D123E5" w:rsidRDefault="00537FF2" w:rsidP="007D0989">
      <w:pPr>
        <w:pStyle w:val="ListParagraph"/>
        <w:numPr>
          <w:ilvl w:val="0"/>
          <w:numId w:val="10"/>
        </w:numPr>
        <w:spacing w:after="120"/>
        <w:jc w:val="both"/>
        <w:rPr>
          <w:szCs w:val="22"/>
        </w:rPr>
      </w:pPr>
      <w:r>
        <w:rPr>
          <w:szCs w:val="22"/>
        </w:rPr>
        <w:t>social and economic inequality;</w:t>
      </w:r>
    </w:p>
    <w:p w14:paraId="7B8A8677" w14:textId="77777777" w:rsidR="00D123E5" w:rsidRDefault="00D123E5" w:rsidP="007D0989">
      <w:pPr>
        <w:pStyle w:val="ListParagraph"/>
        <w:numPr>
          <w:ilvl w:val="0"/>
          <w:numId w:val="10"/>
        </w:numPr>
        <w:spacing w:after="120"/>
        <w:jc w:val="both"/>
        <w:rPr>
          <w:szCs w:val="22"/>
        </w:rPr>
      </w:pPr>
      <w:r w:rsidRPr="00D123E5">
        <w:rPr>
          <w:szCs w:val="22"/>
        </w:rPr>
        <w:t xml:space="preserve">social development issues (such as housing and crime); </w:t>
      </w:r>
    </w:p>
    <w:p w14:paraId="0C55859C" w14:textId="77777777" w:rsidR="00241E02" w:rsidRDefault="00241E02" w:rsidP="007D0989">
      <w:pPr>
        <w:pStyle w:val="ListParagraph"/>
        <w:numPr>
          <w:ilvl w:val="0"/>
          <w:numId w:val="10"/>
        </w:numPr>
        <w:spacing w:after="120"/>
        <w:jc w:val="both"/>
        <w:rPr>
          <w:szCs w:val="22"/>
        </w:rPr>
      </w:pPr>
      <w:r>
        <w:rPr>
          <w:szCs w:val="22"/>
        </w:rPr>
        <w:t>migration;</w:t>
      </w:r>
    </w:p>
    <w:p w14:paraId="47F3673F" w14:textId="77777777" w:rsidR="00537FF2" w:rsidRDefault="00537FF2" w:rsidP="007D0989">
      <w:pPr>
        <w:pStyle w:val="ListParagraph"/>
        <w:numPr>
          <w:ilvl w:val="0"/>
          <w:numId w:val="10"/>
        </w:numPr>
        <w:spacing w:after="120"/>
        <w:jc w:val="both"/>
        <w:rPr>
          <w:szCs w:val="22"/>
        </w:rPr>
      </w:pPr>
      <w:r>
        <w:rPr>
          <w:szCs w:val="22"/>
        </w:rPr>
        <w:t>access to housing and housing conditions;</w:t>
      </w:r>
    </w:p>
    <w:p w14:paraId="5FCCB0DB" w14:textId="77777777" w:rsidR="00537FF2" w:rsidRDefault="00537FF2" w:rsidP="007D0989">
      <w:pPr>
        <w:pStyle w:val="ListParagraph"/>
        <w:numPr>
          <w:ilvl w:val="0"/>
          <w:numId w:val="10"/>
        </w:numPr>
        <w:spacing w:after="120"/>
        <w:jc w:val="both"/>
        <w:rPr>
          <w:szCs w:val="22"/>
        </w:rPr>
      </w:pPr>
      <w:r>
        <w:rPr>
          <w:szCs w:val="22"/>
        </w:rPr>
        <w:t xml:space="preserve">governance (e.g. democratic processes, participation of Civil Society including child-focussed organisations, youth and women’s NGOs, government transparency and accountability, capacity within </w:t>
      </w:r>
      <w:r w:rsidR="00F93CF8">
        <w:rPr>
          <w:szCs w:val="22"/>
        </w:rPr>
        <w:t>G</w:t>
      </w:r>
      <w:r>
        <w:rPr>
          <w:szCs w:val="22"/>
        </w:rPr>
        <w:t>overnment to plan, deliver and monitor pro-poor and participatory programmes);</w:t>
      </w:r>
    </w:p>
    <w:p w14:paraId="4AA99AA6" w14:textId="77777777" w:rsidR="00537FF2" w:rsidRPr="00D123E5" w:rsidRDefault="00020D78" w:rsidP="007D0989">
      <w:pPr>
        <w:pStyle w:val="ListParagraph"/>
        <w:numPr>
          <w:ilvl w:val="0"/>
          <w:numId w:val="10"/>
        </w:numPr>
        <w:spacing w:after="120"/>
        <w:jc w:val="both"/>
        <w:rPr>
          <w:szCs w:val="22"/>
        </w:rPr>
      </w:pPr>
      <w:r>
        <w:rPr>
          <w:szCs w:val="22"/>
        </w:rPr>
        <w:t>analyse</w:t>
      </w:r>
      <w:r w:rsidR="00257E18">
        <w:rPr>
          <w:szCs w:val="22"/>
        </w:rPr>
        <w:t>s</w:t>
      </w:r>
      <w:r>
        <w:rPr>
          <w:szCs w:val="22"/>
        </w:rPr>
        <w:t xml:space="preserve"> the level of social vulnerability including</w:t>
      </w:r>
      <w:r w:rsidR="009C05EC">
        <w:rPr>
          <w:szCs w:val="22"/>
        </w:rPr>
        <w:t xml:space="preserve"> the conduct of sensitivity analysis</w:t>
      </w:r>
      <w:r w:rsidR="009C05EC">
        <w:rPr>
          <w:rStyle w:val="FootnoteReference"/>
          <w:szCs w:val="22"/>
        </w:rPr>
        <w:footnoteReference w:id="2"/>
      </w:r>
      <w:r w:rsidR="009C05EC">
        <w:rPr>
          <w:szCs w:val="22"/>
        </w:rPr>
        <w:t>,</w:t>
      </w:r>
      <w:r>
        <w:rPr>
          <w:szCs w:val="22"/>
        </w:rPr>
        <w:t>the construction of an index and characteristics of vulnerable households</w:t>
      </w:r>
      <w:r>
        <w:rPr>
          <w:rStyle w:val="FootnoteReference"/>
          <w:szCs w:val="22"/>
        </w:rPr>
        <w:footnoteReference w:id="3"/>
      </w:r>
      <w:r>
        <w:rPr>
          <w:szCs w:val="22"/>
        </w:rPr>
        <w:t>;</w:t>
      </w:r>
    </w:p>
    <w:p w14:paraId="679EAB05" w14:textId="77777777" w:rsidR="00D123E5" w:rsidRPr="00D123E5" w:rsidRDefault="00D123E5" w:rsidP="007D0989">
      <w:pPr>
        <w:pStyle w:val="ListParagraph"/>
        <w:numPr>
          <w:ilvl w:val="0"/>
          <w:numId w:val="10"/>
        </w:numPr>
        <w:spacing w:after="120"/>
        <w:jc w:val="both"/>
        <w:rPr>
          <w:szCs w:val="22"/>
        </w:rPr>
      </w:pPr>
      <w:r w:rsidRPr="00D123E5">
        <w:rPr>
          <w:szCs w:val="22"/>
        </w:rPr>
        <w:t xml:space="preserve">other dimensions of poverty including quality of work, environment, physical safety etc.; </w:t>
      </w:r>
    </w:p>
    <w:p w14:paraId="4D13BB0D" w14:textId="77777777" w:rsidR="003D2B14" w:rsidRDefault="00D123E5" w:rsidP="007D0989">
      <w:pPr>
        <w:pStyle w:val="ListParagraph"/>
        <w:numPr>
          <w:ilvl w:val="0"/>
          <w:numId w:val="10"/>
        </w:numPr>
        <w:spacing w:after="120"/>
        <w:jc w:val="both"/>
        <w:rPr>
          <w:szCs w:val="22"/>
        </w:rPr>
      </w:pPr>
      <w:r w:rsidRPr="00D123E5">
        <w:rPr>
          <w:szCs w:val="22"/>
        </w:rPr>
        <w:t xml:space="preserve">social and economic inequality and vulnerability; gender equality with a focus on </w:t>
      </w:r>
      <w:r w:rsidR="00241E02">
        <w:rPr>
          <w:szCs w:val="22"/>
        </w:rPr>
        <w:t xml:space="preserve">education, employment </w:t>
      </w:r>
      <w:r w:rsidRPr="00D123E5">
        <w:rPr>
          <w:szCs w:val="22"/>
        </w:rPr>
        <w:t xml:space="preserve">intra-household </w:t>
      </w:r>
      <w:r w:rsidR="00241E02">
        <w:rPr>
          <w:szCs w:val="22"/>
        </w:rPr>
        <w:t>dynamics</w:t>
      </w:r>
      <w:r w:rsidRPr="00D123E5">
        <w:rPr>
          <w:szCs w:val="22"/>
        </w:rPr>
        <w:t xml:space="preserve">, including allocation and the use of </w:t>
      </w:r>
      <w:r w:rsidR="00241E02">
        <w:rPr>
          <w:szCs w:val="22"/>
        </w:rPr>
        <w:t xml:space="preserve">time and </w:t>
      </w:r>
      <w:r w:rsidRPr="00D123E5">
        <w:rPr>
          <w:szCs w:val="22"/>
        </w:rPr>
        <w:t>income within the household</w:t>
      </w:r>
      <w:r w:rsidR="002C4261">
        <w:rPr>
          <w:szCs w:val="22"/>
        </w:rPr>
        <w:t>.</w:t>
      </w:r>
    </w:p>
    <w:p w14:paraId="506D47C1" w14:textId="41169DE9" w:rsidR="00D27B32" w:rsidRDefault="00D27B32" w:rsidP="007D0989">
      <w:pPr>
        <w:pStyle w:val="ListParagraph"/>
        <w:numPr>
          <w:ilvl w:val="0"/>
          <w:numId w:val="10"/>
        </w:numPr>
        <w:spacing w:after="120"/>
        <w:jc w:val="both"/>
        <w:rPr>
          <w:szCs w:val="22"/>
        </w:rPr>
      </w:pPr>
      <w:r>
        <w:rPr>
          <w:szCs w:val="22"/>
        </w:rPr>
        <w:t>Environmental sustainability and climate change; and</w:t>
      </w:r>
    </w:p>
    <w:p w14:paraId="18A2B89C" w14:textId="66BFAED2" w:rsidR="00D27B32" w:rsidRDefault="00D27B32" w:rsidP="00D27B32">
      <w:pPr>
        <w:pStyle w:val="ListParagraph"/>
        <w:numPr>
          <w:ilvl w:val="0"/>
          <w:numId w:val="10"/>
        </w:numPr>
        <w:spacing w:after="120"/>
        <w:jc w:val="both"/>
        <w:rPr>
          <w:szCs w:val="22"/>
        </w:rPr>
      </w:pPr>
      <w:r>
        <w:rPr>
          <w:szCs w:val="22"/>
        </w:rPr>
        <w:t>Natural hazards and disasters and disaster risk reduction including short term and medium impacts on the poor.</w:t>
      </w:r>
    </w:p>
    <w:p w14:paraId="534F4D1B" w14:textId="64A641CC" w:rsidR="00D27B32" w:rsidRPr="00095D5C" w:rsidRDefault="00171158" w:rsidP="00095D5C">
      <w:pPr>
        <w:pStyle w:val="Body"/>
        <w:numPr>
          <w:ilvl w:val="0"/>
          <w:numId w:val="9"/>
        </w:numPr>
        <w:jc w:val="both"/>
        <w:rPr>
          <w:color w:val="auto"/>
          <w:sz w:val="22"/>
          <w:szCs w:val="22"/>
        </w:rPr>
      </w:pPr>
      <w:r>
        <w:rPr>
          <w:szCs w:val="22"/>
        </w:rPr>
        <w:lastRenderedPageBreak/>
        <w:t>A</w:t>
      </w:r>
      <w:r w:rsidR="00D27B32" w:rsidRPr="00095D5C">
        <w:rPr>
          <w:sz w:val="22"/>
          <w:szCs w:val="22"/>
          <w:lang w:val="en-GB"/>
        </w:rPr>
        <w:t xml:space="preserve">ssess the pattern of public spending as it relates to issues of inequality </w:t>
      </w:r>
      <w:r w:rsidR="00D27B32" w:rsidRPr="00095D5C">
        <w:rPr>
          <w:color w:val="auto"/>
          <w:sz w:val="22"/>
          <w:szCs w:val="22"/>
          <w:lang w:val="en-GB"/>
        </w:rPr>
        <w:t>between men and women, different age groups, ethnic groups, and geographic location</w:t>
      </w:r>
      <w:r w:rsidR="00D27B32" w:rsidRPr="00095D5C">
        <w:rPr>
          <w:color w:val="auto"/>
          <w:sz w:val="22"/>
          <w:szCs w:val="22"/>
        </w:rPr>
        <w:t>; and</w:t>
      </w:r>
    </w:p>
    <w:p w14:paraId="67004E44" w14:textId="14E61FB4" w:rsidR="00D27B32" w:rsidRPr="00095D5C" w:rsidRDefault="00D27B32" w:rsidP="00095D5C">
      <w:pPr>
        <w:pStyle w:val="Body"/>
        <w:numPr>
          <w:ilvl w:val="0"/>
          <w:numId w:val="9"/>
        </w:numPr>
        <w:jc w:val="both"/>
        <w:rPr>
          <w:color w:val="auto"/>
          <w:sz w:val="22"/>
          <w:szCs w:val="22"/>
        </w:rPr>
      </w:pPr>
      <w:r w:rsidRPr="00095D5C">
        <w:rPr>
          <w:szCs w:val="22"/>
        </w:rPr>
        <w:t>Develop</w:t>
      </w:r>
      <w:r w:rsidRPr="00095D5C">
        <w:rPr>
          <w:rFonts w:ascii="Times New Roman" w:hAnsi="Times New Roman"/>
          <w:color w:val="auto"/>
          <w:sz w:val="22"/>
          <w:szCs w:val="22"/>
          <w:lang w:val="en-GB"/>
        </w:rPr>
        <w:t xml:space="preserve"> a Draft Programme of Action which sets out strategic options for addressing critical issues emerging from the research and proposals for improving existing social development programmes.</w:t>
      </w:r>
    </w:p>
    <w:p w14:paraId="132FEA6D" w14:textId="4D84205A" w:rsidR="00D27B32" w:rsidRPr="00D27B32" w:rsidRDefault="00D27B32" w:rsidP="00D27B32">
      <w:pPr>
        <w:spacing w:after="120"/>
        <w:ind w:left="720"/>
        <w:jc w:val="both"/>
        <w:rPr>
          <w:szCs w:val="22"/>
        </w:rPr>
      </w:pPr>
    </w:p>
    <w:p w14:paraId="08FBD291" w14:textId="64D6D4A9" w:rsidR="00D123E5" w:rsidRPr="00D123E5" w:rsidRDefault="00EB0028" w:rsidP="007D0989">
      <w:pPr>
        <w:spacing w:after="120"/>
        <w:jc w:val="both"/>
        <w:rPr>
          <w:szCs w:val="22"/>
        </w:rPr>
      </w:pPr>
      <w:r>
        <w:rPr>
          <w:szCs w:val="22"/>
        </w:rPr>
        <w:t>3.02</w:t>
      </w:r>
      <w:r>
        <w:rPr>
          <w:szCs w:val="22"/>
        </w:rPr>
        <w:tab/>
      </w:r>
      <w:r w:rsidR="00D123E5" w:rsidRPr="00D123E5">
        <w:rPr>
          <w:szCs w:val="22"/>
        </w:rPr>
        <w:t xml:space="preserve">The </w:t>
      </w:r>
      <w:r w:rsidR="008A74EA">
        <w:rPr>
          <w:szCs w:val="22"/>
        </w:rPr>
        <w:t>Consulting Firm</w:t>
      </w:r>
      <w:r w:rsidR="00D123E5" w:rsidRPr="00D123E5">
        <w:rPr>
          <w:szCs w:val="22"/>
        </w:rPr>
        <w:t xml:space="preserve"> </w:t>
      </w:r>
      <w:r w:rsidR="00D123E5" w:rsidRPr="0091194B">
        <w:rPr>
          <w:szCs w:val="22"/>
        </w:rPr>
        <w:t xml:space="preserve">will present the </w:t>
      </w:r>
      <w:r w:rsidR="00D27B32">
        <w:rPr>
          <w:szCs w:val="22"/>
        </w:rPr>
        <w:t>D</w:t>
      </w:r>
      <w:r w:rsidR="00257E18" w:rsidRPr="0091194B">
        <w:rPr>
          <w:szCs w:val="22"/>
        </w:rPr>
        <w:t xml:space="preserve">raft </w:t>
      </w:r>
      <w:r w:rsidR="00D27B32">
        <w:rPr>
          <w:szCs w:val="22"/>
        </w:rPr>
        <w:t>N</w:t>
      </w:r>
      <w:r w:rsidR="00D123E5" w:rsidRPr="0091194B">
        <w:rPr>
          <w:szCs w:val="22"/>
        </w:rPr>
        <w:t xml:space="preserve">ational </w:t>
      </w:r>
      <w:r w:rsidR="00D27B32">
        <w:rPr>
          <w:szCs w:val="22"/>
        </w:rPr>
        <w:t>R</w:t>
      </w:r>
      <w:r w:rsidR="00D123E5" w:rsidRPr="0091194B">
        <w:rPr>
          <w:szCs w:val="22"/>
        </w:rPr>
        <w:t>eport to the National Assessment Team (NAT) and any official activity/event</w:t>
      </w:r>
      <w:r w:rsidR="002C4261" w:rsidRPr="0091194B">
        <w:rPr>
          <w:szCs w:val="22"/>
        </w:rPr>
        <w:t xml:space="preserve"> </w:t>
      </w:r>
      <w:r w:rsidR="00D123E5" w:rsidRPr="0091194B">
        <w:rPr>
          <w:szCs w:val="22"/>
        </w:rPr>
        <w:t>which falls within the timeframe of the consultancy</w:t>
      </w:r>
      <w:r w:rsidR="00C309F4" w:rsidRPr="0091194B">
        <w:rPr>
          <w:szCs w:val="22"/>
        </w:rPr>
        <w:t xml:space="preserve"> </w:t>
      </w:r>
      <w:r w:rsidR="00D123E5" w:rsidRPr="0091194B">
        <w:rPr>
          <w:szCs w:val="22"/>
        </w:rPr>
        <w:t>for feedback.  The outputs of these activities should</w:t>
      </w:r>
      <w:r w:rsidR="00D123E5" w:rsidRPr="00D123E5">
        <w:rPr>
          <w:szCs w:val="22"/>
        </w:rPr>
        <w:t xml:space="preserve"> be incorporated in the final report.</w:t>
      </w:r>
    </w:p>
    <w:p w14:paraId="3FC9CD48" w14:textId="77777777" w:rsidR="00D123E5" w:rsidRPr="00D123E5" w:rsidRDefault="00D123E5" w:rsidP="007D0989">
      <w:pPr>
        <w:pStyle w:val="ListParagraph"/>
        <w:numPr>
          <w:ilvl w:val="0"/>
          <w:numId w:val="7"/>
        </w:numPr>
        <w:spacing w:before="360" w:after="120"/>
        <w:ind w:left="720"/>
        <w:rPr>
          <w:b/>
          <w:szCs w:val="22"/>
        </w:rPr>
      </w:pPr>
      <w:r w:rsidRPr="00D123E5">
        <w:rPr>
          <w:b/>
          <w:szCs w:val="22"/>
        </w:rPr>
        <w:t>Duration</w:t>
      </w:r>
    </w:p>
    <w:p w14:paraId="3BD51D5F" w14:textId="202023FC" w:rsidR="00AB05DD" w:rsidRDefault="00EB0028" w:rsidP="007D0989">
      <w:pPr>
        <w:jc w:val="both"/>
        <w:rPr>
          <w:szCs w:val="22"/>
        </w:rPr>
      </w:pPr>
      <w:r>
        <w:rPr>
          <w:szCs w:val="22"/>
        </w:rPr>
        <w:t>4.01</w:t>
      </w:r>
      <w:r>
        <w:rPr>
          <w:szCs w:val="22"/>
        </w:rPr>
        <w:tab/>
      </w:r>
      <w:r w:rsidR="00AB05DD">
        <w:rPr>
          <w:szCs w:val="22"/>
        </w:rPr>
        <w:t xml:space="preserve">It is anticipated that the consulting services will require a maximum </w:t>
      </w:r>
      <w:r w:rsidR="00AB05DD" w:rsidRPr="005368CE">
        <w:rPr>
          <w:szCs w:val="22"/>
        </w:rPr>
        <w:t xml:space="preserve">of </w:t>
      </w:r>
      <w:r w:rsidR="00CA58CB" w:rsidRPr="005368CE">
        <w:rPr>
          <w:szCs w:val="22"/>
        </w:rPr>
        <w:t>60-</w:t>
      </w:r>
      <w:r w:rsidRPr="005368CE">
        <w:rPr>
          <w:szCs w:val="22"/>
        </w:rPr>
        <w:t>person</w:t>
      </w:r>
      <w:r w:rsidR="00AB05DD" w:rsidRPr="005368CE">
        <w:rPr>
          <w:szCs w:val="22"/>
        </w:rPr>
        <w:t xml:space="preserve"> days</w:t>
      </w:r>
      <w:r w:rsidR="0081345E" w:rsidRPr="005368CE">
        <w:rPr>
          <w:szCs w:val="22"/>
        </w:rPr>
        <w:t xml:space="preserve"> over a </w:t>
      </w:r>
      <w:r w:rsidR="0056629C">
        <w:rPr>
          <w:szCs w:val="22"/>
        </w:rPr>
        <w:t>six</w:t>
      </w:r>
      <w:r w:rsidR="0081345E" w:rsidRPr="005368CE">
        <w:rPr>
          <w:szCs w:val="22"/>
        </w:rPr>
        <w:t>-month period</w:t>
      </w:r>
      <w:r w:rsidR="00AB05DD" w:rsidRPr="005368CE">
        <w:rPr>
          <w:szCs w:val="22"/>
        </w:rPr>
        <w:t>.</w:t>
      </w:r>
      <w:r w:rsidR="00AB05DD">
        <w:rPr>
          <w:szCs w:val="22"/>
        </w:rPr>
        <w:t xml:space="preserve">  </w:t>
      </w:r>
    </w:p>
    <w:p w14:paraId="79D493A9" w14:textId="77777777" w:rsidR="00D123E5" w:rsidRPr="00D123E5" w:rsidRDefault="00D123E5" w:rsidP="007D0989">
      <w:pPr>
        <w:pStyle w:val="ListParagraph"/>
        <w:numPr>
          <w:ilvl w:val="0"/>
          <w:numId w:val="7"/>
        </w:numPr>
        <w:spacing w:before="360" w:after="120"/>
        <w:ind w:left="720"/>
        <w:rPr>
          <w:b/>
          <w:szCs w:val="22"/>
        </w:rPr>
      </w:pPr>
      <w:r w:rsidRPr="00D123E5">
        <w:rPr>
          <w:b/>
          <w:szCs w:val="22"/>
        </w:rPr>
        <w:t>Deliverables and reporting</w:t>
      </w:r>
    </w:p>
    <w:p w14:paraId="6B31A58A" w14:textId="77777777" w:rsidR="00D123E5" w:rsidRPr="00D123E5" w:rsidRDefault="00EB0028" w:rsidP="007D0989">
      <w:pPr>
        <w:jc w:val="both"/>
        <w:rPr>
          <w:szCs w:val="22"/>
        </w:rPr>
      </w:pPr>
      <w:r>
        <w:rPr>
          <w:szCs w:val="22"/>
        </w:rPr>
        <w:t>5.01</w:t>
      </w:r>
      <w:r>
        <w:rPr>
          <w:szCs w:val="22"/>
        </w:rPr>
        <w:tab/>
      </w:r>
      <w:r w:rsidR="00D123E5" w:rsidRPr="00D123E5">
        <w:rPr>
          <w:szCs w:val="22"/>
        </w:rPr>
        <w:t xml:space="preserve">The </w:t>
      </w:r>
      <w:r w:rsidR="008A74EA">
        <w:rPr>
          <w:szCs w:val="22"/>
        </w:rPr>
        <w:t>Consulting Firm</w:t>
      </w:r>
      <w:r w:rsidR="00D123E5" w:rsidRPr="00D123E5">
        <w:rPr>
          <w:szCs w:val="22"/>
        </w:rPr>
        <w:t xml:space="preserve"> will produce the following deliverables in electronic format:</w:t>
      </w:r>
    </w:p>
    <w:tbl>
      <w:tblPr>
        <w:tblStyle w:val="TableGrid"/>
        <w:tblW w:w="0" w:type="auto"/>
        <w:tblLook w:val="04A0" w:firstRow="1" w:lastRow="0" w:firstColumn="1" w:lastColumn="0" w:noHBand="0" w:noVBand="1"/>
      </w:tblPr>
      <w:tblGrid>
        <w:gridCol w:w="6799"/>
        <w:gridCol w:w="2551"/>
      </w:tblGrid>
      <w:tr w:rsidR="002A74D6" w:rsidRPr="00D123E5" w14:paraId="7DD41342" w14:textId="07E1753B" w:rsidTr="000D423F">
        <w:trPr>
          <w:trHeight w:val="463"/>
          <w:tblHeader/>
        </w:trPr>
        <w:tc>
          <w:tcPr>
            <w:tcW w:w="6799" w:type="dxa"/>
            <w:tcBorders>
              <w:top w:val="single" w:sz="4" w:space="0" w:color="auto"/>
              <w:left w:val="single" w:sz="4" w:space="0" w:color="auto"/>
              <w:bottom w:val="single" w:sz="4" w:space="0" w:color="auto"/>
              <w:right w:val="single" w:sz="4" w:space="0" w:color="auto"/>
            </w:tcBorders>
            <w:hideMark/>
          </w:tcPr>
          <w:p w14:paraId="6AA895BE" w14:textId="77777777" w:rsidR="002A74D6" w:rsidRPr="00D123E5" w:rsidRDefault="002A74D6" w:rsidP="007D0989">
            <w:pPr>
              <w:jc w:val="both"/>
              <w:rPr>
                <w:b/>
                <w:sz w:val="22"/>
                <w:szCs w:val="22"/>
              </w:rPr>
            </w:pPr>
            <w:r w:rsidRPr="00D123E5">
              <w:rPr>
                <w:b/>
                <w:sz w:val="22"/>
                <w:szCs w:val="22"/>
              </w:rPr>
              <w:t>Deliverables</w:t>
            </w:r>
          </w:p>
        </w:tc>
        <w:tc>
          <w:tcPr>
            <w:tcW w:w="2551" w:type="dxa"/>
            <w:tcBorders>
              <w:top w:val="single" w:sz="4" w:space="0" w:color="auto"/>
              <w:left w:val="single" w:sz="4" w:space="0" w:color="auto"/>
              <w:bottom w:val="single" w:sz="4" w:space="0" w:color="auto"/>
              <w:right w:val="single" w:sz="4" w:space="0" w:color="auto"/>
            </w:tcBorders>
          </w:tcPr>
          <w:p w14:paraId="6F5B1A41" w14:textId="29520E35" w:rsidR="002A74D6" w:rsidRPr="00D123E5" w:rsidRDefault="002A74D6" w:rsidP="007D0989">
            <w:pPr>
              <w:jc w:val="both"/>
              <w:rPr>
                <w:b/>
                <w:szCs w:val="22"/>
              </w:rPr>
            </w:pPr>
            <w:r w:rsidRPr="000D423F">
              <w:rPr>
                <w:b/>
                <w:sz w:val="22"/>
                <w:szCs w:val="22"/>
              </w:rPr>
              <w:t>Timeframe</w:t>
            </w:r>
          </w:p>
        </w:tc>
      </w:tr>
      <w:tr w:rsidR="002A74D6" w:rsidRPr="00D123E5" w14:paraId="6670E2D6" w14:textId="150B328E" w:rsidTr="000D423F">
        <w:trPr>
          <w:trHeight w:val="680"/>
        </w:trPr>
        <w:tc>
          <w:tcPr>
            <w:tcW w:w="6799" w:type="dxa"/>
            <w:tcBorders>
              <w:top w:val="single" w:sz="4" w:space="0" w:color="auto"/>
              <w:left w:val="single" w:sz="4" w:space="0" w:color="auto"/>
              <w:bottom w:val="single" w:sz="4" w:space="0" w:color="auto"/>
              <w:right w:val="single" w:sz="4" w:space="0" w:color="auto"/>
            </w:tcBorders>
            <w:hideMark/>
          </w:tcPr>
          <w:p w14:paraId="4BF3D837" w14:textId="0AA6B574" w:rsidR="002A74D6" w:rsidRPr="00CA58CB" w:rsidRDefault="002A74D6" w:rsidP="007D0989">
            <w:pPr>
              <w:pStyle w:val="ListParagraph"/>
              <w:widowControl w:val="0"/>
              <w:numPr>
                <w:ilvl w:val="0"/>
                <w:numId w:val="11"/>
              </w:numPr>
              <w:spacing w:before="60" w:after="60"/>
              <w:ind w:left="245" w:hanging="245"/>
              <w:rPr>
                <w:sz w:val="22"/>
                <w:szCs w:val="22"/>
              </w:rPr>
            </w:pPr>
            <w:r w:rsidRPr="00CA58CB">
              <w:rPr>
                <w:sz w:val="22"/>
                <w:szCs w:val="22"/>
              </w:rPr>
              <w:t>Inception Report including a work plan with time schedule to undertake the activities identified in the scope of work</w:t>
            </w:r>
          </w:p>
        </w:tc>
        <w:tc>
          <w:tcPr>
            <w:tcW w:w="2551" w:type="dxa"/>
            <w:tcBorders>
              <w:top w:val="single" w:sz="4" w:space="0" w:color="auto"/>
              <w:left w:val="single" w:sz="4" w:space="0" w:color="auto"/>
              <w:bottom w:val="single" w:sz="4" w:space="0" w:color="auto"/>
              <w:right w:val="single" w:sz="4" w:space="0" w:color="auto"/>
            </w:tcBorders>
          </w:tcPr>
          <w:p w14:paraId="699F21EA" w14:textId="48ECF7A7" w:rsidR="002A74D6" w:rsidRPr="000D423F" w:rsidRDefault="00480696" w:rsidP="000D423F">
            <w:pPr>
              <w:widowControl w:val="0"/>
              <w:spacing w:before="60" w:after="60"/>
              <w:rPr>
                <w:szCs w:val="22"/>
              </w:rPr>
            </w:pPr>
            <w:r>
              <w:rPr>
                <w:sz w:val="22"/>
                <w:szCs w:val="22"/>
              </w:rPr>
              <w:t>10</w:t>
            </w:r>
            <w:r w:rsidRPr="00D123E5">
              <w:rPr>
                <w:sz w:val="22"/>
                <w:szCs w:val="22"/>
              </w:rPr>
              <w:t xml:space="preserve"> days after the commencement of the contract</w:t>
            </w:r>
          </w:p>
        </w:tc>
      </w:tr>
      <w:tr w:rsidR="002A74D6" w:rsidRPr="00D123E5" w14:paraId="3AAB27AE" w14:textId="18E4EDEB" w:rsidTr="000D423F">
        <w:trPr>
          <w:trHeight w:val="666"/>
        </w:trPr>
        <w:tc>
          <w:tcPr>
            <w:tcW w:w="6799" w:type="dxa"/>
            <w:tcBorders>
              <w:top w:val="single" w:sz="4" w:space="0" w:color="auto"/>
              <w:left w:val="single" w:sz="4" w:space="0" w:color="auto"/>
              <w:bottom w:val="single" w:sz="4" w:space="0" w:color="auto"/>
              <w:right w:val="single" w:sz="4" w:space="0" w:color="auto"/>
            </w:tcBorders>
            <w:hideMark/>
          </w:tcPr>
          <w:p w14:paraId="13BB10AC" w14:textId="77777777" w:rsidR="002A74D6" w:rsidRPr="00CA58CB" w:rsidRDefault="002A74D6" w:rsidP="007D0989">
            <w:pPr>
              <w:pStyle w:val="ListParagraph"/>
              <w:widowControl w:val="0"/>
              <w:numPr>
                <w:ilvl w:val="0"/>
                <w:numId w:val="11"/>
              </w:numPr>
              <w:spacing w:before="60" w:after="60"/>
              <w:ind w:left="245" w:hanging="245"/>
              <w:rPr>
                <w:sz w:val="22"/>
                <w:szCs w:val="22"/>
              </w:rPr>
            </w:pPr>
            <w:r w:rsidRPr="00CA58CB">
              <w:rPr>
                <w:sz w:val="22"/>
                <w:szCs w:val="22"/>
              </w:rPr>
              <w:t>Draft annotated outline based on the proposed structure of the national report (Annex 1) for each requesting Member State</w:t>
            </w:r>
          </w:p>
        </w:tc>
        <w:tc>
          <w:tcPr>
            <w:tcW w:w="2551" w:type="dxa"/>
            <w:tcBorders>
              <w:top w:val="single" w:sz="4" w:space="0" w:color="auto"/>
              <w:left w:val="single" w:sz="4" w:space="0" w:color="auto"/>
              <w:bottom w:val="single" w:sz="4" w:space="0" w:color="auto"/>
              <w:right w:val="single" w:sz="4" w:space="0" w:color="auto"/>
            </w:tcBorders>
          </w:tcPr>
          <w:p w14:paraId="21881708" w14:textId="1D525B05" w:rsidR="002A74D6" w:rsidRPr="00480696" w:rsidRDefault="00480696" w:rsidP="00480696">
            <w:pPr>
              <w:widowControl w:val="0"/>
              <w:spacing w:before="60" w:after="60"/>
              <w:rPr>
                <w:szCs w:val="22"/>
              </w:rPr>
            </w:pPr>
            <w:r>
              <w:rPr>
                <w:szCs w:val="22"/>
              </w:rPr>
              <w:t>To be determined</w:t>
            </w:r>
            <w:r w:rsidRPr="00480696">
              <w:rPr>
                <w:szCs w:val="22"/>
              </w:rPr>
              <w:t xml:space="preserve"> in consultation with the individual Member State</w:t>
            </w:r>
          </w:p>
        </w:tc>
      </w:tr>
      <w:tr w:rsidR="002A74D6" w:rsidRPr="00D123E5" w14:paraId="74FE3A19" w14:textId="7CE84C65" w:rsidTr="000D423F">
        <w:trPr>
          <w:trHeight w:val="680"/>
        </w:trPr>
        <w:tc>
          <w:tcPr>
            <w:tcW w:w="6799" w:type="dxa"/>
            <w:tcBorders>
              <w:top w:val="single" w:sz="4" w:space="0" w:color="auto"/>
              <w:left w:val="single" w:sz="4" w:space="0" w:color="auto"/>
              <w:bottom w:val="single" w:sz="4" w:space="0" w:color="auto"/>
              <w:right w:val="single" w:sz="4" w:space="0" w:color="auto"/>
            </w:tcBorders>
          </w:tcPr>
          <w:p w14:paraId="531E1D85" w14:textId="77777777" w:rsidR="002A74D6" w:rsidRPr="00CA58CB" w:rsidRDefault="002A74D6" w:rsidP="007D0989">
            <w:pPr>
              <w:pStyle w:val="ListParagraph"/>
              <w:widowControl w:val="0"/>
              <w:numPr>
                <w:ilvl w:val="0"/>
                <w:numId w:val="11"/>
              </w:numPr>
              <w:spacing w:before="60" w:after="60"/>
              <w:ind w:left="245" w:hanging="245"/>
              <w:rPr>
                <w:sz w:val="22"/>
                <w:szCs w:val="22"/>
              </w:rPr>
            </w:pPr>
            <w:r w:rsidRPr="00CA58CB">
              <w:rPr>
                <w:sz w:val="22"/>
                <w:szCs w:val="22"/>
              </w:rPr>
              <w:t xml:space="preserve">Generate relevant tables and indicators (monetary and multi-dimensional), in consultation with the representatives of the NSO </w:t>
            </w:r>
          </w:p>
        </w:tc>
        <w:tc>
          <w:tcPr>
            <w:tcW w:w="2551" w:type="dxa"/>
            <w:tcBorders>
              <w:top w:val="single" w:sz="4" w:space="0" w:color="auto"/>
              <w:left w:val="single" w:sz="4" w:space="0" w:color="auto"/>
              <w:bottom w:val="single" w:sz="4" w:space="0" w:color="auto"/>
              <w:right w:val="single" w:sz="4" w:space="0" w:color="auto"/>
            </w:tcBorders>
          </w:tcPr>
          <w:p w14:paraId="76C7AB42" w14:textId="41848375" w:rsidR="002A74D6" w:rsidRPr="00480696" w:rsidRDefault="00480696" w:rsidP="00480696">
            <w:pPr>
              <w:widowControl w:val="0"/>
              <w:spacing w:before="60" w:after="60"/>
              <w:rPr>
                <w:sz w:val="22"/>
                <w:szCs w:val="22"/>
              </w:rPr>
            </w:pPr>
            <w:r w:rsidRPr="00480696">
              <w:rPr>
                <w:sz w:val="22"/>
                <w:szCs w:val="22"/>
              </w:rPr>
              <w:t>To be determined in consultation with the individual Member State</w:t>
            </w:r>
          </w:p>
        </w:tc>
      </w:tr>
      <w:tr w:rsidR="002A74D6" w:rsidRPr="00D123E5" w14:paraId="34E3B915" w14:textId="65020AD2" w:rsidTr="000D423F">
        <w:trPr>
          <w:trHeight w:val="666"/>
        </w:trPr>
        <w:tc>
          <w:tcPr>
            <w:tcW w:w="6799" w:type="dxa"/>
            <w:tcBorders>
              <w:top w:val="single" w:sz="4" w:space="0" w:color="auto"/>
              <w:left w:val="single" w:sz="4" w:space="0" w:color="auto"/>
              <w:bottom w:val="single" w:sz="4" w:space="0" w:color="auto"/>
              <w:right w:val="single" w:sz="4" w:space="0" w:color="auto"/>
            </w:tcBorders>
            <w:hideMark/>
          </w:tcPr>
          <w:p w14:paraId="5807BAA8" w14:textId="77777777" w:rsidR="002A74D6" w:rsidRPr="00CA58CB" w:rsidRDefault="002A74D6" w:rsidP="007D0989">
            <w:pPr>
              <w:pStyle w:val="ListParagraph"/>
              <w:widowControl w:val="0"/>
              <w:numPr>
                <w:ilvl w:val="0"/>
                <w:numId w:val="11"/>
              </w:numPr>
              <w:spacing w:before="60" w:after="60"/>
              <w:ind w:left="245" w:hanging="245"/>
              <w:rPr>
                <w:sz w:val="22"/>
                <w:szCs w:val="22"/>
              </w:rPr>
            </w:pPr>
            <w:r w:rsidRPr="00CA58CB">
              <w:rPr>
                <w:sz w:val="22"/>
                <w:szCs w:val="22"/>
              </w:rPr>
              <w:t>Comprehensive draft report that covers the content outlined under subsection 3 for each Member State</w:t>
            </w:r>
          </w:p>
        </w:tc>
        <w:tc>
          <w:tcPr>
            <w:tcW w:w="2551" w:type="dxa"/>
            <w:tcBorders>
              <w:top w:val="single" w:sz="4" w:space="0" w:color="auto"/>
              <w:left w:val="single" w:sz="4" w:space="0" w:color="auto"/>
              <w:bottom w:val="single" w:sz="4" w:space="0" w:color="auto"/>
              <w:right w:val="single" w:sz="4" w:space="0" w:color="auto"/>
            </w:tcBorders>
          </w:tcPr>
          <w:p w14:paraId="1A660045" w14:textId="13B401E3" w:rsidR="002A74D6" w:rsidRPr="00480696" w:rsidRDefault="00480696" w:rsidP="000D423F">
            <w:pPr>
              <w:widowControl w:val="0"/>
              <w:spacing w:before="60" w:after="60"/>
              <w:rPr>
                <w:sz w:val="22"/>
                <w:szCs w:val="22"/>
              </w:rPr>
            </w:pPr>
            <w:r w:rsidRPr="00480696">
              <w:rPr>
                <w:sz w:val="22"/>
                <w:szCs w:val="22"/>
              </w:rPr>
              <w:t>To be determined in consultation with the individual Member State</w:t>
            </w:r>
          </w:p>
        </w:tc>
      </w:tr>
      <w:tr w:rsidR="002A74D6" w:rsidRPr="00D123E5" w14:paraId="00E63B37" w14:textId="562512B5" w:rsidTr="000D423F">
        <w:trPr>
          <w:trHeight w:val="1231"/>
        </w:trPr>
        <w:tc>
          <w:tcPr>
            <w:tcW w:w="6799" w:type="dxa"/>
            <w:tcBorders>
              <w:top w:val="single" w:sz="4" w:space="0" w:color="auto"/>
              <w:left w:val="single" w:sz="4" w:space="0" w:color="auto"/>
              <w:bottom w:val="single" w:sz="4" w:space="0" w:color="auto"/>
              <w:right w:val="single" w:sz="4" w:space="0" w:color="auto"/>
            </w:tcBorders>
            <w:hideMark/>
          </w:tcPr>
          <w:p w14:paraId="1F4026AF" w14:textId="77777777" w:rsidR="002A74D6" w:rsidRPr="00CA58CB" w:rsidRDefault="002A74D6" w:rsidP="007D0989">
            <w:pPr>
              <w:pStyle w:val="ListParagraph"/>
              <w:widowControl w:val="0"/>
              <w:numPr>
                <w:ilvl w:val="0"/>
                <w:numId w:val="11"/>
              </w:numPr>
              <w:spacing w:before="60" w:after="60"/>
              <w:ind w:left="245" w:hanging="245"/>
              <w:rPr>
                <w:sz w:val="22"/>
                <w:szCs w:val="22"/>
              </w:rPr>
            </w:pPr>
            <w:r w:rsidRPr="00CA58CB">
              <w:rPr>
                <w:sz w:val="22"/>
                <w:szCs w:val="22"/>
              </w:rPr>
              <w:t>Final version of the report for acceptance by NAT and other relevant national stakeholders and the OECS Commission, that takes into consideration any issues identified by stakeholders involved in the process</w:t>
            </w:r>
          </w:p>
        </w:tc>
        <w:tc>
          <w:tcPr>
            <w:tcW w:w="2551" w:type="dxa"/>
            <w:tcBorders>
              <w:top w:val="single" w:sz="4" w:space="0" w:color="auto"/>
              <w:left w:val="single" w:sz="4" w:space="0" w:color="auto"/>
              <w:bottom w:val="single" w:sz="4" w:space="0" w:color="auto"/>
              <w:right w:val="single" w:sz="4" w:space="0" w:color="auto"/>
            </w:tcBorders>
          </w:tcPr>
          <w:p w14:paraId="674B9A12" w14:textId="7BB927E5" w:rsidR="002A74D6" w:rsidRPr="00480696" w:rsidRDefault="00480696" w:rsidP="000D423F">
            <w:pPr>
              <w:widowControl w:val="0"/>
              <w:spacing w:before="60" w:after="60"/>
              <w:rPr>
                <w:sz w:val="22"/>
                <w:szCs w:val="22"/>
              </w:rPr>
            </w:pPr>
            <w:r w:rsidRPr="00480696">
              <w:rPr>
                <w:sz w:val="22"/>
                <w:szCs w:val="22"/>
              </w:rPr>
              <w:t>To be determined in consultation with the individual Member State</w:t>
            </w:r>
          </w:p>
        </w:tc>
      </w:tr>
      <w:tr w:rsidR="002A74D6" w14:paraId="78AB06B4" w14:textId="5A628917" w:rsidTr="000D423F">
        <w:trPr>
          <w:trHeight w:val="724"/>
        </w:trPr>
        <w:tc>
          <w:tcPr>
            <w:tcW w:w="6799" w:type="dxa"/>
            <w:tcBorders>
              <w:top w:val="single" w:sz="4" w:space="0" w:color="auto"/>
              <w:left w:val="single" w:sz="4" w:space="0" w:color="auto"/>
              <w:bottom w:val="single" w:sz="4" w:space="0" w:color="auto"/>
              <w:right w:val="single" w:sz="4" w:space="0" w:color="auto"/>
            </w:tcBorders>
            <w:hideMark/>
          </w:tcPr>
          <w:p w14:paraId="1B7A5CB6" w14:textId="77777777" w:rsidR="002A74D6" w:rsidRPr="00CA58CB" w:rsidRDefault="002A74D6" w:rsidP="002C4261">
            <w:pPr>
              <w:pStyle w:val="ListParagraph"/>
              <w:widowControl w:val="0"/>
              <w:numPr>
                <w:ilvl w:val="0"/>
                <w:numId w:val="11"/>
              </w:numPr>
              <w:spacing w:before="60" w:after="60"/>
              <w:ind w:left="245" w:hanging="245"/>
              <w:rPr>
                <w:sz w:val="22"/>
                <w:szCs w:val="22"/>
              </w:rPr>
            </w:pPr>
            <w:r w:rsidRPr="00CA58CB">
              <w:rPr>
                <w:sz w:val="22"/>
                <w:szCs w:val="22"/>
              </w:rPr>
              <w:t>Reports on the activities undertaken in the individual Member State</w:t>
            </w:r>
          </w:p>
        </w:tc>
        <w:tc>
          <w:tcPr>
            <w:tcW w:w="2551" w:type="dxa"/>
            <w:tcBorders>
              <w:top w:val="single" w:sz="4" w:space="0" w:color="auto"/>
              <w:left w:val="single" w:sz="4" w:space="0" w:color="auto"/>
              <w:bottom w:val="single" w:sz="4" w:space="0" w:color="auto"/>
              <w:right w:val="single" w:sz="4" w:space="0" w:color="auto"/>
            </w:tcBorders>
          </w:tcPr>
          <w:p w14:paraId="11322E6B" w14:textId="7A0AD1BB" w:rsidR="002A74D6" w:rsidRPr="00480696" w:rsidRDefault="00480696" w:rsidP="00480696">
            <w:pPr>
              <w:widowControl w:val="0"/>
              <w:spacing w:before="60" w:after="60"/>
              <w:rPr>
                <w:sz w:val="22"/>
                <w:szCs w:val="22"/>
              </w:rPr>
            </w:pPr>
            <w:r>
              <w:rPr>
                <w:sz w:val="22"/>
                <w:szCs w:val="22"/>
              </w:rPr>
              <w:t>5 working days after the completion of each activity</w:t>
            </w:r>
          </w:p>
        </w:tc>
      </w:tr>
    </w:tbl>
    <w:p w14:paraId="542D17EF" w14:textId="77777777" w:rsidR="00D123E5" w:rsidRPr="00D123E5" w:rsidRDefault="00D123E5" w:rsidP="007D0989">
      <w:pPr>
        <w:pStyle w:val="ListParagraph"/>
        <w:spacing w:after="120"/>
        <w:jc w:val="both"/>
        <w:rPr>
          <w:rFonts w:eastAsia="Times New Roman"/>
          <w:b/>
          <w:bCs/>
          <w:szCs w:val="22"/>
          <w:lang w:val="en-GB"/>
        </w:rPr>
      </w:pPr>
    </w:p>
    <w:p w14:paraId="60FBFF11" w14:textId="77777777" w:rsidR="00D123E5" w:rsidRDefault="00EB0028" w:rsidP="007D0989">
      <w:pPr>
        <w:jc w:val="both"/>
        <w:rPr>
          <w:szCs w:val="22"/>
        </w:rPr>
      </w:pPr>
      <w:r>
        <w:rPr>
          <w:szCs w:val="22"/>
        </w:rPr>
        <w:t>5.02</w:t>
      </w:r>
      <w:r>
        <w:rPr>
          <w:szCs w:val="22"/>
        </w:rPr>
        <w:tab/>
      </w:r>
      <w:r w:rsidR="00D123E5" w:rsidRPr="00D123E5">
        <w:rPr>
          <w:szCs w:val="22"/>
        </w:rPr>
        <w:t>Electronic co</w:t>
      </w:r>
      <w:r w:rsidR="00D123E5" w:rsidRPr="00883FB1">
        <w:rPr>
          <w:szCs w:val="22"/>
        </w:rPr>
        <w:t xml:space="preserve">pies of both draft and final report will be presented to the OECS Commission in </w:t>
      </w:r>
      <w:r w:rsidR="00883FB1" w:rsidRPr="00883FB1">
        <w:rPr>
          <w:szCs w:val="22"/>
        </w:rPr>
        <w:t xml:space="preserve">Microsoft Word </w:t>
      </w:r>
      <w:r w:rsidR="006E2A82" w:rsidRPr="00883FB1">
        <w:rPr>
          <w:szCs w:val="22"/>
        </w:rPr>
        <w:t>f</w:t>
      </w:r>
      <w:r w:rsidR="00D123E5" w:rsidRPr="00883FB1">
        <w:rPr>
          <w:szCs w:val="22"/>
        </w:rPr>
        <w:t>ormat.</w:t>
      </w:r>
      <w:r w:rsidR="00D123E5" w:rsidRPr="00D123E5">
        <w:rPr>
          <w:szCs w:val="22"/>
        </w:rPr>
        <w:t xml:space="preserve"> </w:t>
      </w:r>
    </w:p>
    <w:p w14:paraId="3E7527D0" w14:textId="29134DB2" w:rsidR="009B1B71" w:rsidRDefault="009B1B71" w:rsidP="009B1B71">
      <w:pPr>
        <w:spacing w:line="240" w:lineRule="auto"/>
        <w:jc w:val="both"/>
        <w:rPr>
          <w:rFonts w:eastAsiaTheme="minorHAnsi" w:cstheme="minorHAnsi"/>
          <w:szCs w:val="22"/>
        </w:rPr>
      </w:pPr>
      <w:r>
        <w:rPr>
          <w:rFonts w:cstheme="minorHAnsi"/>
        </w:rPr>
        <w:lastRenderedPageBreak/>
        <w:t>5.03</w:t>
      </w:r>
      <w:r>
        <w:rPr>
          <w:rFonts w:cstheme="minorHAnsi"/>
        </w:rPr>
        <w:tab/>
        <w:t xml:space="preserve">All final tables (deliverables </w:t>
      </w:r>
      <w:r w:rsidR="00883FB1">
        <w:rPr>
          <w:rFonts w:cstheme="minorHAnsi"/>
        </w:rPr>
        <w:t>under 3</w:t>
      </w:r>
      <w:r>
        <w:rPr>
          <w:rFonts w:cstheme="minorHAnsi"/>
        </w:rPr>
        <w:t>) will be submitted</w:t>
      </w:r>
      <w:r w:rsidR="00883FB1">
        <w:rPr>
          <w:rFonts w:cstheme="minorHAnsi"/>
        </w:rPr>
        <w:t xml:space="preserve"> to the NSO and OECS Commission </w:t>
      </w:r>
      <w:r>
        <w:rPr>
          <w:rFonts w:cstheme="minorHAnsi"/>
        </w:rPr>
        <w:t>in MS Excel format.</w:t>
      </w:r>
    </w:p>
    <w:p w14:paraId="2F851AF9" w14:textId="77777777" w:rsidR="00D123E5" w:rsidRPr="00D123E5" w:rsidRDefault="00D123E5" w:rsidP="007D0989">
      <w:pPr>
        <w:pStyle w:val="ListParagraph"/>
        <w:numPr>
          <w:ilvl w:val="0"/>
          <w:numId w:val="7"/>
        </w:numPr>
        <w:spacing w:before="360" w:after="120"/>
        <w:ind w:left="720"/>
        <w:rPr>
          <w:b/>
          <w:szCs w:val="22"/>
        </w:rPr>
      </w:pPr>
      <w:r w:rsidRPr="00D123E5">
        <w:rPr>
          <w:b/>
          <w:szCs w:val="22"/>
        </w:rPr>
        <w:t>Working Arrangements</w:t>
      </w:r>
    </w:p>
    <w:p w14:paraId="20689614" w14:textId="77777777" w:rsidR="00D123E5" w:rsidRPr="00D123E5" w:rsidRDefault="00EB0028" w:rsidP="007D0989">
      <w:pPr>
        <w:jc w:val="both"/>
        <w:rPr>
          <w:szCs w:val="22"/>
        </w:rPr>
      </w:pPr>
      <w:r>
        <w:rPr>
          <w:szCs w:val="22"/>
        </w:rPr>
        <w:t>6.01</w:t>
      </w:r>
      <w:r>
        <w:rPr>
          <w:szCs w:val="22"/>
        </w:rPr>
        <w:tab/>
      </w:r>
      <w:r w:rsidR="00D123E5" w:rsidRPr="00D123E5">
        <w:rPr>
          <w:szCs w:val="22"/>
        </w:rPr>
        <w:t xml:space="preserve">Throughout the assignment, the </w:t>
      </w:r>
      <w:r w:rsidR="008A74EA">
        <w:rPr>
          <w:szCs w:val="22"/>
        </w:rPr>
        <w:t>Consulting Firm</w:t>
      </w:r>
      <w:r w:rsidR="00D123E5" w:rsidRPr="00D123E5">
        <w:rPr>
          <w:szCs w:val="22"/>
        </w:rPr>
        <w:t xml:space="preserve"> will be required to work closely with the Director of </w:t>
      </w:r>
      <w:r w:rsidR="00E63F89">
        <w:rPr>
          <w:szCs w:val="22"/>
        </w:rPr>
        <w:t>N</w:t>
      </w:r>
      <w:r w:rsidR="00D123E5" w:rsidRPr="00D123E5">
        <w:rPr>
          <w:szCs w:val="22"/>
        </w:rPr>
        <w:t>SO and any other staff assigned to</w:t>
      </w:r>
      <w:r w:rsidR="00E63F89">
        <w:rPr>
          <w:szCs w:val="22"/>
        </w:rPr>
        <w:t xml:space="preserve"> support the task</w:t>
      </w:r>
      <w:r w:rsidR="00D123E5" w:rsidRPr="00D123E5">
        <w:rPr>
          <w:szCs w:val="22"/>
        </w:rPr>
        <w:t xml:space="preserve">.  The </w:t>
      </w:r>
      <w:r w:rsidR="008A74EA">
        <w:rPr>
          <w:szCs w:val="22"/>
        </w:rPr>
        <w:t>Consulting Firm</w:t>
      </w:r>
      <w:r w:rsidR="00D123E5" w:rsidRPr="00D123E5">
        <w:rPr>
          <w:szCs w:val="22"/>
        </w:rPr>
        <w:t xml:space="preserve"> will be administratively managed and supported by the Project Coordinator and Research and Survey Statistician, of the Project Coordination Unit within the OECS Commission.  All communication to the </w:t>
      </w:r>
      <w:r w:rsidR="00E63F89">
        <w:rPr>
          <w:szCs w:val="22"/>
        </w:rPr>
        <w:t>NSO</w:t>
      </w:r>
      <w:r w:rsidR="00D123E5" w:rsidRPr="00D123E5">
        <w:rPr>
          <w:szCs w:val="22"/>
        </w:rPr>
        <w:t xml:space="preserve"> will be copied to the Project Coordinator and the Research and Survey Statistician.</w:t>
      </w:r>
    </w:p>
    <w:p w14:paraId="67524C03" w14:textId="77777777" w:rsidR="00D123E5" w:rsidRPr="00D123E5" w:rsidRDefault="00D123E5" w:rsidP="007D0989">
      <w:pPr>
        <w:pStyle w:val="ListParagraph"/>
        <w:numPr>
          <w:ilvl w:val="0"/>
          <w:numId w:val="7"/>
        </w:numPr>
        <w:spacing w:before="360" w:after="120"/>
        <w:ind w:left="720"/>
        <w:rPr>
          <w:b/>
          <w:szCs w:val="22"/>
        </w:rPr>
      </w:pPr>
      <w:r w:rsidRPr="00D123E5">
        <w:rPr>
          <w:b/>
          <w:szCs w:val="22"/>
        </w:rPr>
        <w:t xml:space="preserve">Additional Terms of Consultancy: Confidentiality of Data </w:t>
      </w:r>
    </w:p>
    <w:p w14:paraId="5B3B0B9F" w14:textId="77777777" w:rsidR="00D123E5" w:rsidRPr="00D123E5" w:rsidRDefault="00EB0028" w:rsidP="007D0989">
      <w:pPr>
        <w:spacing w:after="120"/>
        <w:jc w:val="both"/>
        <w:rPr>
          <w:szCs w:val="22"/>
        </w:rPr>
      </w:pPr>
      <w:r>
        <w:rPr>
          <w:szCs w:val="22"/>
        </w:rPr>
        <w:t>7.01</w:t>
      </w:r>
      <w:r>
        <w:rPr>
          <w:szCs w:val="22"/>
        </w:rPr>
        <w:tab/>
      </w:r>
      <w:r w:rsidR="00D123E5" w:rsidRPr="00D123E5">
        <w:rPr>
          <w:szCs w:val="22"/>
        </w:rPr>
        <w:t xml:space="preserve">Given the nature of the tasks for this consultancy, the </w:t>
      </w:r>
      <w:r w:rsidR="008A74EA">
        <w:rPr>
          <w:szCs w:val="22"/>
        </w:rPr>
        <w:t>Consulting Firm</w:t>
      </w:r>
      <w:r w:rsidR="00D123E5" w:rsidRPr="00D123E5">
        <w:rPr>
          <w:szCs w:val="22"/>
        </w:rPr>
        <w:t xml:space="preserve"> will be required to abide by the following terms or conditions:</w:t>
      </w:r>
    </w:p>
    <w:p w14:paraId="0339A842" w14:textId="01BFBB60" w:rsidR="00D123E5" w:rsidRPr="00D123E5" w:rsidRDefault="00D123E5" w:rsidP="007D0989">
      <w:pPr>
        <w:pStyle w:val="ListParagraph"/>
        <w:widowControl w:val="0"/>
        <w:numPr>
          <w:ilvl w:val="0"/>
          <w:numId w:val="12"/>
        </w:numPr>
        <w:spacing w:after="120"/>
        <w:jc w:val="both"/>
        <w:rPr>
          <w:szCs w:val="22"/>
        </w:rPr>
      </w:pPr>
      <w:r w:rsidRPr="00D123E5">
        <w:rPr>
          <w:szCs w:val="22"/>
        </w:rPr>
        <w:t xml:space="preserve">The use of and access to any micro data from the </w:t>
      </w:r>
      <w:r w:rsidR="006E2A82">
        <w:rPr>
          <w:szCs w:val="22"/>
        </w:rPr>
        <w:t>N</w:t>
      </w:r>
      <w:r w:rsidRPr="00D123E5">
        <w:rPr>
          <w:szCs w:val="22"/>
        </w:rPr>
        <w:t xml:space="preserve">SO will be in accordance with the articles of </w:t>
      </w:r>
      <w:r w:rsidR="006E2A82">
        <w:rPr>
          <w:szCs w:val="22"/>
        </w:rPr>
        <w:t xml:space="preserve">the Member State’s </w:t>
      </w:r>
      <w:r w:rsidRPr="00D123E5">
        <w:rPr>
          <w:szCs w:val="22"/>
        </w:rPr>
        <w:t xml:space="preserve">Statistics Act.  The </w:t>
      </w:r>
      <w:r w:rsidR="008A74EA">
        <w:rPr>
          <w:szCs w:val="22"/>
        </w:rPr>
        <w:t>Consulting Firm</w:t>
      </w:r>
      <w:r w:rsidRPr="00D123E5">
        <w:rPr>
          <w:szCs w:val="22"/>
        </w:rPr>
        <w:t xml:space="preserve"> will be required to sign the data confidentiality policy/oath of the </w:t>
      </w:r>
      <w:r w:rsidR="00CA58CB">
        <w:rPr>
          <w:szCs w:val="22"/>
        </w:rPr>
        <w:t>N</w:t>
      </w:r>
      <w:r w:rsidRPr="00D123E5">
        <w:rPr>
          <w:szCs w:val="22"/>
        </w:rPr>
        <w:t xml:space="preserve">SO and adhere to its terms and conditions.   </w:t>
      </w:r>
    </w:p>
    <w:p w14:paraId="55F8A91E" w14:textId="77777777" w:rsidR="00D123E5" w:rsidRPr="00D123E5" w:rsidRDefault="00D123E5" w:rsidP="007D0989">
      <w:pPr>
        <w:pStyle w:val="ListParagraph"/>
        <w:widowControl w:val="0"/>
        <w:numPr>
          <w:ilvl w:val="0"/>
          <w:numId w:val="12"/>
        </w:numPr>
        <w:spacing w:after="120"/>
        <w:jc w:val="both"/>
        <w:rPr>
          <w:szCs w:val="22"/>
        </w:rPr>
      </w:pPr>
      <w:r w:rsidRPr="00D123E5">
        <w:rPr>
          <w:szCs w:val="22"/>
        </w:rPr>
        <w:t xml:space="preserve">The </w:t>
      </w:r>
      <w:r w:rsidR="008A74EA">
        <w:rPr>
          <w:szCs w:val="22"/>
        </w:rPr>
        <w:t>Consulting Firm</w:t>
      </w:r>
      <w:r w:rsidRPr="00D123E5">
        <w:rPr>
          <w:szCs w:val="22"/>
        </w:rPr>
        <w:t xml:space="preserve"> will not be allowed to retain any of the data </w:t>
      </w:r>
      <w:r w:rsidR="00EB0028" w:rsidRPr="00D123E5">
        <w:rPr>
          <w:szCs w:val="22"/>
        </w:rPr>
        <w:t>provided by</w:t>
      </w:r>
      <w:r w:rsidRPr="00D123E5">
        <w:rPr>
          <w:szCs w:val="22"/>
        </w:rPr>
        <w:t xml:space="preserve"> the </w:t>
      </w:r>
      <w:r w:rsidR="006E2A82">
        <w:rPr>
          <w:szCs w:val="22"/>
        </w:rPr>
        <w:t>N</w:t>
      </w:r>
      <w:r w:rsidRPr="00D123E5">
        <w:rPr>
          <w:szCs w:val="22"/>
        </w:rPr>
        <w:t>SO</w:t>
      </w:r>
      <w:r w:rsidR="005D6D6A">
        <w:rPr>
          <w:szCs w:val="22"/>
        </w:rPr>
        <w:t xml:space="preserve"> during the course of the assignment</w:t>
      </w:r>
      <w:r w:rsidRPr="00D123E5">
        <w:rPr>
          <w:szCs w:val="22"/>
        </w:rPr>
        <w:t xml:space="preserve">. </w:t>
      </w:r>
    </w:p>
    <w:p w14:paraId="3F7CC622" w14:textId="77777777" w:rsidR="008B2EC7" w:rsidRDefault="00D123E5" w:rsidP="007D0989">
      <w:pPr>
        <w:pStyle w:val="ListParagraph"/>
        <w:widowControl w:val="0"/>
        <w:numPr>
          <w:ilvl w:val="0"/>
          <w:numId w:val="12"/>
        </w:numPr>
        <w:spacing w:after="120"/>
        <w:jc w:val="both"/>
        <w:rPr>
          <w:szCs w:val="22"/>
        </w:rPr>
      </w:pPr>
      <w:r w:rsidRPr="00D123E5">
        <w:rPr>
          <w:szCs w:val="22"/>
        </w:rPr>
        <w:t xml:space="preserve">All results and data from the work undertaken during this consultancy remains the property of the Government of the </w:t>
      </w:r>
      <w:r w:rsidR="006E2A82">
        <w:rPr>
          <w:szCs w:val="22"/>
        </w:rPr>
        <w:t>individual Member State</w:t>
      </w:r>
      <w:r w:rsidRPr="00D123E5">
        <w:rPr>
          <w:szCs w:val="22"/>
        </w:rPr>
        <w:t>, the OECS Commission and the Caribbean Development Bank.</w:t>
      </w:r>
    </w:p>
    <w:p w14:paraId="30C9D5DA" w14:textId="77777777" w:rsidR="00257E18" w:rsidRDefault="00257E18" w:rsidP="007D0989">
      <w:pPr>
        <w:pStyle w:val="ListParagraph"/>
        <w:widowControl w:val="0"/>
        <w:spacing w:after="120"/>
        <w:ind w:left="990"/>
        <w:jc w:val="both"/>
        <w:rPr>
          <w:szCs w:val="22"/>
        </w:rPr>
      </w:pPr>
    </w:p>
    <w:p w14:paraId="4A1DDB52" w14:textId="77777777" w:rsidR="00D123E5" w:rsidRPr="00D123E5" w:rsidRDefault="00D123E5" w:rsidP="007D0989">
      <w:pPr>
        <w:pStyle w:val="ListParagraph"/>
        <w:widowControl w:val="0"/>
        <w:spacing w:after="120"/>
        <w:ind w:left="990"/>
        <w:jc w:val="both"/>
        <w:rPr>
          <w:szCs w:val="22"/>
        </w:rPr>
      </w:pPr>
      <w:r w:rsidRPr="00D123E5">
        <w:rPr>
          <w:szCs w:val="22"/>
        </w:rPr>
        <w:t xml:space="preserve"> </w:t>
      </w:r>
    </w:p>
    <w:p w14:paraId="7673AB6F" w14:textId="77777777" w:rsidR="00D123E5" w:rsidRPr="00D123E5" w:rsidRDefault="00D123E5" w:rsidP="007D0989">
      <w:pPr>
        <w:pStyle w:val="ListParagraph"/>
        <w:numPr>
          <w:ilvl w:val="0"/>
          <w:numId w:val="7"/>
        </w:numPr>
        <w:spacing w:before="360" w:after="120"/>
        <w:ind w:left="720"/>
        <w:rPr>
          <w:b/>
          <w:szCs w:val="22"/>
        </w:rPr>
      </w:pPr>
      <w:r w:rsidRPr="00D123E5">
        <w:rPr>
          <w:b/>
          <w:szCs w:val="22"/>
        </w:rPr>
        <w:t>Qualifications and Experience</w:t>
      </w:r>
    </w:p>
    <w:p w14:paraId="4E84A893" w14:textId="77777777" w:rsidR="00AB0042" w:rsidRPr="006B4B44" w:rsidRDefault="00EB0028" w:rsidP="007D0989">
      <w:pPr>
        <w:jc w:val="both"/>
      </w:pPr>
      <w:r>
        <w:rPr>
          <w:szCs w:val="22"/>
        </w:rPr>
        <w:t>8.01</w:t>
      </w:r>
      <w:r>
        <w:rPr>
          <w:szCs w:val="22"/>
        </w:rPr>
        <w:tab/>
      </w:r>
      <w:r w:rsidR="00AB0042" w:rsidRPr="006B4B44">
        <w:t xml:space="preserve">The </w:t>
      </w:r>
      <w:r w:rsidR="00AB0042">
        <w:t xml:space="preserve">Consulting </w:t>
      </w:r>
      <w:r w:rsidR="00AB0042" w:rsidRPr="006B4B44">
        <w:t>Firm in general should have</w:t>
      </w:r>
      <w:r w:rsidR="00AB0042">
        <w:t>:</w:t>
      </w:r>
      <w:r w:rsidR="00AB0042" w:rsidRPr="006B4B44">
        <w:t xml:space="preserve"> </w:t>
      </w:r>
    </w:p>
    <w:p w14:paraId="5243F4EE" w14:textId="77777777" w:rsidR="00AB0042" w:rsidRDefault="00AB0042" w:rsidP="007D0989">
      <w:pPr>
        <w:pStyle w:val="ListParagraph"/>
        <w:numPr>
          <w:ilvl w:val="0"/>
          <w:numId w:val="14"/>
        </w:numPr>
        <w:spacing w:after="0"/>
        <w:jc w:val="both"/>
      </w:pPr>
      <w:r>
        <w:t>No less than 5 years overall consulting experience, with expertise in data analysis, social research and experience in preparing technical and analytical reports</w:t>
      </w:r>
      <w:r w:rsidR="005D6D6A">
        <w:t>; and</w:t>
      </w:r>
    </w:p>
    <w:p w14:paraId="14182D06" w14:textId="77777777" w:rsidR="00AB0042" w:rsidRDefault="002F0BF5" w:rsidP="007D0989">
      <w:pPr>
        <w:pStyle w:val="ListParagraph"/>
        <w:numPr>
          <w:ilvl w:val="0"/>
          <w:numId w:val="14"/>
        </w:numPr>
        <w:spacing w:after="0"/>
        <w:jc w:val="both"/>
      </w:pPr>
      <w:r>
        <w:t>Successfully completed a</w:t>
      </w:r>
      <w:r w:rsidR="00AB0042">
        <w:t>t least one similar assignment.</w:t>
      </w:r>
    </w:p>
    <w:p w14:paraId="7E83FB7E" w14:textId="77777777" w:rsidR="00AB0042" w:rsidRDefault="00AB0042" w:rsidP="007D0989">
      <w:pPr>
        <w:jc w:val="both"/>
        <w:rPr>
          <w:szCs w:val="22"/>
        </w:rPr>
      </w:pPr>
    </w:p>
    <w:p w14:paraId="28541972" w14:textId="77777777" w:rsidR="00AB0042" w:rsidRPr="00A21438" w:rsidRDefault="00EB0028" w:rsidP="007D0989">
      <w:pPr>
        <w:jc w:val="both"/>
        <w:rPr>
          <w:szCs w:val="22"/>
        </w:rPr>
      </w:pPr>
      <w:r>
        <w:rPr>
          <w:lang w:val="en-GB"/>
        </w:rPr>
        <w:t>8.02</w:t>
      </w:r>
      <w:r>
        <w:rPr>
          <w:lang w:val="en-GB"/>
        </w:rPr>
        <w:tab/>
      </w:r>
      <w:r w:rsidR="00AB0042" w:rsidRPr="00257477">
        <w:rPr>
          <w:lang w:val="en-GB"/>
        </w:rPr>
        <w:t>The Consulting Firm shall have experts with the following or equivalent qualifications and experience:</w:t>
      </w:r>
    </w:p>
    <w:p w14:paraId="3D60E9E1" w14:textId="77777777" w:rsidR="00A80232" w:rsidRPr="00A80232" w:rsidRDefault="00A80232" w:rsidP="007D0989">
      <w:pPr>
        <w:spacing w:after="120"/>
        <w:jc w:val="both"/>
        <w:rPr>
          <w:szCs w:val="22"/>
        </w:rPr>
      </w:pPr>
      <w:r w:rsidRPr="00A80232">
        <w:rPr>
          <w:b/>
          <w:szCs w:val="22"/>
        </w:rPr>
        <w:t xml:space="preserve">Academic qualifications and profession experience:   </w:t>
      </w:r>
    </w:p>
    <w:p w14:paraId="49F930CF" w14:textId="77777777" w:rsidR="001226DA" w:rsidRPr="00A80232" w:rsidRDefault="001226DA" w:rsidP="007D0989">
      <w:pPr>
        <w:spacing w:after="120"/>
        <w:jc w:val="both"/>
        <w:rPr>
          <w:b/>
          <w:szCs w:val="22"/>
        </w:rPr>
      </w:pPr>
      <w:r w:rsidRPr="00A80232">
        <w:rPr>
          <w:b/>
          <w:szCs w:val="22"/>
        </w:rPr>
        <w:t xml:space="preserve">Lead Consultant </w:t>
      </w:r>
    </w:p>
    <w:p w14:paraId="77D24764" w14:textId="77777777" w:rsidR="001226DA" w:rsidRDefault="001226DA" w:rsidP="007D0989">
      <w:pPr>
        <w:pStyle w:val="ListParagraph"/>
        <w:numPr>
          <w:ilvl w:val="0"/>
          <w:numId w:val="10"/>
        </w:numPr>
        <w:spacing w:after="120"/>
        <w:jc w:val="both"/>
        <w:rPr>
          <w:szCs w:val="22"/>
        </w:rPr>
      </w:pPr>
      <w:r w:rsidRPr="00D123E5">
        <w:rPr>
          <w:szCs w:val="22"/>
        </w:rPr>
        <w:t>Advanced degree from a recognised university in statistics, demography</w:t>
      </w:r>
      <w:r w:rsidR="005D6D6A">
        <w:rPr>
          <w:szCs w:val="22"/>
        </w:rPr>
        <w:t>, sociology</w:t>
      </w:r>
      <w:r w:rsidRPr="00D123E5">
        <w:rPr>
          <w:szCs w:val="22"/>
        </w:rPr>
        <w:t xml:space="preserve"> or any </w:t>
      </w:r>
      <w:r w:rsidR="00C36BFA">
        <w:rPr>
          <w:szCs w:val="22"/>
        </w:rPr>
        <w:t>s</w:t>
      </w:r>
      <w:r w:rsidRPr="00D123E5">
        <w:rPr>
          <w:szCs w:val="22"/>
        </w:rPr>
        <w:t xml:space="preserve">ocial </w:t>
      </w:r>
      <w:r w:rsidR="00C36BFA">
        <w:rPr>
          <w:szCs w:val="22"/>
        </w:rPr>
        <w:t>s</w:t>
      </w:r>
      <w:r w:rsidRPr="00D123E5">
        <w:rPr>
          <w:szCs w:val="22"/>
        </w:rPr>
        <w:t>ciences or related technical field;</w:t>
      </w:r>
    </w:p>
    <w:p w14:paraId="5909D17F" w14:textId="77777777" w:rsidR="00A32E12" w:rsidRPr="00EF7C6A" w:rsidRDefault="00A32E12" w:rsidP="007D0989">
      <w:pPr>
        <w:pStyle w:val="ListParagraph"/>
        <w:numPr>
          <w:ilvl w:val="0"/>
          <w:numId w:val="10"/>
        </w:numPr>
        <w:spacing w:after="120"/>
        <w:jc w:val="both"/>
        <w:rPr>
          <w:szCs w:val="22"/>
        </w:rPr>
      </w:pPr>
      <w:r w:rsidRPr="00D123E5">
        <w:rPr>
          <w:szCs w:val="22"/>
        </w:rPr>
        <w:t>A minimum of 5 years’ experience in</w:t>
      </w:r>
      <w:r w:rsidRPr="00AB05DD">
        <w:rPr>
          <w:szCs w:val="22"/>
        </w:rPr>
        <w:t xml:space="preserve"> analysing household surveys or censuses (e.g. Survey of Living Conditions, Househ</w:t>
      </w:r>
      <w:r w:rsidRPr="001B014D">
        <w:rPr>
          <w:szCs w:val="22"/>
        </w:rPr>
        <w:t xml:space="preserve">old Budget Survey or Household Income and Expenditure Survey, Multiple Indicator Cluster Survey, Labour Force Survey, Demographic Health </w:t>
      </w:r>
      <w:r w:rsidRPr="001B014D">
        <w:rPr>
          <w:szCs w:val="22"/>
        </w:rPr>
        <w:lastRenderedPageBreak/>
        <w:t>Survey, Population and Housing Census</w:t>
      </w:r>
      <w:r w:rsidR="00BC28EE" w:rsidRPr="001B014D">
        <w:rPr>
          <w:szCs w:val="22"/>
        </w:rPr>
        <w:t xml:space="preserve">); </w:t>
      </w:r>
      <w:r w:rsidR="00BC28EE">
        <w:rPr>
          <w:szCs w:val="22"/>
        </w:rPr>
        <w:t>Relevant</w:t>
      </w:r>
      <w:r w:rsidRPr="00A32E12">
        <w:rPr>
          <w:szCs w:val="22"/>
        </w:rPr>
        <w:t xml:space="preserve"> publication list on poverty and wellbeing </w:t>
      </w:r>
      <w:r w:rsidRPr="00EF7C6A">
        <w:rPr>
          <w:szCs w:val="22"/>
        </w:rPr>
        <w:t>would be an advantage</w:t>
      </w:r>
      <w:r w:rsidR="00BC28EE">
        <w:rPr>
          <w:szCs w:val="22"/>
        </w:rPr>
        <w:t>;</w:t>
      </w:r>
    </w:p>
    <w:p w14:paraId="68B6CCE0" w14:textId="77777777" w:rsidR="001226DA" w:rsidRDefault="00C36BFA" w:rsidP="007D0989">
      <w:pPr>
        <w:pStyle w:val="ListParagraph"/>
        <w:numPr>
          <w:ilvl w:val="0"/>
          <w:numId w:val="10"/>
        </w:numPr>
        <w:spacing w:after="120"/>
        <w:jc w:val="both"/>
        <w:rPr>
          <w:szCs w:val="22"/>
        </w:rPr>
      </w:pPr>
      <w:r>
        <w:rPr>
          <w:szCs w:val="22"/>
        </w:rPr>
        <w:t>Demonstrated t</w:t>
      </w:r>
      <w:r w:rsidR="001226DA">
        <w:rPr>
          <w:szCs w:val="22"/>
        </w:rPr>
        <w:t xml:space="preserve">horough knowledge and understanding of </w:t>
      </w:r>
      <w:r w:rsidR="001226DA" w:rsidRPr="00AB05DD">
        <w:rPr>
          <w:szCs w:val="22"/>
        </w:rPr>
        <w:t xml:space="preserve">poverty and social research, </w:t>
      </w:r>
      <w:r w:rsidR="001226DA">
        <w:rPr>
          <w:szCs w:val="22"/>
        </w:rPr>
        <w:t xml:space="preserve">including experience in </w:t>
      </w:r>
      <w:r w:rsidR="001226DA" w:rsidRPr="00AB05DD">
        <w:rPr>
          <w:szCs w:val="22"/>
        </w:rPr>
        <w:t>use and application of the Alkire Foster metho</w:t>
      </w:r>
      <w:r w:rsidR="001226DA">
        <w:rPr>
          <w:szCs w:val="22"/>
        </w:rPr>
        <w:t xml:space="preserve">d of measuring multidimensional poverty; </w:t>
      </w:r>
    </w:p>
    <w:p w14:paraId="47DEA21D" w14:textId="77777777" w:rsidR="001226DA" w:rsidRPr="0091194B" w:rsidRDefault="00C36BFA" w:rsidP="007D0989">
      <w:pPr>
        <w:pStyle w:val="ListParagraph"/>
        <w:numPr>
          <w:ilvl w:val="0"/>
          <w:numId w:val="10"/>
        </w:numPr>
        <w:spacing w:after="120"/>
        <w:jc w:val="both"/>
        <w:rPr>
          <w:szCs w:val="22"/>
        </w:rPr>
      </w:pPr>
      <w:r w:rsidRPr="0091194B">
        <w:rPr>
          <w:szCs w:val="22"/>
        </w:rPr>
        <w:t>Demonstrated t</w:t>
      </w:r>
      <w:r w:rsidR="001226DA" w:rsidRPr="0091194B">
        <w:rPr>
          <w:szCs w:val="22"/>
        </w:rPr>
        <w:t xml:space="preserve">horough understanding of gender and intersectionality with other demographic and socio-economic variables; </w:t>
      </w:r>
    </w:p>
    <w:p w14:paraId="42FE0C39" w14:textId="77777777" w:rsidR="001E5791" w:rsidRPr="00F50801" w:rsidRDefault="001E5791" w:rsidP="001E5791">
      <w:pPr>
        <w:pStyle w:val="ListParagraph"/>
        <w:numPr>
          <w:ilvl w:val="0"/>
          <w:numId w:val="10"/>
        </w:numPr>
        <w:spacing w:after="160" w:line="240" w:lineRule="auto"/>
        <w:jc w:val="both"/>
        <w:rPr>
          <w:rFonts w:eastAsia="Arial Unicode MS" w:cs="Arial Unicode MS"/>
          <w:szCs w:val="22"/>
        </w:rPr>
      </w:pPr>
      <w:r w:rsidRPr="00F50801">
        <w:rPr>
          <w:rFonts w:eastAsia="Arial Unicode MS" w:cs="Arial Unicode MS"/>
        </w:rPr>
        <w:t>Knowledge of development agenda, including Sustainable Development Goals;</w:t>
      </w:r>
    </w:p>
    <w:p w14:paraId="378AF518" w14:textId="77777777" w:rsidR="00F50801" w:rsidRDefault="00F50801" w:rsidP="00F50801">
      <w:pPr>
        <w:pStyle w:val="ListParagraph"/>
        <w:spacing w:after="120"/>
        <w:ind w:left="1350"/>
        <w:jc w:val="both"/>
        <w:rPr>
          <w:szCs w:val="22"/>
        </w:rPr>
      </w:pPr>
    </w:p>
    <w:p w14:paraId="2727D0CF" w14:textId="11926074" w:rsidR="001E5791" w:rsidRPr="00F50801" w:rsidRDefault="001226DA" w:rsidP="00F50801">
      <w:pPr>
        <w:pStyle w:val="ListParagraph"/>
        <w:numPr>
          <w:ilvl w:val="0"/>
          <w:numId w:val="10"/>
        </w:numPr>
        <w:spacing w:after="120"/>
        <w:jc w:val="both"/>
        <w:rPr>
          <w:szCs w:val="22"/>
        </w:rPr>
      </w:pPr>
      <w:r w:rsidRPr="00F50801">
        <w:rPr>
          <w:szCs w:val="22"/>
        </w:rPr>
        <w:t>Excellent written</w:t>
      </w:r>
      <w:r w:rsidR="00C36BFA" w:rsidRPr="00F50801">
        <w:rPr>
          <w:szCs w:val="22"/>
        </w:rPr>
        <w:t xml:space="preserve"> English</w:t>
      </w:r>
      <w:r w:rsidRPr="00F50801">
        <w:rPr>
          <w:szCs w:val="22"/>
        </w:rPr>
        <w:t xml:space="preserve"> communication skills and proven experience with preparing technical and analytical reports</w:t>
      </w:r>
      <w:r w:rsidR="008A74EA" w:rsidRPr="00F50801">
        <w:rPr>
          <w:szCs w:val="22"/>
        </w:rPr>
        <w:t xml:space="preserve">. </w:t>
      </w:r>
    </w:p>
    <w:p w14:paraId="4B55D912" w14:textId="05C9A542" w:rsidR="001226DA" w:rsidRPr="00D123E5" w:rsidRDefault="008B7242" w:rsidP="007D0989">
      <w:pPr>
        <w:pStyle w:val="ListParagraph"/>
        <w:numPr>
          <w:ilvl w:val="0"/>
          <w:numId w:val="10"/>
        </w:numPr>
        <w:spacing w:after="120"/>
        <w:jc w:val="both"/>
        <w:rPr>
          <w:szCs w:val="22"/>
        </w:rPr>
      </w:pPr>
      <w:r w:rsidRPr="00F50801">
        <w:rPr>
          <w:szCs w:val="22"/>
        </w:rPr>
        <w:t xml:space="preserve">A minimum </w:t>
      </w:r>
      <w:r w:rsidR="00C36BFA" w:rsidRPr="00F50801">
        <w:rPr>
          <w:szCs w:val="22"/>
        </w:rPr>
        <w:t xml:space="preserve">of eight years </w:t>
      </w:r>
      <w:r w:rsidR="001226DA" w:rsidRPr="00F50801">
        <w:rPr>
          <w:szCs w:val="22"/>
        </w:rPr>
        <w:t>knowledge and expe</w:t>
      </w:r>
      <w:r w:rsidR="001226DA" w:rsidRPr="00D123E5">
        <w:rPr>
          <w:szCs w:val="22"/>
        </w:rPr>
        <w:t>rience with spreadsheets and data processing and data analysis software (including statistical applications such as SPSS, STATA);</w:t>
      </w:r>
    </w:p>
    <w:p w14:paraId="37755A56" w14:textId="77777777" w:rsidR="001226DA" w:rsidRPr="00D123E5" w:rsidRDefault="001226DA" w:rsidP="007D0989">
      <w:pPr>
        <w:pStyle w:val="ListParagraph"/>
        <w:numPr>
          <w:ilvl w:val="0"/>
          <w:numId w:val="10"/>
        </w:numPr>
        <w:spacing w:after="120"/>
        <w:jc w:val="both"/>
        <w:rPr>
          <w:szCs w:val="22"/>
        </w:rPr>
      </w:pPr>
      <w:r w:rsidRPr="00D123E5">
        <w:rPr>
          <w:szCs w:val="22"/>
        </w:rPr>
        <w:t>Excellent presentation skills including the ability to present technical materials to a mixed audience in a very clear and concise manner;</w:t>
      </w:r>
    </w:p>
    <w:p w14:paraId="2C176411" w14:textId="77777777" w:rsidR="002F0BF5" w:rsidRPr="002F0BF5" w:rsidRDefault="002F0BF5" w:rsidP="007D0989">
      <w:pPr>
        <w:pStyle w:val="ListParagraph"/>
        <w:numPr>
          <w:ilvl w:val="0"/>
          <w:numId w:val="10"/>
        </w:numPr>
        <w:spacing w:after="120"/>
        <w:jc w:val="both"/>
        <w:rPr>
          <w:szCs w:val="22"/>
        </w:rPr>
      </w:pPr>
      <w:bookmarkStart w:id="2" w:name="_Hlk486255098"/>
      <w:r>
        <w:rPr>
          <w:bCs/>
          <w:iCs/>
          <w:lang w:val="en-GB"/>
        </w:rPr>
        <w:t>Demonstrated competencies in</w:t>
      </w:r>
      <w:r w:rsidRPr="002F0BF5">
        <w:rPr>
          <w:szCs w:val="22"/>
        </w:rPr>
        <w:t xml:space="preserve"> Microsoft Office (Excel, PowerPoint, etc.) and or</w:t>
      </w:r>
      <w:r>
        <w:rPr>
          <w:szCs w:val="22"/>
        </w:rPr>
        <w:t xml:space="preserve"> equivalent software programmes </w:t>
      </w:r>
    </w:p>
    <w:bookmarkEnd w:id="2"/>
    <w:p w14:paraId="5C3A26B1" w14:textId="77777777" w:rsidR="00F50801" w:rsidRDefault="00F50801" w:rsidP="007D0989">
      <w:pPr>
        <w:spacing w:after="120"/>
        <w:jc w:val="both"/>
        <w:rPr>
          <w:b/>
          <w:szCs w:val="22"/>
        </w:rPr>
      </w:pPr>
    </w:p>
    <w:p w14:paraId="05F3831C" w14:textId="77777777" w:rsidR="00F50801" w:rsidRDefault="00F50801" w:rsidP="007D0989">
      <w:pPr>
        <w:spacing w:after="120"/>
        <w:jc w:val="both"/>
        <w:rPr>
          <w:b/>
          <w:szCs w:val="22"/>
        </w:rPr>
      </w:pPr>
    </w:p>
    <w:p w14:paraId="257A2399" w14:textId="77777777" w:rsidR="00F50801" w:rsidRDefault="00F50801" w:rsidP="007D0989">
      <w:pPr>
        <w:spacing w:after="120"/>
        <w:jc w:val="both"/>
        <w:rPr>
          <w:b/>
          <w:szCs w:val="22"/>
        </w:rPr>
      </w:pPr>
    </w:p>
    <w:p w14:paraId="3879776F" w14:textId="69F98BEE" w:rsidR="001226DA" w:rsidRPr="00A80232" w:rsidRDefault="001226DA" w:rsidP="007D0989">
      <w:pPr>
        <w:spacing w:after="120"/>
        <w:jc w:val="both"/>
        <w:rPr>
          <w:b/>
          <w:szCs w:val="22"/>
        </w:rPr>
      </w:pPr>
      <w:r w:rsidRPr="00A80232">
        <w:rPr>
          <w:b/>
          <w:szCs w:val="22"/>
        </w:rPr>
        <w:t xml:space="preserve">Analyst/ Statistician </w:t>
      </w:r>
    </w:p>
    <w:p w14:paraId="26E7C135" w14:textId="77777777" w:rsidR="001226DA" w:rsidRPr="001742A5" w:rsidRDefault="001226DA" w:rsidP="007D0989">
      <w:pPr>
        <w:pStyle w:val="ListParagraph"/>
        <w:numPr>
          <w:ilvl w:val="0"/>
          <w:numId w:val="10"/>
        </w:numPr>
        <w:spacing w:after="120"/>
        <w:jc w:val="both"/>
        <w:rPr>
          <w:szCs w:val="22"/>
        </w:rPr>
      </w:pPr>
      <w:r w:rsidRPr="001742A5">
        <w:rPr>
          <w:szCs w:val="22"/>
        </w:rPr>
        <w:t xml:space="preserve">Advanced degree from a recognised university in statistics, or any </w:t>
      </w:r>
      <w:r w:rsidR="000E078D">
        <w:rPr>
          <w:szCs w:val="22"/>
        </w:rPr>
        <w:t>s</w:t>
      </w:r>
      <w:r w:rsidRPr="001742A5">
        <w:rPr>
          <w:szCs w:val="22"/>
        </w:rPr>
        <w:t xml:space="preserve">ocial </w:t>
      </w:r>
      <w:r w:rsidR="000E078D">
        <w:rPr>
          <w:szCs w:val="22"/>
        </w:rPr>
        <w:t>s</w:t>
      </w:r>
      <w:r w:rsidRPr="001742A5">
        <w:rPr>
          <w:szCs w:val="22"/>
        </w:rPr>
        <w:t xml:space="preserve">ciences with capacity to </w:t>
      </w:r>
      <w:r w:rsidR="00257E18">
        <w:rPr>
          <w:szCs w:val="22"/>
        </w:rPr>
        <w:t>undertake</w:t>
      </w:r>
      <w:r w:rsidRPr="001742A5">
        <w:rPr>
          <w:szCs w:val="22"/>
        </w:rPr>
        <w:t xml:space="preserve"> </w:t>
      </w:r>
      <w:r>
        <w:rPr>
          <w:szCs w:val="22"/>
        </w:rPr>
        <w:t>analyses</w:t>
      </w:r>
      <w:r w:rsidRPr="001742A5">
        <w:rPr>
          <w:szCs w:val="22"/>
        </w:rPr>
        <w:t xml:space="preserve"> with commonly used statistical software such as SPSS, </w:t>
      </w:r>
      <w:r>
        <w:rPr>
          <w:szCs w:val="22"/>
        </w:rPr>
        <w:t xml:space="preserve">STATA, </w:t>
      </w:r>
      <w:r w:rsidRPr="001742A5">
        <w:rPr>
          <w:szCs w:val="22"/>
        </w:rPr>
        <w:t>CSPro</w:t>
      </w:r>
      <w:r w:rsidR="00BC28EE">
        <w:rPr>
          <w:szCs w:val="22"/>
        </w:rPr>
        <w:t>;</w:t>
      </w:r>
    </w:p>
    <w:p w14:paraId="23EBC69A" w14:textId="77777777" w:rsidR="001226DA" w:rsidRDefault="001226DA" w:rsidP="007D0989">
      <w:pPr>
        <w:pStyle w:val="ListParagraph"/>
        <w:numPr>
          <w:ilvl w:val="0"/>
          <w:numId w:val="10"/>
        </w:numPr>
        <w:spacing w:after="120"/>
        <w:jc w:val="both"/>
        <w:rPr>
          <w:szCs w:val="22"/>
        </w:rPr>
      </w:pPr>
      <w:r>
        <w:rPr>
          <w:szCs w:val="22"/>
        </w:rPr>
        <w:t>A</w:t>
      </w:r>
      <w:r w:rsidRPr="001742A5">
        <w:rPr>
          <w:szCs w:val="22"/>
        </w:rPr>
        <w:t xml:space="preserve"> minimum of </w:t>
      </w:r>
      <w:r>
        <w:rPr>
          <w:szCs w:val="22"/>
        </w:rPr>
        <w:t xml:space="preserve">5 </w:t>
      </w:r>
      <w:r w:rsidRPr="001742A5">
        <w:rPr>
          <w:szCs w:val="22"/>
        </w:rPr>
        <w:t xml:space="preserve">years’ experience in analysing household surveys or censuses </w:t>
      </w:r>
      <w:r w:rsidRPr="00480A66">
        <w:rPr>
          <w:szCs w:val="22"/>
        </w:rPr>
        <w:t xml:space="preserve">and developing </w:t>
      </w:r>
      <w:r>
        <w:rPr>
          <w:szCs w:val="22"/>
        </w:rPr>
        <w:t>relevant</w:t>
      </w:r>
      <w:r w:rsidRPr="00480A66">
        <w:rPr>
          <w:szCs w:val="22"/>
        </w:rPr>
        <w:t xml:space="preserve"> recommendations based on the observations</w:t>
      </w:r>
      <w:r w:rsidR="00BC28EE">
        <w:rPr>
          <w:szCs w:val="22"/>
        </w:rPr>
        <w:t>;</w:t>
      </w:r>
      <w:r w:rsidRPr="00480A66">
        <w:rPr>
          <w:szCs w:val="22"/>
        </w:rPr>
        <w:t xml:space="preserve"> </w:t>
      </w:r>
    </w:p>
    <w:p w14:paraId="272ECC33" w14:textId="5D59DB19" w:rsidR="001226DA" w:rsidRDefault="00A80232" w:rsidP="007D0989">
      <w:pPr>
        <w:pStyle w:val="ListParagraph"/>
        <w:numPr>
          <w:ilvl w:val="0"/>
          <w:numId w:val="10"/>
        </w:numPr>
        <w:spacing w:after="120"/>
        <w:jc w:val="both"/>
        <w:rPr>
          <w:szCs w:val="22"/>
        </w:rPr>
      </w:pPr>
      <w:r>
        <w:rPr>
          <w:szCs w:val="22"/>
        </w:rPr>
        <w:t>K</w:t>
      </w:r>
      <w:r w:rsidR="001226DA">
        <w:rPr>
          <w:szCs w:val="22"/>
        </w:rPr>
        <w:t xml:space="preserve">nowledge and understanding of </w:t>
      </w:r>
      <w:r w:rsidR="001226DA" w:rsidRPr="00AB05DD">
        <w:rPr>
          <w:szCs w:val="22"/>
        </w:rPr>
        <w:t xml:space="preserve">poverty and social research, </w:t>
      </w:r>
      <w:r w:rsidR="001226DA">
        <w:rPr>
          <w:szCs w:val="22"/>
        </w:rPr>
        <w:t xml:space="preserve">including experience </w:t>
      </w:r>
      <w:r>
        <w:rPr>
          <w:szCs w:val="22"/>
        </w:rPr>
        <w:t>with performing quantitative analyses of Surveys of Living Conditions</w:t>
      </w:r>
      <w:r w:rsidR="007B170C">
        <w:rPr>
          <w:szCs w:val="22"/>
        </w:rPr>
        <w:t xml:space="preserve"> or other household surveys</w:t>
      </w:r>
      <w:r w:rsidR="00BC28EE">
        <w:rPr>
          <w:szCs w:val="22"/>
        </w:rPr>
        <w:t>;</w:t>
      </w:r>
      <w:r>
        <w:rPr>
          <w:szCs w:val="22"/>
        </w:rPr>
        <w:t xml:space="preserve"> </w:t>
      </w:r>
    </w:p>
    <w:p w14:paraId="495C9A97" w14:textId="77777777" w:rsidR="001226DA" w:rsidRPr="00AB05DD" w:rsidRDefault="00C36BFA" w:rsidP="007D0989">
      <w:pPr>
        <w:pStyle w:val="ListParagraph"/>
        <w:numPr>
          <w:ilvl w:val="0"/>
          <w:numId w:val="10"/>
        </w:numPr>
        <w:spacing w:after="120"/>
        <w:jc w:val="both"/>
        <w:rPr>
          <w:szCs w:val="22"/>
        </w:rPr>
      </w:pPr>
      <w:r>
        <w:rPr>
          <w:szCs w:val="22"/>
        </w:rPr>
        <w:t>Demonstrated t</w:t>
      </w:r>
      <w:r w:rsidR="001226DA">
        <w:rPr>
          <w:szCs w:val="22"/>
        </w:rPr>
        <w:t xml:space="preserve">horough understanding of gender and intersectionality with other demographic and socio-economic variables; </w:t>
      </w:r>
    </w:p>
    <w:p w14:paraId="67CFD067" w14:textId="6B2AE2C6" w:rsidR="0091194B" w:rsidRDefault="007B170C" w:rsidP="0091194B">
      <w:pPr>
        <w:pStyle w:val="ListParagraph"/>
        <w:numPr>
          <w:ilvl w:val="0"/>
          <w:numId w:val="10"/>
        </w:numPr>
        <w:spacing w:after="120"/>
        <w:jc w:val="both"/>
        <w:rPr>
          <w:szCs w:val="22"/>
        </w:rPr>
      </w:pPr>
      <w:bookmarkStart w:id="3" w:name="_Hlk19004025"/>
      <w:r>
        <w:rPr>
          <w:bCs/>
          <w:iCs/>
          <w:lang w:val="en-GB"/>
        </w:rPr>
        <w:t xml:space="preserve">Demonstrated experience in </w:t>
      </w:r>
      <w:r w:rsidR="00385A3E" w:rsidRPr="00D757DE">
        <w:rPr>
          <w:bCs/>
          <w:iCs/>
          <w:lang w:val="en-GB"/>
        </w:rPr>
        <w:t>report writing, editing, conceptual, analytical and communication skills</w:t>
      </w:r>
      <w:r w:rsidR="00385A3E">
        <w:rPr>
          <w:bCs/>
          <w:iCs/>
          <w:lang w:val="en-GB"/>
        </w:rPr>
        <w:t xml:space="preserve">, </w:t>
      </w:r>
      <w:r w:rsidR="00385A3E" w:rsidRPr="00480A66">
        <w:rPr>
          <w:szCs w:val="22"/>
        </w:rPr>
        <w:t>preferably demonstrated</w:t>
      </w:r>
      <w:r w:rsidR="00385A3E">
        <w:rPr>
          <w:szCs w:val="22"/>
        </w:rPr>
        <w:t xml:space="preserve"> by publications</w:t>
      </w:r>
      <w:r w:rsidR="00257E18">
        <w:rPr>
          <w:szCs w:val="22"/>
        </w:rPr>
        <w:t>;</w:t>
      </w:r>
      <w:r w:rsidR="0091194B">
        <w:rPr>
          <w:szCs w:val="22"/>
        </w:rPr>
        <w:t xml:space="preserve"> and </w:t>
      </w:r>
    </w:p>
    <w:bookmarkEnd w:id="3"/>
    <w:p w14:paraId="4AF4A00C" w14:textId="4CFB82A5" w:rsidR="000E078D" w:rsidRPr="0091194B" w:rsidRDefault="002F0BF5" w:rsidP="0091194B">
      <w:pPr>
        <w:pStyle w:val="ListParagraph"/>
        <w:numPr>
          <w:ilvl w:val="0"/>
          <w:numId w:val="10"/>
        </w:numPr>
        <w:spacing w:after="120"/>
        <w:jc w:val="both"/>
        <w:rPr>
          <w:szCs w:val="22"/>
        </w:rPr>
      </w:pPr>
      <w:r w:rsidRPr="0091194B">
        <w:rPr>
          <w:bCs/>
          <w:iCs/>
          <w:lang w:val="en-GB"/>
        </w:rPr>
        <w:t>Demonstrated competencies in</w:t>
      </w:r>
      <w:r w:rsidRPr="0091194B">
        <w:rPr>
          <w:szCs w:val="22"/>
        </w:rPr>
        <w:t xml:space="preserve"> Microsoft Office (Excel, PowerPoint, etc.) and or equivalent software programmes</w:t>
      </w:r>
      <w:r w:rsidR="00257E18" w:rsidRPr="0091194B">
        <w:rPr>
          <w:szCs w:val="22"/>
        </w:rPr>
        <w:t>.</w:t>
      </w:r>
      <w:r w:rsidRPr="0091194B">
        <w:rPr>
          <w:szCs w:val="22"/>
        </w:rPr>
        <w:t xml:space="preserve"> </w:t>
      </w:r>
    </w:p>
    <w:p w14:paraId="25ACB90D" w14:textId="77777777" w:rsidR="00DB1C39" w:rsidRDefault="00DB1C39">
      <w:pPr>
        <w:spacing w:after="160" w:line="259" w:lineRule="auto"/>
        <w:rPr>
          <w:szCs w:val="22"/>
        </w:rPr>
      </w:pPr>
      <w:r>
        <w:rPr>
          <w:szCs w:val="22"/>
        </w:rPr>
        <w:br w:type="page"/>
      </w:r>
    </w:p>
    <w:p w14:paraId="6E43EADB" w14:textId="77777777" w:rsidR="009B42B2" w:rsidRPr="00471BB5" w:rsidRDefault="00DB1C39" w:rsidP="00471BB5">
      <w:pPr>
        <w:autoSpaceDE w:val="0"/>
        <w:autoSpaceDN w:val="0"/>
        <w:adjustRightInd w:val="0"/>
        <w:spacing w:after="120"/>
        <w:jc w:val="center"/>
        <w:rPr>
          <w:b/>
          <w:bCs/>
          <w:szCs w:val="22"/>
        </w:rPr>
      </w:pPr>
      <w:r w:rsidRPr="00471BB5">
        <w:rPr>
          <w:b/>
          <w:bCs/>
          <w:szCs w:val="22"/>
        </w:rPr>
        <w:lastRenderedPageBreak/>
        <w:t>Annex One</w:t>
      </w:r>
    </w:p>
    <w:p w14:paraId="3E95CA2C" w14:textId="77777777" w:rsidR="00DB1C39" w:rsidRPr="00471BB5" w:rsidRDefault="00DB1C39" w:rsidP="00471BB5">
      <w:pPr>
        <w:autoSpaceDE w:val="0"/>
        <w:autoSpaceDN w:val="0"/>
        <w:adjustRightInd w:val="0"/>
        <w:spacing w:after="120"/>
        <w:jc w:val="center"/>
        <w:rPr>
          <w:b/>
          <w:bCs/>
          <w:szCs w:val="22"/>
        </w:rPr>
      </w:pPr>
      <w:r w:rsidRPr="00471BB5">
        <w:rPr>
          <w:b/>
          <w:bCs/>
          <w:szCs w:val="22"/>
        </w:rPr>
        <w:t>Report Structure</w:t>
      </w:r>
    </w:p>
    <w:p w14:paraId="1379C225" w14:textId="77777777" w:rsidR="00471BB5" w:rsidRPr="00471BB5" w:rsidRDefault="00471BB5" w:rsidP="00471BB5">
      <w:pPr>
        <w:autoSpaceDE w:val="0"/>
        <w:autoSpaceDN w:val="0"/>
        <w:adjustRightInd w:val="0"/>
        <w:spacing w:after="120"/>
        <w:jc w:val="both"/>
        <w:rPr>
          <w:szCs w:val="22"/>
        </w:rPr>
      </w:pPr>
      <w:r w:rsidRPr="00471BB5">
        <w:rPr>
          <w:szCs w:val="22"/>
        </w:rPr>
        <w:t>The following is the proposed table of contents for the report on the Survey of Living Conditions and Household Budget.  This structure was developed by Kairi Consultants and is contained in the Toolbox</w:t>
      </w:r>
      <w:r w:rsidR="00037533">
        <w:rPr>
          <w:rStyle w:val="FootnoteReference"/>
          <w:szCs w:val="22"/>
        </w:rPr>
        <w:footnoteReference w:id="4"/>
      </w:r>
      <w:r w:rsidRPr="00471BB5">
        <w:rPr>
          <w:szCs w:val="22"/>
        </w:rPr>
        <w:t xml:space="preserve"> developed by the firm to support implementation of the components of the Enhanced CPA. </w:t>
      </w:r>
    </w:p>
    <w:p w14:paraId="4119B5D8" w14:textId="77777777" w:rsidR="00471BB5" w:rsidRPr="00471BB5" w:rsidRDefault="00471BB5" w:rsidP="00471BB5">
      <w:pPr>
        <w:autoSpaceDE w:val="0"/>
        <w:autoSpaceDN w:val="0"/>
        <w:adjustRightInd w:val="0"/>
        <w:spacing w:after="120"/>
        <w:jc w:val="center"/>
        <w:rPr>
          <w:b/>
          <w:bCs/>
          <w:szCs w:val="22"/>
        </w:rPr>
      </w:pPr>
    </w:p>
    <w:tbl>
      <w:tblPr>
        <w:tblStyle w:val="TableGrid"/>
        <w:tblW w:w="0" w:type="auto"/>
        <w:tblLook w:val="04A0" w:firstRow="1" w:lastRow="0" w:firstColumn="1" w:lastColumn="0" w:noHBand="0" w:noVBand="1"/>
      </w:tblPr>
      <w:tblGrid>
        <w:gridCol w:w="4675"/>
        <w:gridCol w:w="4675"/>
      </w:tblGrid>
      <w:tr w:rsidR="00DB1C39" w:rsidRPr="00DB1C39" w14:paraId="1A9D97E1" w14:textId="77777777" w:rsidTr="00DB1C39">
        <w:trPr>
          <w:tblHeader/>
        </w:trPr>
        <w:tc>
          <w:tcPr>
            <w:tcW w:w="4675" w:type="dxa"/>
          </w:tcPr>
          <w:p w14:paraId="12620659" w14:textId="77777777" w:rsidR="00DB1C39" w:rsidRPr="00F36CC8" w:rsidRDefault="00DB1C39" w:rsidP="007D0989">
            <w:pPr>
              <w:autoSpaceDE w:val="0"/>
              <w:autoSpaceDN w:val="0"/>
              <w:adjustRightInd w:val="0"/>
              <w:jc w:val="both"/>
              <w:rPr>
                <w:b/>
                <w:bCs/>
                <w:sz w:val="22"/>
                <w:szCs w:val="22"/>
              </w:rPr>
            </w:pPr>
            <w:r w:rsidRPr="00F36CC8">
              <w:rPr>
                <w:b/>
                <w:bCs/>
                <w:sz w:val="22"/>
                <w:szCs w:val="22"/>
              </w:rPr>
              <w:t>Chapters</w:t>
            </w:r>
          </w:p>
        </w:tc>
        <w:tc>
          <w:tcPr>
            <w:tcW w:w="4675" w:type="dxa"/>
          </w:tcPr>
          <w:p w14:paraId="559A46DE" w14:textId="77777777" w:rsidR="00DB1C39" w:rsidRPr="00F36CC8" w:rsidRDefault="00DB1C39" w:rsidP="007D0989">
            <w:pPr>
              <w:autoSpaceDE w:val="0"/>
              <w:autoSpaceDN w:val="0"/>
              <w:adjustRightInd w:val="0"/>
              <w:jc w:val="both"/>
              <w:rPr>
                <w:b/>
                <w:bCs/>
                <w:sz w:val="22"/>
                <w:szCs w:val="22"/>
              </w:rPr>
            </w:pPr>
            <w:r w:rsidRPr="00F36CC8">
              <w:rPr>
                <w:b/>
                <w:bCs/>
                <w:sz w:val="22"/>
                <w:szCs w:val="22"/>
              </w:rPr>
              <w:t>Sections</w:t>
            </w:r>
          </w:p>
        </w:tc>
      </w:tr>
      <w:tr w:rsidR="00DB1C39" w14:paraId="6B108A81" w14:textId="77777777" w:rsidTr="005551F4">
        <w:tc>
          <w:tcPr>
            <w:tcW w:w="9350" w:type="dxa"/>
            <w:gridSpan w:val="2"/>
          </w:tcPr>
          <w:p w14:paraId="2AD8556D" w14:textId="77777777" w:rsidR="00DB1C39" w:rsidRPr="00F36CC8" w:rsidRDefault="00DB1C39" w:rsidP="00DB1C39">
            <w:pPr>
              <w:autoSpaceDE w:val="0"/>
              <w:autoSpaceDN w:val="0"/>
              <w:adjustRightInd w:val="0"/>
              <w:spacing w:after="0" w:line="240" w:lineRule="auto"/>
              <w:jc w:val="both"/>
              <w:rPr>
                <w:b/>
                <w:bCs/>
                <w:sz w:val="22"/>
                <w:szCs w:val="22"/>
              </w:rPr>
            </w:pPr>
            <w:r w:rsidRPr="00F36CC8">
              <w:rPr>
                <w:b/>
                <w:bCs/>
                <w:sz w:val="22"/>
                <w:szCs w:val="22"/>
              </w:rPr>
              <w:t xml:space="preserve">Front Cover </w:t>
            </w:r>
          </w:p>
          <w:p w14:paraId="48520366" w14:textId="77777777" w:rsidR="00DB1C39" w:rsidRPr="00F36CC8" w:rsidRDefault="00DB1C39" w:rsidP="00DB1C39">
            <w:pPr>
              <w:autoSpaceDE w:val="0"/>
              <w:autoSpaceDN w:val="0"/>
              <w:adjustRightInd w:val="0"/>
              <w:spacing w:after="0" w:line="240" w:lineRule="auto"/>
              <w:jc w:val="both"/>
              <w:rPr>
                <w:b/>
                <w:bCs/>
                <w:sz w:val="22"/>
                <w:szCs w:val="22"/>
              </w:rPr>
            </w:pPr>
            <w:r w:rsidRPr="00F36CC8">
              <w:rPr>
                <w:b/>
                <w:bCs/>
                <w:sz w:val="22"/>
                <w:szCs w:val="22"/>
              </w:rPr>
              <w:t xml:space="preserve">Table of Contents </w:t>
            </w:r>
          </w:p>
          <w:p w14:paraId="0D5940DE" w14:textId="77777777" w:rsidR="00DB1C39" w:rsidRPr="00F36CC8" w:rsidRDefault="00DB1C39" w:rsidP="00DB1C39">
            <w:pPr>
              <w:autoSpaceDE w:val="0"/>
              <w:autoSpaceDN w:val="0"/>
              <w:adjustRightInd w:val="0"/>
              <w:spacing w:after="0" w:line="240" w:lineRule="auto"/>
              <w:jc w:val="both"/>
              <w:rPr>
                <w:b/>
                <w:bCs/>
                <w:sz w:val="22"/>
                <w:szCs w:val="22"/>
              </w:rPr>
            </w:pPr>
            <w:r w:rsidRPr="00F36CC8">
              <w:rPr>
                <w:b/>
                <w:bCs/>
                <w:sz w:val="22"/>
                <w:szCs w:val="22"/>
              </w:rPr>
              <w:t>Acronyms and Abbreviations</w:t>
            </w:r>
          </w:p>
          <w:p w14:paraId="341A2BD6" w14:textId="77777777" w:rsidR="00DB1C39" w:rsidRPr="00F36CC8" w:rsidRDefault="00DB1C39" w:rsidP="00DB1C39">
            <w:pPr>
              <w:autoSpaceDE w:val="0"/>
              <w:autoSpaceDN w:val="0"/>
              <w:adjustRightInd w:val="0"/>
              <w:spacing w:after="0" w:line="240" w:lineRule="auto"/>
              <w:jc w:val="both"/>
              <w:rPr>
                <w:b/>
                <w:bCs/>
                <w:sz w:val="22"/>
                <w:szCs w:val="22"/>
              </w:rPr>
            </w:pPr>
            <w:r w:rsidRPr="00F36CC8">
              <w:rPr>
                <w:b/>
                <w:bCs/>
                <w:sz w:val="22"/>
                <w:szCs w:val="22"/>
              </w:rPr>
              <w:t>Executive Summary</w:t>
            </w:r>
          </w:p>
        </w:tc>
      </w:tr>
      <w:tr w:rsidR="00DB1C39" w14:paraId="4991721B" w14:textId="77777777" w:rsidTr="00DB1C39">
        <w:tc>
          <w:tcPr>
            <w:tcW w:w="4675" w:type="dxa"/>
          </w:tcPr>
          <w:p w14:paraId="749E67ED" w14:textId="77777777" w:rsidR="00DB1C39" w:rsidRPr="00F36CC8" w:rsidRDefault="00DB1C39" w:rsidP="007D0989">
            <w:pPr>
              <w:autoSpaceDE w:val="0"/>
              <w:autoSpaceDN w:val="0"/>
              <w:adjustRightInd w:val="0"/>
              <w:jc w:val="both"/>
              <w:rPr>
                <w:b/>
                <w:bCs/>
                <w:sz w:val="22"/>
                <w:szCs w:val="22"/>
              </w:rPr>
            </w:pPr>
            <w:r w:rsidRPr="00F36CC8">
              <w:rPr>
                <w:b/>
                <w:bCs/>
                <w:sz w:val="22"/>
                <w:szCs w:val="22"/>
              </w:rPr>
              <w:t>Chapter 1 Introduction</w:t>
            </w:r>
          </w:p>
        </w:tc>
        <w:tc>
          <w:tcPr>
            <w:tcW w:w="4675" w:type="dxa"/>
          </w:tcPr>
          <w:p w14:paraId="7C05F30B"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 xml:space="preserve">1.1 Background and objectives </w:t>
            </w:r>
          </w:p>
          <w:p w14:paraId="0B49E84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1.2 Terms of reference</w:t>
            </w:r>
          </w:p>
          <w:p w14:paraId="2D5FD7D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 xml:space="preserve">1.3 Limitations and constraints </w:t>
            </w:r>
          </w:p>
          <w:p w14:paraId="50E70401"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1.4 Structure of the Report</w:t>
            </w:r>
          </w:p>
        </w:tc>
      </w:tr>
      <w:tr w:rsidR="00DB1C39" w14:paraId="10A34EA0" w14:textId="77777777" w:rsidTr="00DB1C39">
        <w:tc>
          <w:tcPr>
            <w:tcW w:w="4675" w:type="dxa"/>
          </w:tcPr>
          <w:p w14:paraId="6BD3442E" w14:textId="77777777" w:rsidR="00DB1C39" w:rsidRPr="00F36CC8" w:rsidRDefault="00DB1C39" w:rsidP="007D0989">
            <w:pPr>
              <w:autoSpaceDE w:val="0"/>
              <w:autoSpaceDN w:val="0"/>
              <w:adjustRightInd w:val="0"/>
              <w:jc w:val="both"/>
              <w:rPr>
                <w:b/>
                <w:bCs/>
                <w:sz w:val="22"/>
                <w:szCs w:val="22"/>
              </w:rPr>
            </w:pPr>
            <w:r w:rsidRPr="00F36CC8">
              <w:rPr>
                <w:b/>
                <w:bCs/>
                <w:sz w:val="22"/>
                <w:szCs w:val="22"/>
              </w:rPr>
              <w:t>Chapter 2 Macro Socioeconomic Context</w:t>
            </w:r>
          </w:p>
        </w:tc>
        <w:tc>
          <w:tcPr>
            <w:tcW w:w="4675" w:type="dxa"/>
          </w:tcPr>
          <w:p w14:paraId="22EB98C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2.1 Economic performance</w:t>
            </w:r>
          </w:p>
          <w:p w14:paraId="43505B03"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2.1.1 International context</w:t>
            </w:r>
          </w:p>
          <w:p w14:paraId="7CC06AB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2.1.2 Regional context</w:t>
            </w:r>
          </w:p>
          <w:p w14:paraId="7CC9D1A7"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2.1.3 Domestic context</w:t>
            </w:r>
          </w:p>
          <w:p w14:paraId="657CED46"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2.2 Fiscal operations</w:t>
            </w:r>
          </w:p>
          <w:p w14:paraId="04A78F2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2.3 Trade agreements and other treaties</w:t>
            </w:r>
          </w:p>
          <w:p w14:paraId="2B2B237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2.4 Governance structures</w:t>
            </w:r>
          </w:p>
          <w:p w14:paraId="30FC0F01"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2.5 Social context</w:t>
            </w:r>
          </w:p>
          <w:p w14:paraId="50D8687D"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2.6 Legal framework/ international accords/ social</w:t>
            </w:r>
          </w:p>
          <w:p w14:paraId="192D560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justice and human rights</w:t>
            </w:r>
          </w:p>
          <w:p w14:paraId="7B4B3E5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2.7 Conclusion and policy implications</w:t>
            </w:r>
          </w:p>
        </w:tc>
      </w:tr>
      <w:tr w:rsidR="00DB1C39" w14:paraId="6578314C" w14:textId="77777777" w:rsidTr="00DB1C39">
        <w:tc>
          <w:tcPr>
            <w:tcW w:w="4675" w:type="dxa"/>
          </w:tcPr>
          <w:p w14:paraId="640BFA75" w14:textId="77777777" w:rsidR="00DB1C39" w:rsidRPr="00F36CC8" w:rsidRDefault="00DB1C39" w:rsidP="007D0989">
            <w:pPr>
              <w:autoSpaceDE w:val="0"/>
              <w:autoSpaceDN w:val="0"/>
              <w:adjustRightInd w:val="0"/>
              <w:jc w:val="both"/>
              <w:rPr>
                <w:b/>
                <w:bCs/>
                <w:sz w:val="22"/>
                <w:szCs w:val="22"/>
              </w:rPr>
            </w:pPr>
            <w:r w:rsidRPr="00F36CC8">
              <w:rPr>
                <w:b/>
                <w:bCs/>
                <w:sz w:val="22"/>
                <w:szCs w:val="22"/>
              </w:rPr>
              <w:t>Chapter 3 Methodology</w:t>
            </w:r>
          </w:p>
        </w:tc>
        <w:tc>
          <w:tcPr>
            <w:tcW w:w="4675" w:type="dxa"/>
          </w:tcPr>
          <w:p w14:paraId="3A944C6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3.1 Survey of Living Conditions and Household Budget</w:t>
            </w:r>
          </w:p>
          <w:p w14:paraId="66439C2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3.2 Defining poverty</w:t>
            </w:r>
          </w:p>
          <w:p w14:paraId="4AC964D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3.3 Constructing the poverty line</w:t>
            </w:r>
          </w:p>
          <w:p w14:paraId="2B2F9269"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3.4 Age specific adult equivalence</w:t>
            </w:r>
          </w:p>
          <w:p w14:paraId="5B107FFD"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3.5 International poverty line</w:t>
            </w:r>
          </w:p>
          <w:p w14:paraId="230AEF71"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3.6 Computing key poverty indicators</w:t>
            </w:r>
          </w:p>
          <w:p w14:paraId="7590966B"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3.6.1 Poverty gap and severity index</w:t>
            </w:r>
          </w:p>
          <w:p w14:paraId="46E774F1"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3.6.2 Inequality index</w:t>
            </w:r>
          </w:p>
          <w:p w14:paraId="387E14F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3.7 Constructing the multidimensional poverty index</w:t>
            </w:r>
          </w:p>
          <w:p w14:paraId="57F6681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3.7.1 Education</w:t>
            </w:r>
          </w:p>
          <w:p w14:paraId="23054FCB"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3.7.2 Labour</w:t>
            </w:r>
          </w:p>
          <w:p w14:paraId="1DD2F31E"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3.7.3 Health</w:t>
            </w:r>
          </w:p>
          <w:p w14:paraId="40C58D9B"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3.7.4 Living Standards</w:t>
            </w:r>
          </w:p>
          <w:p w14:paraId="75D646A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3.7.5 Environment</w:t>
            </w:r>
          </w:p>
          <w:p w14:paraId="386067BB"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3.7.6 Disaster and climate change vulnerability</w:t>
            </w:r>
          </w:p>
        </w:tc>
      </w:tr>
      <w:tr w:rsidR="00DB1C39" w14:paraId="185F8DA1" w14:textId="77777777" w:rsidTr="00DB1C39">
        <w:tc>
          <w:tcPr>
            <w:tcW w:w="4675" w:type="dxa"/>
          </w:tcPr>
          <w:p w14:paraId="4F080B92" w14:textId="77777777" w:rsidR="00DB1C39" w:rsidRPr="00F36CC8" w:rsidRDefault="00DB1C39" w:rsidP="007D0989">
            <w:pPr>
              <w:autoSpaceDE w:val="0"/>
              <w:autoSpaceDN w:val="0"/>
              <w:adjustRightInd w:val="0"/>
              <w:jc w:val="both"/>
              <w:rPr>
                <w:b/>
                <w:bCs/>
                <w:sz w:val="22"/>
                <w:szCs w:val="22"/>
              </w:rPr>
            </w:pPr>
            <w:r w:rsidRPr="00F36CC8">
              <w:rPr>
                <w:b/>
                <w:bCs/>
                <w:sz w:val="22"/>
                <w:szCs w:val="22"/>
              </w:rPr>
              <w:lastRenderedPageBreak/>
              <w:t>Chapter 4: Key Poverty and Inequality Indicators</w:t>
            </w:r>
          </w:p>
        </w:tc>
        <w:tc>
          <w:tcPr>
            <w:tcW w:w="4675" w:type="dxa"/>
          </w:tcPr>
          <w:p w14:paraId="02B0CD83"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4.1 Monetary Poverty and Inequality Measures</w:t>
            </w:r>
          </w:p>
          <w:p w14:paraId="53C8DC87"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4.1.1 Poverty rate</w:t>
            </w:r>
          </w:p>
          <w:p w14:paraId="5BC0FAE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4.1.2 Poverty Gap, Poverty Severity and Gini Coefficient</w:t>
            </w:r>
            <w:r w:rsidR="00037533">
              <w:rPr>
                <w:sz w:val="22"/>
                <w:szCs w:val="22"/>
              </w:rPr>
              <w:t xml:space="preserve"> </w:t>
            </w:r>
            <w:r w:rsidRPr="00F36CC8">
              <w:rPr>
                <w:sz w:val="22"/>
                <w:szCs w:val="22"/>
              </w:rPr>
              <w:t>of Inequality</w:t>
            </w:r>
          </w:p>
          <w:p w14:paraId="1565D12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4.1.3 International poverty lines</w:t>
            </w:r>
          </w:p>
          <w:p w14:paraId="7E14795C"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4.2 Multidimensional Poverty Measures</w:t>
            </w:r>
          </w:p>
          <w:p w14:paraId="7280BC39"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4.2.1 Education</w:t>
            </w:r>
          </w:p>
          <w:p w14:paraId="4FC1D60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4.2.2 Labour</w:t>
            </w:r>
          </w:p>
          <w:p w14:paraId="5A3BFBF1"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4.2.3 Health</w:t>
            </w:r>
          </w:p>
          <w:p w14:paraId="4A3D37F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4.2.4 Living Standards</w:t>
            </w:r>
          </w:p>
          <w:p w14:paraId="299A1D9C"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4.2.5 Environment</w:t>
            </w:r>
          </w:p>
          <w:p w14:paraId="186EB9B3"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4.2.6 Vulnerability to Natural Hazards and Climate</w:t>
            </w:r>
          </w:p>
          <w:p w14:paraId="6AD6BB33"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Change</w:t>
            </w:r>
          </w:p>
          <w:p w14:paraId="4AD8960D"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4.3 Demographic distribution of poverty</w:t>
            </w:r>
          </w:p>
          <w:p w14:paraId="72015ABE"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4.3.1 Headship characteristics</w:t>
            </w:r>
          </w:p>
          <w:p w14:paraId="39032C0D"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4.3.2 Household size</w:t>
            </w:r>
          </w:p>
          <w:p w14:paraId="49BDC078"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4.3.3 Age cohort</w:t>
            </w:r>
          </w:p>
          <w:p w14:paraId="0F8D9BF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4.3.4 Ethnicity</w:t>
            </w:r>
          </w:p>
          <w:p w14:paraId="46A4A9B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4.4 Geographic distribution of poverty</w:t>
            </w:r>
          </w:p>
          <w:p w14:paraId="3610D08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4.6 Performance on the Sustainable Development</w:t>
            </w:r>
          </w:p>
          <w:p w14:paraId="3E1C2069"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Goals</w:t>
            </w:r>
          </w:p>
          <w:p w14:paraId="5814286C"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4.7 Conclusion</w:t>
            </w:r>
          </w:p>
        </w:tc>
      </w:tr>
      <w:tr w:rsidR="00DB1C39" w14:paraId="182C1C00" w14:textId="77777777" w:rsidTr="00DB1C39">
        <w:tc>
          <w:tcPr>
            <w:tcW w:w="4675" w:type="dxa"/>
          </w:tcPr>
          <w:p w14:paraId="24C91D86" w14:textId="77777777" w:rsidR="00DB1C39" w:rsidRPr="00F36CC8" w:rsidRDefault="00DB1C39" w:rsidP="007D0989">
            <w:pPr>
              <w:autoSpaceDE w:val="0"/>
              <w:autoSpaceDN w:val="0"/>
              <w:adjustRightInd w:val="0"/>
              <w:jc w:val="both"/>
              <w:rPr>
                <w:b/>
                <w:bCs/>
                <w:sz w:val="22"/>
                <w:szCs w:val="22"/>
              </w:rPr>
            </w:pPr>
            <w:r w:rsidRPr="00F36CC8">
              <w:rPr>
                <w:b/>
                <w:bCs/>
                <w:sz w:val="22"/>
                <w:szCs w:val="22"/>
              </w:rPr>
              <w:t>Chapter 5 Modelling Poverty - The Risk of Being Poor</w:t>
            </w:r>
          </w:p>
        </w:tc>
        <w:tc>
          <w:tcPr>
            <w:tcW w:w="4675" w:type="dxa"/>
          </w:tcPr>
          <w:p w14:paraId="527E74D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5.1 Model definition</w:t>
            </w:r>
          </w:p>
          <w:p w14:paraId="58547FA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5.2 Model diagnostics</w:t>
            </w:r>
          </w:p>
          <w:p w14:paraId="3CB1B13C"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5.3 Interpretation of the results from the model</w:t>
            </w:r>
          </w:p>
          <w:p w14:paraId="07E931E7"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5.4 Conclusion</w:t>
            </w:r>
          </w:p>
        </w:tc>
      </w:tr>
      <w:tr w:rsidR="00DB1C39" w14:paraId="530C2318" w14:textId="77777777" w:rsidTr="00DB1C39">
        <w:tc>
          <w:tcPr>
            <w:tcW w:w="4675" w:type="dxa"/>
          </w:tcPr>
          <w:p w14:paraId="6F3ADE80" w14:textId="77777777" w:rsidR="00DB1C39" w:rsidRPr="00F36CC8" w:rsidRDefault="006E2A82" w:rsidP="007D0989">
            <w:pPr>
              <w:autoSpaceDE w:val="0"/>
              <w:autoSpaceDN w:val="0"/>
              <w:adjustRightInd w:val="0"/>
              <w:jc w:val="both"/>
              <w:rPr>
                <w:b/>
                <w:bCs/>
                <w:color w:val="FF0000"/>
                <w:sz w:val="22"/>
                <w:szCs w:val="22"/>
              </w:rPr>
            </w:pPr>
            <w:r w:rsidRPr="00F36CC8">
              <w:rPr>
                <w:b/>
                <w:bCs/>
                <w:color w:val="FF0000"/>
                <w:sz w:val="22"/>
                <w:szCs w:val="22"/>
              </w:rPr>
              <w:t>**</w:t>
            </w:r>
            <w:r w:rsidR="00DB1C39" w:rsidRPr="00F36CC8">
              <w:rPr>
                <w:b/>
                <w:bCs/>
                <w:color w:val="FF0000"/>
                <w:sz w:val="22"/>
                <w:szCs w:val="22"/>
              </w:rPr>
              <w:t>Chapter 6 Child Poverty</w:t>
            </w:r>
          </w:p>
          <w:p w14:paraId="4076BEAC" w14:textId="22923127" w:rsidR="006E2A82" w:rsidRPr="00F36CC8" w:rsidRDefault="006E2A82" w:rsidP="005551F4">
            <w:pPr>
              <w:autoSpaceDE w:val="0"/>
              <w:autoSpaceDN w:val="0"/>
              <w:adjustRightInd w:val="0"/>
              <w:jc w:val="both"/>
              <w:rPr>
                <w:b/>
                <w:bCs/>
                <w:sz w:val="22"/>
                <w:szCs w:val="22"/>
              </w:rPr>
            </w:pPr>
            <w:r w:rsidRPr="00F36CC8">
              <w:rPr>
                <w:b/>
                <w:bCs/>
                <w:color w:val="FF0000"/>
                <w:sz w:val="22"/>
                <w:szCs w:val="22"/>
              </w:rPr>
              <w:t>(</w:t>
            </w:r>
            <w:r w:rsidR="005551F4">
              <w:rPr>
                <w:b/>
                <w:bCs/>
                <w:color w:val="FF0000"/>
                <w:sz w:val="22"/>
                <w:szCs w:val="22"/>
              </w:rPr>
              <w:t xml:space="preserve">Support with analysis and preparation of this chapter is available from UNICEF. </w:t>
            </w:r>
            <w:r w:rsidRPr="00F36CC8">
              <w:rPr>
                <w:b/>
                <w:bCs/>
                <w:color w:val="FF0000"/>
                <w:sz w:val="22"/>
                <w:szCs w:val="22"/>
              </w:rPr>
              <w:t>Member States</w:t>
            </w:r>
            <w:r w:rsidR="005551F4">
              <w:rPr>
                <w:b/>
                <w:bCs/>
                <w:color w:val="FF0000"/>
                <w:sz w:val="22"/>
                <w:szCs w:val="22"/>
              </w:rPr>
              <w:t xml:space="preserve"> are encouraged to take advantage of this support.)</w:t>
            </w:r>
          </w:p>
        </w:tc>
        <w:tc>
          <w:tcPr>
            <w:tcW w:w="4675" w:type="dxa"/>
          </w:tcPr>
          <w:p w14:paraId="267DB529"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6.1 Short introduction - rationale.</w:t>
            </w:r>
          </w:p>
          <w:p w14:paraId="3F9BB638"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6.2 Child poverty using the national poverty line, the</w:t>
            </w:r>
            <w:r w:rsidR="00037533">
              <w:rPr>
                <w:sz w:val="22"/>
                <w:szCs w:val="22"/>
              </w:rPr>
              <w:t xml:space="preserve"> </w:t>
            </w:r>
            <w:r w:rsidRPr="00F36CC8">
              <w:rPr>
                <w:sz w:val="22"/>
                <w:szCs w:val="22"/>
              </w:rPr>
              <w:t>international poverty line and MPI</w:t>
            </w:r>
          </w:p>
          <w:p w14:paraId="53AA516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6.3 Trends in child poverty</w:t>
            </w:r>
          </w:p>
          <w:p w14:paraId="48015B5E"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6.4 Child poverty by age sub-groups (pre-primary,</w:t>
            </w:r>
          </w:p>
          <w:p w14:paraId="771B108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primary, secondary, young adults)</w:t>
            </w:r>
          </w:p>
          <w:p w14:paraId="6455A351"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6.5 Rural-urban child poverty</w:t>
            </w:r>
          </w:p>
          <w:p w14:paraId="446754E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6.6 Child poverty by sex of head of household</w:t>
            </w:r>
          </w:p>
          <w:p w14:paraId="4B322DFD"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6.7 Child poverty by the number of children in</w:t>
            </w:r>
          </w:p>
          <w:p w14:paraId="5F1B2298"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household</w:t>
            </w:r>
          </w:p>
          <w:p w14:paraId="2F0AF956"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6.8 Conclusion and policy implications</w:t>
            </w:r>
          </w:p>
        </w:tc>
      </w:tr>
      <w:tr w:rsidR="00DB1C39" w14:paraId="59214DBE" w14:textId="77777777" w:rsidTr="00DB1C39">
        <w:tc>
          <w:tcPr>
            <w:tcW w:w="4675" w:type="dxa"/>
          </w:tcPr>
          <w:p w14:paraId="13AB3B2B" w14:textId="77777777" w:rsidR="006E2A82" w:rsidRPr="00F36CC8" w:rsidRDefault="00DB1C39" w:rsidP="006E2A82">
            <w:pPr>
              <w:autoSpaceDE w:val="0"/>
              <w:autoSpaceDN w:val="0"/>
              <w:adjustRightInd w:val="0"/>
              <w:jc w:val="both"/>
              <w:rPr>
                <w:b/>
                <w:bCs/>
                <w:sz w:val="22"/>
                <w:szCs w:val="22"/>
              </w:rPr>
            </w:pPr>
            <w:r w:rsidRPr="00F36CC8">
              <w:rPr>
                <w:b/>
                <w:bCs/>
                <w:sz w:val="22"/>
                <w:szCs w:val="22"/>
              </w:rPr>
              <w:t xml:space="preserve">Chapter 6 </w:t>
            </w:r>
            <w:r w:rsidR="006E2A82" w:rsidRPr="00F36CC8">
              <w:rPr>
                <w:b/>
                <w:bCs/>
                <w:sz w:val="22"/>
                <w:szCs w:val="22"/>
              </w:rPr>
              <w:t xml:space="preserve"> Labour and Employment </w:t>
            </w:r>
          </w:p>
          <w:p w14:paraId="2B09A63B" w14:textId="77777777" w:rsidR="00DB1C39" w:rsidRPr="00F36CC8" w:rsidRDefault="00DB1C39" w:rsidP="007D0989">
            <w:pPr>
              <w:autoSpaceDE w:val="0"/>
              <w:autoSpaceDN w:val="0"/>
              <w:adjustRightInd w:val="0"/>
              <w:jc w:val="both"/>
              <w:rPr>
                <w:b/>
                <w:bCs/>
                <w:sz w:val="22"/>
                <w:szCs w:val="22"/>
              </w:rPr>
            </w:pPr>
          </w:p>
        </w:tc>
        <w:tc>
          <w:tcPr>
            <w:tcW w:w="4675" w:type="dxa"/>
          </w:tcPr>
          <w:p w14:paraId="2C3AF57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7.1 Labour force participation</w:t>
            </w:r>
          </w:p>
          <w:p w14:paraId="6CE7630A"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7.2 Unemployment</w:t>
            </w:r>
          </w:p>
          <w:p w14:paraId="03CF7929"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7.3 The working poor</w:t>
            </w:r>
          </w:p>
          <w:p w14:paraId="4967DD8E"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7.3.1 Where are the working poor located?</w:t>
            </w:r>
          </w:p>
          <w:p w14:paraId="30AB6B4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7.4 Sources of income</w:t>
            </w:r>
          </w:p>
          <w:p w14:paraId="3B3E47D9"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7.4.1 Income from employment</w:t>
            </w:r>
          </w:p>
          <w:p w14:paraId="5F57224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7.4.2 Access to income from public sources</w:t>
            </w:r>
          </w:p>
          <w:p w14:paraId="2CC9E9F6"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7.5 Conclusion and policy implications</w:t>
            </w:r>
          </w:p>
        </w:tc>
      </w:tr>
      <w:tr w:rsidR="00DB1C39" w14:paraId="6ACE4E5B" w14:textId="77777777" w:rsidTr="00DB1C39">
        <w:tc>
          <w:tcPr>
            <w:tcW w:w="4675" w:type="dxa"/>
          </w:tcPr>
          <w:p w14:paraId="6DB067E2" w14:textId="77777777" w:rsidR="00DB1C39" w:rsidRPr="00F36CC8" w:rsidRDefault="00DB1C39" w:rsidP="007D0989">
            <w:pPr>
              <w:autoSpaceDE w:val="0"/>
              <w:autoSpaceDN w:val="0"/>
              <w:adjustRightInd w:val="0"/>
              <w:jc w:val="both"/>
              <w:rPr>
                <w:b/>
                <w:bCs/>
                <w:sz w:val="22"/>
                <w:szCs w:val="22"/>
              </w:rPr>
            </w:pPr>
            <w:r w:rsidRPr="00F36CC8">
              <w:rPr>
                <w:b/>
                <w:bCs/>
                <w:sz w:val="22"/>
                <w:szCs w:val="22"/>
              </w:rPr>
              <w:t>Chapter 8 Education</w:t>
            </w:r>
          </w:p>
        </w:tc>
        <w:tc>
          <w:tcPr>
            <w:tcW w:w="4675" w:type="dxa"/>
          </w:tcPr>
          <w:p w14:paraId="238E3E97"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8.1 Overview</w:t>
            </w:r>
          </w:p>
          <w:p w14:paraId="2303F981"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8.2 Educational attainment among the working age</w:t>
            </w:r>
          </w:p>
          <w:p w14:paraId="6A878AC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population</w:t>
            </w:r>
          </w:p>
          <w:p w14:paraId="6CE2CD20"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8.3 Highest examination passed by ethnicity</w:t>
            </w:r>
          </w:p>
          <w:p w14:paraId="53E43B9C"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lastRenderedPageBreak/>
              <w:t>8.4 Highest level of education by employment Status</w:t>
            </w:r>
          </w:p>
          <w:p w14:paraId="75CFBA97"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8.5 Enrolment and attendance</w:t>
            </w:r>
          </w:p>
          <w:p w14:paraId="3D363AC7"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8.6 Access to education</w:t>
            </w:r>
          </w:p>
          <w:p w14:paraId="6479AAF3"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8.7 Access to publicly funded programmes</w:t>
            </w:r>
          </w:p>
          <w:p w14:paraId="2AA0112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8.7.1 School Feeding Programme</w:t>
            </w:r>
          </w:p>
          <w:p w14:paraId="59BE0B8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8.8 Conclusion and policy implications</w:t>
            </w:r>
          </w:p>
        </w:tc>
      </w:tr>
      <w:tr w:rsidR="00DB1C39" w14:paraId="55D98E11" w14:textId="77777777" w:rsidTr="00DB1C39">
        <w:tc>
          <w:tcPr>
            <w:tcW w:w="4675" w:type="dxa"/>
          </w:tcPr>
          <w:p w14:paraId="07A0D7FF" w14:textId="77777777" w:rsidR="00DB1C39" w:rsidRPr="00F36CC8" w:rsidRDefault="00DB1C39" w:rsidP="007D0989">
            <w:pPr>
              <w:autoSpaceDE w:val="0"/>
              <w:autoSpaceDN w:val="0"/>
              <w:adjustRightInd w:val="0"/>
              <w:jc w:val="both"/>
              <w:rPr>
                <w:b/>
                <w:bCs/>
                <w:sz w:val="22"/>
                <w:szCs w:val="22"/>
              </w:rPr>
            </w:pPr>
            <w:r w:rsidRPr="00F36CC8">
              <w:rPr>
                <w:b/>
                <w:bCs/>
                <w:sz w:val="22"/>
                <w:szCs w:val="22"/>
              </w:rPr>
              <w:t>Chapter 9 Health, Disability and Violence</w:t>
            </w:r>
          </w:p>
        </w:tc>
        <w:tc>
          <w:tcPr>
            <w:tcW w:w="4675" w:type="dxa"/>
          </w:tcPr>
          <w:p w14:paraId="408B0A8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9.1 Overview</w:t>
            </w:r>
          </w:p>
          <w:p w14:paraId="311EF1E6"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9.2 Self-reported health</w:t>
            </w:r>
          </w:p>
          <w:p w14:paraId="0B32C1C6"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9.3 Fertility behaviour</w:t>
            </w:r>
          </w:p>
          <w:p w14:paraId="35408BC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9.4 Injury</w:t>
            </w:r>
          </w:p>
          <w:p w14:paraId="083EB8F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9.4.1 Access to Required Medication</w:t>
            </w:r>
          </w:p>
          <w:p w14:paraId="6949CE1D"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9.5 Satisfaction with health services</w:t>
            </w:r>
          </w:p>
          <w:p w14:paraId="4F752333"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9.6 Disability</w:t>
            </w:r>
          </w:p>
          <w:p w14:paraId="5BD42E3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9.7 Citizen security</w:t>
            </w:r>
          </w:p>
          <w:p w14:paraId="75FF151A"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9.8 Conclusion and policy implications</w:t>
            </w:r>
          </w:p>
        </w:tc>
      </w:tr>
      <w:tr w:rsidR="00DB1C39" w14:paraId="70011FC3" w14:textId="77777777" w:rsidTr="00DB1C39">
        <w:tc>
          <w:tcPr>
            <w:tcW w:w="4675" w:type="dxa"/>
          </w:tcPr>
          <w:p w14:paraId="162BF353" w14:textId="77777777" w:rsidR="00DB1C39" w:rsidRPr="00F36CC8" w:rsidRDefault="00DB1C39" w:rsidP="000D0C11">
            <w:pPr>
              <w:autoSpaceDE w:val="0"/>
              <w:autoSpaceDN w:val="0"/>
              <w:adjustRightInd w:val="0"/>
              <w:spacing w:after="0" w:line="240" w:lineRule="auto"/>
              <w:jc w:val="both"/>
              <w:rPr>
                <w:b/>
                <w:bCs/>
                <w:sz w:val="22"/>
                <w:szCs w:val="22"/>
              </w:rPr>
            </w:pPr>
            <w:r w:rsidRPr="00F36CC8">
              <w:rPr>
                <w:b/>
                <w:bCs/>
                <w:sz w:val="22"/>
                <w:szCs w:val="22"/>
              </w:rPr>
              <w:t>Chapter 10</w:t>
            </w:r>
            <w:r w:rsidR="000D0C11" w:rsidRPr="00F36CC8">
              <w:rPr>
                <w:b/>
                <w:bCs/>
                <w:sz w:val="22"/>
                <w:szCs w:val="22"/>
              </w:rPr>
              <w:t xml:space="preserve">: </w:t>
            </w:r>
            <w:r w:rsidRPr="00F36CC8">
              <w:rPr>
                <w:b/>
                <w:bCs/>
                <w:sz w:val="22"/>
                <w:szCs w:val="22"/>
              </w:rPr>
              <w:t>Physical Living Conditions</w:t>
            </w:r>
          </w:p>
        </w:tc>
        <w:tc>
          <w:tcPr>
            <w:tcW w:w="4675" w:type="dxa"/>
          </w:tcPr>
          <w:p w14:paraId="2F228621"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10.1 Household size</w:t>
            </w:r>
          </w:p>
          <w:p w14:paraId="5A8064B2"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10.2 Tenancy</w:t>
            </w:r>
          </w:p>
          <w:p w14:paraId="0AA3F029"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10.3 Material of outer walls</w:t>
            </w:r>
          </w:p>
          <w:p w14:paraId="4E411329"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10.4 Main water source</w:t>
            </w:r>
          </w:p>
          <w:p w14:paraId="3188E390"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10.5 Water storage</w:t>
            </w:r>
          </w:p>
          <w:p w14:paraId="6B8ED2B8"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10.6 Toilet facilities</w:t>
            </w:r>
          </w:p>
          <w:p w14:paraId="6136BAA7"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10.7 Lighting and Cooking Fuel Source</w:t>
            </w:r>
          </w:p>
          <w:p w14:paraId="0BA38265" w14:textId="77777777" w:rsidR="000D0C11" w:rsidRPr="00F36CC8" w:rsidRDefault="000D0C11" w:rsidP="000D0C11">
            <w:pPr>
              <w:autoSpaceDE w:val="0"/>
              <w:autoSpaceDN w:val="0"/>
              <w:adjustRightInd w:val="0"/>
              <w:spacing w:after="0" w:line="240" w:lineRule="auto"/>
              <w:jc w:val="both"/>
              <w:rPr>
                <w:sz w:val="22"/>
                <w:szCs w:val="22"/>
              </w:rPr>
            </w:pPr>
            <w:r w:rsidRPr="00F36CC8">
              <w:rPr>
                <w:sz w:val="22"/>
                <w:szCs w:val="22"/>
              </w:rPr>
              <w:t>10.8 Ownership of Major Assets</w:t>
            </w:r>
          </w:p>
          <w:p w14:paraId="1ACE1B7C" w14:textId="77777777" w:rsidR="00DB1C39" w:rsidRPr="00F36CC8" w:rsidRDefault="000D0C11" w:rsidP="000D0C11">
            <w:pPr>
              <w:autoSpaceDE w:val="0"/>
              <w:autoSpaceDN w:val="0"/>
              <w:adjustRightInd w:val="0"/>
              <w:spacing w:after="0" w:line="240" w:lineRule="auto"/>
              <w:jc w:val="both"/>
              <w:rPr>
                <w:sz w:val="22"/>
                <w:szCs w:val="22"/>
              </w:rPr>
            </w:pPr>
            <w:r w:rsidRPr="00F36CC8">
              <w:rPr>
                <w:sz w:val="22"/>
                <w:szCs w:val="22"/>
              </w:rPr>
              <w:t>10.9 Conclusion and policy implications</w:t>
            </w:r>
          </w:p>
        </w:tc>
      </w:tr>
      <w:tr w:rsidR="00DB1C39" w14:paraId="4BE69449" w14:textId="77777777" w:rsidTr="00DB1C39">
        <w:tc>
          <w:tcPr>
            <w:tcW w:w="4675" w:type="dxa"/>
          </w:tcPr>
          <w:p w14:paraId="762C731F" w14:textId="77777777" w:rsidR="00DB1C39" w:rsidRPr="00F36CC8" w:rsidRDefault="00DB1C39" w:rsidP="000D0C11">
            <w:pPr>
              <w:autoSpaceDE w:val="0"/>
              <w:autoSpaceDN w:val="0"/>
              <w:adjustRightInd w:val="0"/>
              <w:spacing w:after="0" w:line="240" w:lineRule="auto"/>
              <w:jc w:val="both"/>
              <w:rPr>
                <w:b/>
                <w:bCs/>
                <w:sz w:val="22"/>
                <w:szCs w:val="22"/>
              </w:rPr>
            </w:pPr>
            <w:r w:rsidRPr="00F36CC8">
              <w:rPr>
                <w:b/>
                <w:bCs/>
                <w:sz w:val="22"/>
                <w:szCs w:val="22"/>
              </w:rPr>
              <w:t>Chapter 11</w:t>
            </w:r>
            <w:r w:rsidR="000D0C11" w:rsidRPr="00F36CC8">
              <w:rPr>
                <w:b/>
                <w:bCs/>
                <w:sz w:val="22"/>
                <w:szCs w:val="22"/>
              </w:rPr>
              <w:t xml:space="preserve">: </w:t>
            </w:r>
            <w:r w:rsidRPr="00F36CC8">
              <w:rPr>
                <w:b/>
                <w:bCs/>
                <w:sz w:val="22"/>
                <w:szCs w:val="22"/>
              </w:rPr>
              <w:t>Living Conditions and the</w:t>
            </w:r>
            <w:r w:rsidR="000D0C11" w:rsidRPr="00F36CC8">
              <w:rPr>
                <w:b/>
                <w:bCs/>
                <w:sz w:val="22"/>
                <w:szCs w:val="22"/>
              </w:rPr>
              <w:t xml:space="preserve"> </w:t>
            </w:r>
            <w:r w:rsidRPr="00F36CC8">
              <w:rPr>
                <w:b/>
                <w:bCs/>
                <w:sz w:val="22"/>
                <w:szCs w:val="22"/>
              </w:rPr>
              <w:t>Environmen</w:t>
            </w:r>
            <w:r w:rsidR="000D0C11" w:rsidRPr="00F36CC8">
              <w:rPr>
                <w:b/>
                <w:bCs/>
                <w:sz w:val="22"/>
                <w:szCs w:val="22"/>
              </w:rPr>
              <w:t>t</w:t>
            </w:r>
          </w:p>
        </w:tc>
        <w:tc>
          <w:tcPr>
            <w:tcW w:w="4675" w:type="dxa"/>
          </w:tcPr>
          <w:p w14:paraId="2249730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11.1 Environmental dimension of the Multi-dimensional</w:t>
            </w:r>
            <w:r w:rsidR="00037533">
              <w:rPr>
                <w:sz w:val="22"/>
                <w:szCs w:val="22"/>
              </w:rPr>
              <w:t xml:space="preserve"> </w:t>
            </w:r>
            <w:r w:rsidRPr="00F36CC8">
              <w:rPr>
                <w:sz w:val="22"/>
                <w:szCs w:val="22"/>
              </w:rPr>
              <w:t>Index</w:t>
            </w:r>
          </w:p>
          <w:p w14:paraId="76CFD798"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11.2 Natural resource use</w:t>
            </w:r>
          </w:p>
          <w:p w14:paraId="1E8ED78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11.3 Environmental health and sanitation (drinking water</w:t>
            </w:r>
            <w:r w:rsidR="00037533">
              <w:rPr>
                <w:sz w:val="22"/>
                <w:szCs w:val="22"/>
              </w:rPr>
              <w:t xml:space="preserve"> </w:t>
            </w:r>
            <w:r w:rsidRPr="00F36CC8">
              <w:rPr>
                <w:sz w:val="22"/>
                <w:szCs w:val="22"/>
              </w:rPr>
              <w:t>and sanitation facilities)</w:t>
            </w:r>
          </w:p>
          <w:p w14:paraId="68F04DCE"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11.4 Vulnerability to disaster and climate change</w:t>
            </w:r>
          </w:p>
          <w:p w14:paraId="65E5D54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11.4.1 Exposure</w:t>
            </w:r>
          </w:p>
          <w:p w14:paraId="3D336E17"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11.4.2 Sensitivity</w:t>
            </w:r>
          </w:p>
          <w:p w14:paraId="791340C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11.4.3 Adaptive capacity</w:t>
            </w:r>
          </w:p>
          <w:p w14:paraId="72A8AC4A"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11.5 Conclusion and policy implications</w:t>
            </w:r>
          </w:p>
        </w:tc>
      </w:tr>
      <w:tr w:rsidR="00DB1C39" w14:paraId="0394E3D4" w14:textId="77777777" w:rsidTr="00DB1C39">
        <w:tc>
          <w:tcPr>
            <w:tcW w:w="4675" w:type="dxa"/>
          </w:tcPr>
          <w:p w14:paraId="67D382AB" w14:textId="77777777" w:rsidR="00DB1C39" w:rsidRPr="00F36CC8" w:rsidRDefault="00DB1C39" w:rsidP="00DB1C39">
            <w:pPr>
              <w:autoSpaceDE w:val="0"/>
              <w:autoSpaceDN w:val="0"/>
              <w:adjustRightInd w:val="0"/>
              <w:jc w:val="both"/>
              <w:rPr>
                <w:b/>
                <w:bCs/>
                <w:sz w:val="22"/>
                <w:szCs w:val="22"/>
              </w:rPr>
            </w:pPr>
            <w:r w:rsidRPr="00F36CC8">
              <w:rPr>
                <w:b/>
                <w:bCs/>
                <w:sz w:val="22"/>
                <w:szCs w:val="22"/>
              </w:rPr>
              <w:t>Chapter 12</w:t>
            </w:r>
          </w:p>
          <w:p w14:paraId="3848C545" w14:textId="77777777" w:rsidR="00DB1C39" w:rsidRPr="00F36CC8" w:rsidRDefault="00DB1C39" w:rsidP="00DB1C39">
            <w:pPr>
              <w:autoSpaceDE w:val="0"/>
              <w:autoSpaceDN w:val="0"/>
              <w:adjustRightInd w:val="0"/>
              <w:jc w:val="both"/>
              <w:rPr>
                <w:b/>
                <w:bCs/>
                <w:sz w:val="22"/>
                <w:szCs w:val="22"/>
              </w:rPr>
            </w:pPr>
            <w:r w:rsidRPr="00F36CC8">
              <w:rPr>
                <w:b/>
                <w:bCs/>
                <w:sz w:val="22"/>
                <w:szCs w:val="22"/>
              </w:rPr>
              <w:t>Conclusions and</w:t>
            </w:r>
          </w:p>
          <w:p w14:paraId="5AC4B82A" w14:textId="77777777" w:rsidR="00DB1C39" w:rsidRPr="00F36CC8" w:rsidRDefault="00DB1C39" w:rsidP="00DB1C39">
            <w:pPr>
              <w:autoSpaceDE w:val="0"/>
              <w:autoSpaceDN w:val="0"/>
              <w:adjustRightInd w:val="0"/>
              <w:jc w:val="both"/>
              <w:rPr>
                <w:b/>
                <w:bCs/>
                <w:sz w:val="22"/>
                <w:szCs w:val="22"/>
              </w:rPr>
            </w:pPr>
            <w:r w:rsidRPr="00F36CC8">
              <w:rPr>
                <w:b/>
                <w:bCs/>
                <w:sz w:val="22"/>
                <w:szCs w:val="22"/>
              </w:rPr>
              <w:t>Recommendations</w:t>
            </w:r>
          </w:p>
        </w:tc>
        <w:tc>
          <w:tcPr>
            <w:tcW w:w="4675" w:type="dxa"/>
          </w:tcPr>
          <w:p w14:paraId="47DA03C4"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12.1 Conclusions</w:t>
            </w:r>
          </w:p>
          <w:p w14:paraId="11CF4E3F"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12.2 Recommendations</w:t>
            </w:r>
          </w:p>
          <w:p w14:paraId="58F98AC5"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12.2.1 Economics strategies, policies, measures</w:t>
            </w:r>
          </w:p>
          <w:p w14:paraId="784D9722"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12.2.2 Social strategies, policies, measures</w:t>
            </w:r>
          </w:p>
          <w:p w14:paraId="53ABDEF3" w14:textId="77777777" w:rsidR="00DB1C39" w:rsidRPr="00F36CC8" w:rsidRDefault="00DB1C39" w:rsidP="00DB1C39">
            <w:pPr>
              <w:autoSpaceDE w:val="0"/>
              <w:autoSpaceDN w:val="0"/>
              <w:adjustRightInd w:val="0"/>
              <w:spacing w:after="0" w:line="240" w:lineRule="auto"/>
              <w:jc w:val="both"/>
              <w:rPr>
                <w:sz w:val="22"/>
                <w:szCs w:val="22"/>
              </w:rPr>
            </w:pPr>
            <w:r w:rsidRPr="00F36CC8">
              <w:rPr>
                <w:sz w:val="22"/>
                <w:szCs w:val="22"/>
              </w:rPr>
              <w:t>12.2.3</w:t>
            </w:r>
            <w:r w:rsidR="00037533">
              <w:rPr>
                <w:sz w:val="22"/>
                <w:szCs w:val="22"/>
              </w:rPr>
              <w:t xml:space="preserve"> </w:t>
            </w:r>
            <w:r w:rsidRPr="00F36CC8">
              <w:rPr>
                <w:sz w:val="22"/>
                <w:szCs w:val="22"/>
              </w:rPr>
              <w:t>Environmental strategies, policies, measures</w:t>
            </w:r>
          </w:p>
        </w:tc>
      </w:tr>
      <w:tr w:rsidR="00AF05F2" w14:paraId="079D8816" w14:textId="77777777" w:rsidTr="00DB1C39">
        <w:tc>
          <w:tcPr>
            <w:tcW w:w="4675" w:type="dxa"/>
          </w:tcPr>
          <w:p w14:paraId="7C301516" w14:textId="59789681" w:rsidR="00AF05F2" w:rsidRPr="00F36CC8" w:rsidRDefault="00AF05F2" w:rsidP="00DB1C39">
            <w:pPr>
              <w:autoSpaceDE w:val="0"/>
              <w:autoSpaceDN w:val="0"/>
              <w:adjustRightInd w:val="0"/>
              <w:jc w:val="both"/>
              <w:rPr>
                <w:b/>
                <w:bCs/>
                <w:szCs w:val="22"/>
              </w:rPr>
            </w:pPr>
            <w:r>
              <w:rPr>
                <w:b/>
                <w:bCs/>
                <w:szCs w:val="22"/>
              </w:rPr>
              <w:t>Chapter 13</w:t>
            </w:r>
          </w:p>
        </w:tc>
        <w:tc>
          <w:tcPr>
            <w:tcW w:w="4675" w:type="dxa"/>
          </w:tcPr>
          <w:p w14:paraId="5BA5EDB8" w14:textId="5692DA4D" w:rsidR="00AF05F2" w:rsidRPr="00F36CC8" w:rsidRDefault="00AF05F2" w:rsidP="00AF05F2">
            <w:pPr>
              <w:autoSpaceDE w:val="0"/>
              <w:autoSpaceDN w:val="0"/>
              <w:adjustRightInd w:val="0"/>
              <w:spacing w:after="0" w:line="240" w:lineRule="auto"/>
              <w:jc w:val="both"/>
              <w:rPr>
                <w:szCs w:val="22"/>
              </w:rPr>
            </w:pPr>
            <w:r>
              <w:rPr>
                <w:szCs w:val="22"/>
              </w:rPr>
              <w:t>Draft Programme of Action to Enhance Social Development Programmes</w:t>
            </w:r>
          </w:p>
        </w:tc>
      </w:tr>
      <w:tr w:rsidR="00DB1C39" w14:paraId="29DFC59D" w14:textId="77777777" w:rsidTr="005551F4">
        <w:tc>
          <w:tcPr>
            <w:tcW w:w="9350" w:type="dxa"/>
            <w:gridSpan w:val="2"/>
          </w:tcPr>
          <w:p w14:paraId="01F4DD70" w14:textId="77777777" w:rsidR="00DB1C39" w:rsidRPr="00F36CC8" w:rsidRDefault="00DB1C39" w:rsidP="00DB1C39">
            <w:pPr>
              <w:autoSpaceDE w:val="0"/>
              <w:autoSpaceDN w:val="0"/>
              <w:adjustRightInd w:val="0"/>
              <w:spacing w:after="0" w:line="240" w:lineRule="auto"/>
              <w:jc w:val="both"/>
              <w:rPr>
                <w:b/>
                <w:bCs/>
                <w:sz w:val="22"/>
                <w:szCs w:val="22"/>
              </w:rPr>
            </w:pPr>
            <w:r w:rsidRPr="00F36CC8">
              <w:rPr>
                <w:b/>
                <w:bCs/>
                <w:sz w:val="22"/>
                <w:szCs w:val="22"/>
              </w:rPr>
              <w:t>References</w:t>
            </w:r>
          </w:p>
        </w:tc>
      </w:tr>
      <w:tr w:rsidR="00DB1C39" w14:paraId="6D12EF32" w14:textId="77777777" w:rsidTr="005551F4">
        <w:tc>
          <w:tcPr>
            <w:tcW w:w="9350" w:type="dxa"/>
            <w:gridSpan w:val="2"/>
          </w:tcPr>
          <w:p w14:paraId="08ACED29" w14:textId="16E3E717" w:rsidR="00DB1C39" w:rsidRPr="00F36CC8" w:rsidRDefault="00DB1C39" w:rsidP="00AF05F2">
            <w:pPr>
              <w:autoSpaceDE w:val="0"/>
              <w:autoSpaceDN w:val="0"/>
              <w:adjustRightInd w:val="0"/>
              <w:spacing w:after="0" w:line="240" w:lineRule="auto"/>
              <w:jc w:val="both"/>
              <w:rPr>
                <w:b/>
                <w:bCs/>
                <w:sz w:val="22"/>
                <w:szCs w:val="22"/>
              </w:rPr>
            </w:pPr>
            <w:r w:rsidRPr="00F36CC8">
              <w:rPr>
                <w:b/>
                <w:bCs/>
                <w:sz w:val="22"/>
                <w:szCs w:val="22"/>
              </w:rPr>
              <w:t xml:space="preserve">Appendix: Country </w:t>
            </w:r>
            <w:r w:rsidR="00AF05F2">
              <w:rPr>
                <w:b/>
                <w:bCs/>
                <w:sz w:val="22"/>
                <w:szCs w:val="22"/>
              </w:rPr>
              <w:t>P</w:t>
            </w:r>
            <w:r w:rsidRPr="00F36CC8">
              <w:rPr>
                <w:b/>
                <w:bCs/>
                <w:sz w:val="22"/>
                <w:szCs w:val="22"/>
              </w:rPr>
              <w:t xml:space="preserve">erformance </w:t>
            </w:r>
            <w:r w:rsidR="00AF05F2">
              <w:rPr>
                <w:b/>
                <w:bCs/>
                <w:sz w:val="22"/>
                <w:szCs w:val="22"/>
              </w:rPr>
              <w:t>on</w:t>
            </w:r>
            <w:r w:rsidR="00AF05F2" w:rsidRPr="00F36CC8">
              <w:rPr>
                <w:b/>
                <w:bCs/>
                <w:sz w:val="22"/>
                <w:szCs w:val="22"/>
              </w:rPr>
              <w:t xml:space="preserve"> </w:t>
            </w:r>
            <w:r w:rsidRPr="00F36CC8">
              <w:rPr>
                <w:b/>
                <w:bCs/>
                <w:sz w:val="22"/>
                <w:szCs w:val="22"/>
              </w:rPr>
              <w:t>selected Sustainable Development Goals</w:t>
            </w:r>
            <w:r w:rsidR="00AF05F2">
              <w:rPr>
                <w:b/>
                <w:bCs/>
                <w:sz w:val="22"/>
                <w:szCs w:val="22"/>
              </w:rPr>
              <w:t>’</w:t>
            </w:r>
            <w:r w:rsidRPr="00F36CC8">
              <w:rPr>
                <w:b/>
                <w:bCs/>
                <w:sz w:val="22"/>
                <w:szCs w:val="22"/>
              </w:rPr>
              <w:t xml:space="preserve"> </w:t>
            </w:r>
            <w:r w:rsidR="00AF05F2">
              <w:rPr>
                <w:b/>
                <w:bCs/>
                <w:sz w:val="22"/>
                <w:szCs w:val="22"/>
              </w:rPr>
              <w:t>I</w:t>
            </w:r>
            <w:r w:rsidRPr="00F36CC8">
              <w:rPr>
                <w:b/>
                <w:bCs/>
                <w:sz w:val="22"/>
                <w:szCs w:val="22"/>
              </w:rPr>
              <w:t>ndicators</w:t>
            </w:r>
          </w:p>
        </w:tc>
      </w:tr>
      <w:tr w:rsidR="00DB1C39" w14:paraId="68CE34B5" w14:textId="77777777" w:rsidTr="005551F4">
        <w:tc>
          <w:tcPr>
            <w:tcW w:w="9350" w:type="dxa"/>
            <w:gridSpan w:val="2"/>
          </w:tcPr>
          <w:p w14:paraId="0A6F3EF0" w14:textId="6E72FB27" w:rsidR="00DB1C39" w:rsidRPr="00F36CC8" w:rsidRDefault="00DB1C39" w:rsidP="00DB1C39">
            <w:pPr>
              <w:autoSpaceDE w:val="0"/>
              <w:autoSpaceDN w:val="0"/>
              <w:adjustRightInd w:val="0"/>
              <w:spacing w:after="0" w:line="240" w:lineRule="auto"/>
              <w:jc w:val="both"/>
              <w:rPr>
                <w:b/>
                <w:bCs/>
                <w:sz w:val="22"/>
                <w:szCs w:val="22"/>
              </w:rPr>
            </w:pPr>
            <w:r w:rsidRPr="00F36CC8">
              <w:rPr>
                <w:b/>
                <w:bCs/>
                <w:sz w:val="22"/>
                <w:szCs w:val="22"/>
              </w:rPr>
              <w:t>Annex: Survey Instruments and SLC</w:t>
            </w:r>
            <w:r w:rsidR="00AF05F2">
              <w:rPr>
                <w:b/>
                <w:bCs/>
                <w:sz w:val="22"/>
                <w:szCs w:val="22"/>
              </w:rPr>
              <w:t>-</w:t>
            </w:r>
            <w:r w:rsidRPr="00F36CC8">
              <w:rPr>
                <w:b/>
                <w:bCs/>
                <w:sz w:val="22"/>
                <w:szCs w:val="22"/>
              </w:rPr>
              <w:t>HB</w:t>
            </w:r>
            <w:r w:rsidR="00AF05F2">
              <w:rPr>
                <w:b/>
                <w:bCs/>
                <w:sz w:val="22"/>
                <w:szCs w:val="22"/>
              </w:rPr>
              <w:t>S</w:t>
            </w:r>
            <w:r w:rsidRPr="00F36CC8">
              <w:rPr>
                <w:b/>
                <w:bCs/>
                <w:sz w:val="22"/>
                <w:szCs w:val="22"/>
              </w:rPr>
              <w:t xml:space="preserve"> Statistical Tables (separate document)</w:t>
            </w:r>
          </w:p>
        </w:tc>
      </w:tr>
      <w:tr w:rsidR="00DB1C39" w14:paraId="3D569A72" w14:textId="77777777" w:rsidTr="005551F4">
        <w:tc>
          <w:tcPr>
            <w:tcW w:w="9350" w:type="dxa"/>
            <w:gridSpan w:val="2"/>
          </w:tcPr>
          <w:p w14:paraId="49C8F472" w14:textId="77777777" w:rsidR="00DB1C39" w:rsidRPr="00F36CC8" w:rsidRDefault="00DB1C39" w:rsidP="00DB1C39">
            <w:pPr>
              <w:autoSpaceDE w:val="0"/>
              <w:autoSpaceDN w:val="0"/>
              <w:adjustRightInd w:val="0"/>
              <w:spacing w:after="0" w:line="240" w:lineRule="auto"/>
              <w:jc w:val="both"/>
              <w:rPr>
                <w:b/>
                <w:bCs/>
                <w:sz w:val="22"/>
                <w:szCs w:val="22"/>
              </w:rPr>
            </w:pPr>
            <w:r w:rsidRPr="00F36CC8">
              <w:rPr>
                <w:b/>
                <w:bCs/>
                <w:sz w:val="22"/>
                <w:szCs w:val="22"/>
              </w:rPr>
              <w:t>Back Cover</w:t>
            </w:r>
          </w:p>
        </w:tc>
      </w:tr>
    </w:tbl>
    <w:p w14:paraId="3E6FE9DF" w14:textId="4025248A" w:rsidR="00DB1C39" w:rsidRPr="00D123E5" w:rsidRDefault="00DB1C39" w:rsidP="007D0989">
      <w:pPr>
        <w:autoSpaceDE w:val="0"/>
        <w:autoSpaceDN w:val="0"/>
        <w:adjustRightInd w:val="0"/>
        <w:jc w:val="both"/>
        <w:rPr>
          <w:szCs w:val="22"/>
        </w:rPr>
      </w:pPr>
    </w:p>
    <w:sectPr w:rsidR="00DB1C39" w:rsidRPr="00D123E5" w:rsidSect="003E031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E8364" w14:textId="77777777" w:rsidR="003D08B7" w:rsidRDefault="003D08B7" w:rsidP="00D123E5">
      <w:pPr>
        <w:spacing w:after="0" w:line="240" w:lineRule="auto"/>
      </w:pPr>
      <w:r>
        <w:separator/>
      </w:r>
    </w:p>
  </w:endnote>
  <w:endnote w:type="continuationSeparator" w:id="0">
    <w:p w14:paraId="3074A347" w14:textId="77777777" w:rsidR="003D08B7" w:rsidRDefault="003D08B7" w:rsidP="00D1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463103"/>
      <w:docPartObj>
        <w:docPartGallery w:val="Page Numbers (Bottom of Page)"/>
        <w:docPartUnique/>
      </w:docPartObj>
    </w:sdtPr>
    <w:sdtEndPr>
      <w:rPr>
        <w:noProof/>
      </w:rPr>
    </w:sdtEndPr>
    <w:sdtContent>
      <w:p w14:paraId="3B448118" w14:textId="77777777" w:rsidR="005551F4" w:rsidRDefault="005551F4">
        <w:pPr>
          <w:pStyle w:val="Footer"/>
          <w:jc w:val="right"/>
        </w:pPr>
        <w:r>
          <w:fldChar w:fldCharType="begin"/>
        </w:r>
        <w:r>
          <w:instrText xml:space="preserve"> PAGE   \* MERGEFORMAT </w:instrText>
        </w:r>
        <w:r>
          <w:fldChar w:fldCharType="separate"/>
        </w:r>
        <w:r w:rsidR="00F4558C">
          <w:rPr>
            <w:noProof/>
          </w:rPr>
          <w:t>2</w:t>
        </w:r>
        <w:r>
          <w:rPr>
            <w:noProof/>
          </w:rPr>
          <w:fldChar w:fldCharType="end"/>
        </w:r>
      </w:p>
    </w:sdtContent>
  </w:sdt>
  <w:p w14:paraId="4E194ECF" w14:textId="77777777" w:rsidR="005551F4" w:rsidRDefault="00555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57028" w14:textId="77777777" w:rsidR="003D08B7" w:rsidRDefault="003D08B7" w:rsidP="00D123E5">
      <w:pPr>
        <w:spacing w:after="0" w:line="240" w:lineRule="auto"/>
      </w:pPr>
      <w:r>
        <w:separator/>
      </w:r>
    </w:p>
  </w:footnote>
  <w:footnote w:type="continuationSeparator" w:id="0">
    <w:p w14:paraId="0556040B" w14:textId="77777777" w:rsidR="003D08B7" w:rsidRDefault="003D08B7" w:rsidP="00D123E5">
      <w:pPr>
        <w:spacing w:after="0" w:line="240" w:lineRule="auto"/>
      </w:pPr>
      <w:r>
        <w:continuationSeparator/>
      </w:r>
    </w:p>
  </w:footnote>
  <w:footnote w:id="1">
    <w:p w14:paraId="3FD852D9" w14:textId="6BF78B09" w:rsidR="005551F4" w:rsidRPr="00D123E5" w:rsidRDefault="005551F4" w:rsidP="00095D5C">
      <w:pPr>
        <w:pStyle w:val="FootnoteText"/>
        <w:jc w:val="both"/>
        <w:rPr>
          <w:sz w:val="18"/>
          <w:szCs w:val="18"/>
        </w:rPr>
      </w:pPr>
      <w:r>
        <w:rPr>
          <w:rStyle w:val="FootnoteReference"/>
          <w:rFonts w:ascii="Arial" w:hAnsi="Arial" w:cs="Arial"/>
        </w:rPr>
        <w:footnoteRef/>
      </w:r>
      <w:r>
        <w:rPr>
          <w:rFonts w:ascii="Arial" w:hAnsi="Arial" w:cs="Arial"/>
          <w:sz w:val="18"/>
          <w:szCs w:val="18"/>
        </w:rPr>
        <w:t xml:space="preserve"> </w:t>
      </w:r>
      <w:r w:rsidRPr="00D123E5">
        <w:rPr>
          <w:sz w:val="18"/>
          <w:szCs w:val="18"/>
        </w:rPr>
        <w:t xml:space="preserve">Five CPA Programmes were implemented during the period 1995-2013 which, at different times, benefitted the following BMCs: Anguilla, Antigua and Barbuda, Barbados, Belize, British Virgin Islands, Cayman Islands, Dominica, Grenada, Montserrat, St. Kitts and Nevis, </w:t>
      </w:r>
      <w:r>
        <w:rPr>
          <w:sz w:val="18"/>
          <w:szCs w:val="18"/>
        </w:rPr>
        <w:t>Saint</w:t>
      </w:r>
      <w:r w:rsidRPr="00D123E5">
        <w:rPr>
          <w:sz w:val="18"/>
          <w:szCs w:val="18"/>
        </w:rPr>
        <w:t xml:space="preserve"> Lucia, St. Vincent and </w:t>
      </w:r>
      <w:r>
        <w:rPr>
          <w:sz w:val="18"/>
          <w:szCs w:val="18"/>
        </w:rPr>
        <w:t>T</w:t>
      </w:r>
      <w:r w:rsidRPr="00D123E5">
        <w:rPr>
          <w:sz w:val="18"/>
          <w:szCs w:val="18"/>
        </w:rPr>
        <w:t>he Grenadines and Turks and Caicos Islands.</w:t>
      </w:r>
    </w:p>
  </w:footnote>
  <w:footnote w:id="2">
    <w:p w14:paraId="68EF1809" w14:textId="77777777" w:rsidR="005551F4" w:rsidRPr="009C05EC" w:rsidRDefault="005551F4">
      <w:pPr>
        <w:pStyle w:val="FootnoteText"/>
      </w:pPr>
      <w:r>
        <w:rPr>
          <w:rStyle w:val="FootnoteReference"/>
        </w:rPr>
        <w:footnoteRef/>
      </w:r>
      <w:r>
        <w:t xml:space="preserve"> </w:t>
      </w:r>
      <w:r w:rsidRPr="009C05EC">
        <w:t>Sensitivity of Headcount Poverty Rate with Respect to the Choice of Poverty Line</w:t>
      </w:r>
    </w:p>
  </w:footnote>
  <w:footnote w:id="3">
    <w:p w14:paraId="3779FCDE" w14:textId="77777777" w:rsidR="005551F4" w:rsidRPr="00020D78" w:rsidRDefault="005551F4">
      <w:pPr>
        <w:pStyle w:val="FootnoteText"/>
        <w:rPr>
          <w:lang w:val="en-US"/>
        </w:rPr>
      </w:pPr>
      <w:r>
        <w:rPr>
          <w:rStyle w:val="FootnoteReference"/>
        </w:rPr>
        <w:footnoteRef/>
      </w:r>
      <w:r>
        <w:t xml:space="preserve"> </w:t>
      </w:r>
      <w:r>
        <w:rPr>
          <w:lang w:val="en-US"/>
        </w:rPr>
        <w:t>Vulnerable households being defined as those whose expenditure is within 125% of the national poverty line.</w:t>
      </w:r>
    </w:p>
  </w:footnote>
  <w:footnote w:id="4">
    <w:p w14:paraId="5DE6A431" w14:textId="77777777" w:rsidR="005551F4" w:rsidRPr="00037533" w:rsidRDefault="005551F4">
      <w:pPr>
        <w:pStyle w:val="FootnoteText"/>
        <w:rPr>
          <w:lang w:val="en-US"/>
        </w:rPr>
      </w:pPr>
      <w:r>
        <w:rPr>
          <w:rStyle w:val="FootnoteReference"/>
        </w:rPr>
        <w:footnoteRef/>
      </w:r>
      <w:r>
        <w:t xml:space="preserve"> </w:t>
      </w:r>
      <w:r>
        <w:rPr>
          <w:lang w:val="en-US"/>
        </w:rPr>
        <w:t xml:space="preserve">The Enhanced CPA comprises a series of resources that provide the methodological framework for each of the components of the Enhanced CPA study.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016A"/>
    <w:multiLevelType w:val="hybridMultilevel"/>
    <w:tmpl w:val="C014702C"/>
    <w:lvl w:ilvl="0" w:tplc="1E1C6EDE">
      <w:start w:val="1"/>
      <w:numFmt w:val="low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9134F04"/>
    <w:multiLevelType w:val="hybridMultilevel"/>
    <w:tmpl w:val="C0F63E60"/>
    <w:lvl w:ilvl="0" w:tplc="727A28D4">
      <w:start w:val="1"/>
      <w:numFmt w:val="decimal"/>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FB3008"/>
    <w:multiLevelType w:val="hybridMultilevel"/>
    <w:tmpl w:val="D7044D06"/>
    <w:lvl w:ilvl="0" w:tplc="AB347D5C">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152A2C44"/>
    <w:multiLevelType w:val="hybridMultilevel"/>
    <w:tmpl w:val="2E8031A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F303858"/>
    <w:multiLevelType w:val="hybridMultilevel"/>
    <w:tmpl w:val="76FAF0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F66362C"/>
    <w:multiLevelType w:val="hybridMultilevel"/>
    <w:tmpl w:val="E03E6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F001A2"/>
    <w:multiLevelType w:val="hybridMultilevel"/>
    <w:tmpl w:val="8FAEAC2E"/>
    <w:lvl w:ilvl="0" w:tplc="DEC8514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784FAF"/>
    <w:multiLevelType w:val="hybridMultilevel"/>
    <w:tmpl w:val="AB100696"/>
    <w:lvl w:ilvl="0" w:tplc="B316C190">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BC25468"/>
    <w:multiLevelType w:val="hybridMultilevel"/>
    <w:tmpl w:val="DF08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C4B13"/>
    <w:multiLevelType w:val="hybridMultilevel"/>
    <w:tmpl w:val="CB9E11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84C5E"/>
    <w:multiLevelType w:val="hybridMultilevel"/>
    <w:tmpl w:val="40661D0C"/>
    <w:lvl w:ilvl="0" w:tplc="11BCD4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B9427B"/>
    <w:multiLevelType w:val="hybridMultilevel"/>
    <w:tmpl w:val="B23C374C"/>
    <w:lvl w:ilvl="0" w:tplc="9A089F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C1BFC"/>
    <w:multiLevelType w:val="hybridMultilevel"/>
    <w:tmpl w:val="890A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F2120"/>
    <w:multiLevelType w:val="hybridMultilevel"/>
    <w:tmpl w:val="D7044D06"/>
    <w:lvl w:ilvl="0" w:tplc="AB347D5C">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4" w15:restartNumberingAfterBreak="0">
    <w:nsid w:val="575E036F"/>
    <w:multiLevelType w:val="hybridMultilevel"/>
    <w:tmpl w:val="5382287C"/>
    <w:lvl w:ilvl="0" w:tplc="7F6E10E2">
      <w:start w:val="1"/>
      <w:numFmt w:val="low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BBD195E"/>
    <w:multiLevelType w:val="hybridMultilevel"/>
    <w:tmpl w:val="0EDED484"/>
    <w:lvl w:ilvl="0" w:tplc="B316C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E13DB"/>
    <w:multiLevelType w:val="hybridMultilevel"/>
    <w:tmpl w:val="F38852B0"/>
    <w:lvl w:ilvl="0" w:tplc="0409000F">
      <w:start w:val="1"/>
      <w:numFmt w:val="decimal"/>
      <w:lvlText w:val="%1."/>
      <w:lvlJc w:val="left"/>
      <w:pPr>
        <w:ind w:left="1440" w:hanging="360"/>
      </w:pPr>
    </w:lvl>
    <w:lvl w:ilvl="1" w:tplc="09AC6C22">
      <w:start w:val="1"/>
      <w:numFmt w:val="lowerLetter"/>
      <w:lvlText w:val="%2."/>
      <w:lvlJc w:val="left"/>
      <w:pPr>
        <w:ind w:left="2160" w:hanging="360"/>
      </w:pPr>
    </w:lvl>
    <w:lvl w:ilvl="2" w:tplc="D58CD48A">
      <w:start w:val="1"/>
      <w:numFmt w:val="lowerRoman"/>
      <w:lvlText w:val="%3."/>
      <w:lvlJc w:val="right"/>
      <w:pPr>
        <w:ind w:left="2880" w:hanging="180"/>
      </w:pPr>
    </w:lvl>
    <w:lvl w:ilvl="3" w:tplc="2A7E687E">
      <w:start w:val="1"/>
      <w:numFmt w:val="decimal"/>
      <w:lvlText w:val="%4."/>
      <w:lvlJc w:val="left"/>
      <w:pPr>
        <w:ind w:left="3600" w:hanging="360"/>
      </w:pPr>
    </w:lvl>
    <w:lvl w:ilvl="4" w:tplc="0F44F376">
      <w:start w:val="1"/>
      <w:numFmt w:val="lowerLetter"/>
      <w:lvlText w:val="%5."/>
      <w:lvlJc w:val="left"/>
      <w:pPr>
        <w:ind w:left="4320" w:hanging="360"/>
      </w:pPr>
    </w:lvl>
    <w:lvl w:ilvl="5" w:tplc="9738BAFC">
      <w:start w:val="1"/>
      <w:numFmt w:val="lowerRoman"/>
      <w:lvlText w:val="%6."/>
      <w:lvlJc w:val="right"/>
      <w:pPr>
        <w:ind w:left="5040" w:hanging="180"/>
      </w:pPr>
    </w:lvl>
    <w:lvl w:ilvl="6" w:tplc="0540B4D4">
      <w:start w:val="1"/>
      <w:numFmt w:val="decimal"/>
      <w:lvlText w:val="%7."/>
      <w:lvlJc w:val="left"/>
      <w:pPr>
        <w:ind w:left="5760" w:hanging="360"/>
      </w:pPr>
    </w:lvl>
    <w:lvl w:ilvl="7" w:tplc="B4A82708">
      <w:start w:val="1"/>
      <w:numFmt w:val="lowerLetter"/>
      <w:lvlText w:val="%8."/>
      <w:lvlJc w:val="left"/>
      <w:pPr>
        <w:ind w:left="6480" w:hanging="360"/>
      </w:pPr>
    </w:lvl>
    <w:lvl w:ilvl="8" w:tplc="BA3035DE">
      <w:start w:val="1"/>
      <w:numFmt w:val="lowerRoman"/>
      <w:lvlText w:val="%9."/>
      <w:lvlJc w:val="right"/>
      <w:pPr>
        <w:ind w:left="7200" w:hanging="180"/>
      </w:pPr>
    </w:lvl>
  </w:abstractNum>
  <w:abstractNum w:abstractNumId="17" w15:restartNumberingAfterBreak="0">
    <w:nsid w:val="6F170B39"/>
    <w:multiLevelType w:val="hybridMultilevel"/>
    <w:tmpl w:val="48C052F6"/>
    <w:lvl w:ilvl="0" w:tplc="AB347D5C">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8" w15:restartNumberingAfterBreak="0">
    <w:nsid w:val="75C67898"/>
    <w:multiLevelType w:val="hybridMultilevel"/>
    <w:tmpl w:val="ABBE289E"/>
    <w:lvl w:ilvl="0" w:tplc="A9606FEA">
      <w:start w:val="3"/>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7"/>
  </w:num>
  <w:num w:numId="2">
    <w:abstractNumId w:val="12"/>
  </w:num>
  <w:num w:numId="3">
    <w:abstractNumId w:val="9"/>
  </w:num>
  <w:num w:numId="4">
    <w:abstractNumId w:val="0"/>
  </w:num>
  <w:num w:numId="5">
    <w:abstractNumId w:val="16"/>
  </w:num>
  <w:num w:numId="6">
    <w:abstractNumId w:val="1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8"/>
  </w:num>
  <w:num w:numId="16">
    <w:abstractNumId w:val="4"/>
  </w:num>
  <w:num w:numId="17">
    <w:abstractNumId w:val="10"/>
  </w:num>
  <w:num w:numId="18">
    <w:abstractNumId w:val="6"/>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E8"/>
    <w:rsid w:val="00002B95"/>
    <w:rsid w:val="00013E4D"/>
    <w:rsid w:val="00020D78"/>
    <w:rsid w:val="000243A7"/>
    <w:rsid w:val="00037533"/>
    <w:rsid w:val="00054C7E"/>
    <w:rsid w:val="00063811"/>
    <w:rsid w:val="00070D86"/>
    <w:rsid w:val="0008685F"/>
    <w:rsid w:val="00095D5C"/>
    <w:rsid w:val="000B541E"/>
    <w:rsid w:val="000D0C11"/>
    <w:rsid w:val="000D423F"/>
    <w:rsid w:val="000E078D"/>
    <w:rsid w:val="000E1171"/>
    <w:rsid w:val="001226DA"/>
    <w:rsid w:val="001656D1"/>
    <w:rsid w:val="00171158"/>
    <w:rsid w:val="00176CFF"/>
    <w:rsid w:val="0018148D"/>
    <w:rsid w:val="001A171A"/>
    <w:rsid w:val="001B014D"/>
    <w:rsid w:val="001E3E37"/>
    <w:rsid w:val="001E5791"/>
    <w:rsid w:val="00201F8F"/>
    <w:rsid w:val="00230BB0"/>
    <w:rsid w:val="00241E02"/>
    <w:rsid w:val="00242BEC"/>
    <w:rsid w:val="00257E18"/>
    <w:rsid w:val="0028466E"/>
    <w:rsid w:val="00293874"/>
    <w:rsid w:val="002A1BC0"/>
    <w:rsid w:val="002A73E7"/>
    <w:rsid w:val="002A74D6"/>
    <w:rsid w:val="002B4EDD"/>
    <w:rsid w:val="002B520C"/>
    <w:rsid w:val="002C4261"/>
    <w:rsid w:val="002D06F9"/>
    <w:rsid w:val="002F0BF5"/>
    <w:rsid w:val="00300C11"/>
    <w:rsid w:val="0031223B"/>
    <w:rsid w:val="003263C9"/>
    <w:rsid w:val="00345B2F"/>
    <w:rsid w:val="003513A1"/>
    <w:rsid w:val="00363C71"/>
    <w:rsid w:val="003774E9"/>
    <w:rsid w:val="0037793F"/>
    <w:rsid w:val="00377C78"/>
    <w:rsid w:val="00385A3E"/>
    <w:rsid w:val="0039212E"/>
    <w:rsid w:val="00394F83"/>
    <w:rsid w:val="003A159C"/>
    <w:rsid w:val="003A7B07"/>
    <w:rsid w:val="003D08B7"/>
    <w:rsid w:val="003D2B14"/>
    <w:rsid w:val="003E031A"/>
    <w:rsid w:val="003E4589"/>
    <w:rsid w:val="003E6093"/>
    <w:rsid w:val="003F171F"/>
    <w:rsid w:val="003F38F5"/>
    <w:rsid w:val="004030A2"/>
    <w:rsid w:val="00407FF6"/>
    <w:rsid w:val="00424DAA"/>
    <w:rsid w:val="004264AA"/>
    <w:rsid w:val="00431FD6"/>
    <w:rsid w:val="00443476"/>
    <w:rsid w:val="00453EED"/>
    <w:rsid w:val="00455AC5"/>
    <w:rsid w:val="00471BB5"/>
    <w:rsid w:val="00480696"/>
    <w:rsid w:val="00487916"/>
    <w:rsid w:val="00497A88"/>
    <w:rsid w:val="004B01F0"/>
    <w:rsid w:val="004B2FF5"/>
    <w:rsid w:val="004C2D7A"/>
    <w:rsid w:val="004D798B"/>
    <w:rsid w:val="004E6127"/>
    <w:rsid w:val="004F7E8A"/>
    <w:rsid w:val="00520C21"/>
    <w:rsid w:val="00534E4B"/>
    <w:rsid w:val="005368CE"/>
    <w:rsid w:val="00537FF2"/>
    <w:rsid w:val="005551F4"/>
    <w:rsid w:val="00564DC1"/>
    <w:rsid w:val="0056629C"/>
    <w:rsid w:val="00584748"/>
    <w:rsid w:val="005847C8"/>
    <w:rsid w:val="005B365D"/>
    <w:rsid w:val="005C6110"/>
    <w:rsid w:val="005D6D6A"/>
    <w:rsid w:val="00606EF9"/>
    <w:rsid w:val="006343C4"/>
    <w:rsid w:val="00654B62"/>
    <w:rsid w:val="0065781C"/>
    <w:rsid w:val="00657D89"/>
    <w:rsid w:val="00663DA2"/>
    <w:rsid w:val="00667360"/>
    <w:rsid w:val="0067126A"/>
    <w:rsid w:val="00686B9A"/>
    <w:rsid w:val="00692910"/>
    <w:rsid w:val="006E2A82"/>
    <w:rsid w:val="006F0A72"/>
    <w:rsid w:val="006F3388"/>
    <w:rsid w:val="006F4232"/>
    <w:rsid w:val="006F5E51"/>
    <w:rsid w:val="00712DDA"/>
    <w:rsid w:val="0072415C"/>
    <w:rsid w:val="007404E3"/>
    <w:rsid w:val="0074777B"/>
    <w:rsid w:val="007506D8"/>
    <w:rsid w:val="0079520B"/>
    <w:rsid w:val="007A6D86"/>
    <w:rsid w:val="007B170C"/>
    <w:rsid w:val="007B5337"/>
    <w:rsid w:val="007D0989"/>
    <w:rsid w:val="007D2BB9"/>
    <w:rsid w:val="007E580D"/>
    <w:rsid w:val="007F02BA"/>
    <w:rsid w:val="007F292C"/>
    <w:rsid w:val="00804763"/>
    <w:rsid w:val="00811013"/>
    <w:rsid w:val="0081345E"/>
    <w:rsid w:val="00814CEC"/>
    <w:rsid w:val="00821F0D"/>
    <w:rsid w:val="008235FA"/>
    <w:rsid w:val="0084417C"/>
    <w:rsid w:val="00853811"/>
    <w:rsid w:val="008615B4"/>
    <w:rsid w:val="008728D9"/>
    <w:rsid w:val="0087523C"/>
    <w:rsid w:val="00880F6A"/>
    <w:rsid w:val="00882751"/>
    <w:rsid w:val="00883FB1"/>
    <w:rsid w:val="008A74EA"/>
    <w:rsid w:val="008B0366"/>
    <w:rsid w:val="008B2EC7"/>
    <w:rsid w:val="008B7242"/>
    <w:rsid w:val="008C0A05"/>
    <w:rsid w:val="008C67EA"/>
    <w:rsid w:val="008D2DFA"/>
    <w:rsid w:val="008D33AC"/>
    <w:rsid w:val="008F027C"/>
    <w:rsid w:val="00903758"/>
    <w:rsid w:val="0091194B"/>
    <w:rsid w:val="00914E68"/>
    <w:rsid w:val="00932A4E"/>
    <w:rsid w:val="0095278C"/>
    <w:rsid w:val="009650C9"/>
    <w:rsid w:val="00990E49"/>
    <w:rsid w:val="009A629A"/>
    <w:rsid w:val="009B1B71"/>
    <w:rsid w:val="009B42B2"/>
    <w:rsid w:val="009B7277"/>
    <w:rsid w:val="009C05EC"/>
    <w:rsid w:val="009E25E6"/>
    <w:rsid w:val="009E2D50"/>
    <w:rsid w:val="00A057AB"/>
    <w:rsid w:val="00A05D73"/>
    <w:rsid w:val="00A32E12"/>
    <w:rsid w:val="00A51E7A"/>
    <w:rsid w:val="00A548D5"/>
    <w:rsid w:val="00A61B9B"/>
    <w:rsid w:val="00A80232"/>
    <w:rsid w:val="00AB0042"/>
    <w:rsid w:val="00AB05DD"/>
    <w:rsid w:val="00AF05F2"/>
    <w:rsid w:val="00B03EC2"/>
    <w:rsid w:val="00B06FE4"/>
    <w:rsid w:val="00B27949"/>
    <w:rsid w:val="00BB211A"/>
    <w:rsid w:val="00BB36F0"/>
    <w:rsid w:val="00BC28EE"/>
    <w:rsid w:val="00BE56E5"/>
    <w:rsid w:val="00BE7094"/>
    <w:rsid w:val="00BF3EF1"/>
    <w:rsid w:val="00C265E8"/>
    <w:rsid w:val="00C309F4"/>
    <w:rsid w:val="00C36BFA"/>
    <w:rsid w:val="00C7574B"/>
    <w:rsid w:val="00CA084E"/>
    <w:rsid w:val="00CA58CB"/>
    <w:rsid w:val="00CA7534"/>
    <w:rsid w:val="00CC1959"/>
    <w:rsid w:val="00CE0A6F"/>
    <w:rsid w:val="00D123E5"/>
    <w:rsid w:val="00D13105"/>
    <w:rsid w:val="00D23283"/>
    <w:rsid w:val="00D27B32"/>
    <w:rsid w:val="00D3778A"/>
    <w:rsid w:val="00D64F8A"/>
    <w:rsid w:val="00D81913"/>
    <w:rsid w:val="00D8241A"/>
    <w:rsid w:val="00DB1C39"/>
    <w:rsid w:val="00DC1CCD"/>
    <w:rsid w:val="00DC3D60"/>
    <w:rsid w:val="00DE4985"/>
    <w:rsid w:val="00DF2834"/>
    <w:rsid w:val="00DF7512"/>
    <w:rsid w:val="00E073EA"/>
    <w:rsid w:val="00E340A3"/>
    <w:rsid w:val="00E40E4A"/>
    <w:rsid w:val="00E63F89"/>
    <w:rsid w:val="00E64F11"/>
    <w:rsid w:val="00E66B15"/>
    <w:rsid w:val="00E80C36"/>
    <w:rsid w:val="00E8551D"/>
    <w:rsid w:val="00EA712D"/>
    <w:rsid w:val="00EB0028"/>
    <w:rsid w:val="00EB5A97"/>
    <w:rsid w:val="00EC59CF"/>
    <w:rsid w:val="00ED14AA"/>
    <w:rsid w:val="00ED3F91"/>
    <w:rsid w:val="00EE1472"/>
    <w:rsid w:val="00EE6AD6"/>
    <w:rsid w:val="00F265A0"/>
    <w:rsid w:val="00F3140B"/>
    <w:rsid w:val="00F34385"/>
    <w:rsid w:val="00F36CC8"/>
    <w:rsid w:val="00F4558C"/>
    <w:rsid w:val="00F474EE"/>
    <w:rsid w:val="00F50801"/>
    <w:rsid w:val="00F56139"/>
    <w:rsid w:val="00F74C9C"/>
    <w:rsid w:val="00F9234A"/>
    <w:rsid w:val="00F924AE"/>
    <w:rsid w:val="00F93CF8"/>
    <w:rsid w:val="00F95E92"/>
    <w:rsid w:val="00F9633A"/>
    <w:rsid w:val="00FC2F29"/>
    <w:rsid w:val="00FD0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749CA3"/>
  <w15:docId w15:val="{9D9807AA-47FA-4A01-87F0-79BD5CD6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5E8"/>
    <w:pPr>
      <w:spacing w:after="200" w:line="276"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1,List Paragraph nowy,References,Liste 1,List Paragraph1,List Paragraph (numbered (a)),Numbered List Paragraph,Medium Grid 1 - Accent 21,List Bullet Mary,ReferencesCxSpLast,Liste couleur - Accent 11,Main numbered paragraph"/>
    <w:basedOn w:val="Normal"/>
    <w:link w:val="ListParagraphChar"/>
    <w:uiPriority w:val="34"/>
    <w:qFormat/>
    <w:rsid w:val="00C265E8"/>
    <w:pPr>
      <w:ind w:left="720"/>
      <w:contextualSpacing/>
    </w:pPr>
  </w:style>
  <w:style w:type="character" w:styleId="CommentReference">
    <w:name w:val="annotation reference"/>
    <w:basedOn w:val="DefaultParagraphFont"/>
    <w:uiPriority w:val="99"/>
    <w:semiHidden/>
    <w:unhideWhenUsed/>
    <w:rsid w:val="00D3778A"/>
    <w:rPr>
      <w:sz w:val="16"/>
      <w:szCs w:val="16"/>
    </w:rPr>
  </w:style>
  <w:style w:type="paragraph" w:styleId="CommentText">
    <w:name w:val="annotation text"/>
    <w:basedOn w:val="Normal"/>
    <w:link w:val="CommentTextChar"/>
    <w:uiPriority w:val="99"/>
    <w:semiHidden/>
    <w:unhideWhenUsed/>
    <w:rsid w:val="00D3778A"/>
    <w:pPr>
      <w:spacing w:line="240" w:lineRule="auto"/>
    </w:pPr>
    <w:rPr>
      <w:sz w:val="20"/>
      <w:szCs w:val="20"/>
    </w:rPr>
  </w:style>
  <w:style w:type="character" w:customStyle="1" w:styleId="CommentTextChar">
    <w:name w:val="Comment Text Char"/>
    <w:basedOn w:val="DefaultParagraphFont"/>
    <w:link w:val="CommentText"/>
    <w:uiPriority w:val="99"/>
    <w:semiHidden/>
    <w:rsid w:val="00D3778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778A"/>
    <w:rPr>
      <w:b/>
      <w:bCs/>
    </w:rPr>
  </w:style>
  <w:style w:type="character" w:customStyle="1" w:styleId="CommentSubjectChar">
    <w:name w:val="Comment Subject Char"/>
    <w:basedOn w:val="CommentTextChar"/>
    <w:link w:val="CommentSubject"/>
    <w:uiPriority w:val="99"/>
    <w:semiHidden/>
    <w:rsid w:val="00D3778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3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8A"/>
    <w:rPr>
      <w:rFonts w:ascii="Segoe UI" w:eastAsia="Calibri" w:hAnsi="Segoe UI" w:cs="Segoe UI"/>
      <w:sz w:val="18"/>
      <w:szCs w:val="18"/>
    </w:rPr>
  </w:style>
  <w:style w:type="paragraph" w:styleId="FootnoteText">
    <w:name w:val="footnote text"/>
    <w:basedOn w:val="Normal"/>
    <w:link w:val="FootnoteTextChar"/>
    <w:semiHidden/>
    <w:unhideWhenUsed/>
    <w:rsid w:val="00D123E5"/>
    <w:pPr>
      <w:spacing w:after="0" w:line="240" w:lineRule="auto"/>
    </w:pPr>
    <w:rPr>
      <w:rFonts w:eastAsia="MS Mincho"/>
      <w:sz w:val="20"/>
      <w:szCs w:val="20"/>
      <w:lang w:val="en-GB" w:eastAsia="ja-JP"/>
    </w:rPr>
  </w:style>
  <w:style w:type="character" w:customStyle="1" w:styleId="FootnoteTextChar">
    <w:name w:val="Footnote Text Char"/>
    <w:basedOn w:val="DefaultParagraphFont"/>
    <w:link w:val="FootnoteText"/>
    <w:semiHidden/>
    <w:rsid w:val="00D123E5"/>
    <w:rPr>
      <w:rFonts w:ascii="Times New Roman" w:eastAsia="MS Mincho" w:hAnsi="Times New Roman" w:cs="Times New Roman"/>
      <w:sz w:val="20"/>
      <w:szCs w:val="20"/>
      <w:lang w:val="en-GB" w:eastAsia="ja-JP"/>
    </w:rPr>
  </w:style>
  <w:style w:type="character" w:customStyle="1" w:styleId="ListParagraphChar">
    <w:name w:val="List Paragraph Char"/>
    <w:aliases w:val="Bullet L1 Char,List Paragraph nowy Char,References Char,Liste 1 Char,List Paragraph1 Char,List Paragraph (numbered (a)) Char,Numbered List Paragraph Char,Medium Grid 1 - Accent 21 Char,List Bullet Mary Char,ReferencesCxSpLast Char"/>
    <w:basedOn w:val="DefaultParagraphFont"/>
    <w:link w:val="ListParagraph"/>
    <w:uiPriority w:val="34"/>
    <w:qFormat/>
    <w:locked/>
    <w:rsid w:val="00D123E5"/>
    <w:rPr>
      <w:rFonts w:ascii="Times New Roman" w:eastAsia="Calibri" w:hAnsi="Times New Roman" w:cs="Times New Roman"/>
      <w:szCs w:val="24"/>
    </w:rPr>
  </w:style>
  <w:style w:type="character" w:styleId="FootnoteReference">
    <w:name w:val="footnote reference"/>
    <w:semiHidden/>
    <w:unhideWhenUsed/>
    <w:rsid w:val="00D123E5"/>
    <w:rPr>
      <w:vertAlign w:val="superscript"/>
    </w:rPr>
  </w:style>
  <w:style w:type="table" w:styleId="TableGrid">
    <w:name w:val="Table Grid"/>
    <w:basedOn w:val="TableNormal"/>
    <w:rsid w:val="00D123E5"/>
    <w:pPr>
      <w:spacing w:after="0" w:line="240" w:lineRule="auto"/>
    </w:pPr>
    <w:rPr>
      <w:rFonts w:ascii="Times New Roman" w:eastAsia="Times New Roman" w:hAnsi="Times New Roman" w:cs="Times New Roman"/>
      <w:sz w:val="20"/>
      <w:szCs w:val="20"/>
      <w:lang w:val="en-TT" w:eastAsia="en-T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365D"/>
    <w:rPr>
      <w:color w:val="0563C1" w:themeColor="hyperlink"/>
      <w:u w:val="single"/>
    </w:rPr>
  </w:style>
  <w:style w:type="character" w:customStyle="1" w:styleId="Mention1">
    <w:name w:val="Mention1"/>
    <w:basedOn w:val="DefaultParagraphFont"/>
    <w:uiPriority w:val="99"/>
    <w:semiHidden/>
    <w:unhideWhenUsed/>
    <w:rsid w:val="005B365D"/>
    <w:rPr>
      <w:color w:val="2B579A"/>
      <w:shd w:val="clear" w:color="auto" w:fill="E6E6E6"/>
    </w:rPr>
  </w:style>
  <w:style w:type="paragraph" w:styleId="Header">
    <w:name w:val="header"/>
    <w:basedOn w:val="Normal"/>
    <w:link w:val="HeaderChar"/>
    <w:uiPriority w:val="99"/>
    <w:unhideWhenUsed/>
    <w:rsid w:val="00002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95"/>
    <w:rPr>
      <w:rFonts w:ascii="Times New Roman" w:eastAsia="Calibri" w:hAnsi="Times New Roman" w:cs="Times New Roman"/>
      <w:szCs w:val="24"/>
    </w:rPr>
  </w:style>
  <w:style w:type="paragraph" w:styleId="Footer">
    <w:name w:val="footer"/>
    <w:basedOn w:val="Normal"/>
    <w:link w:val="FooterChar"/>
    <w:uiPriority w:val="99"/>
    <w:unhideWhenUsed/>
    <w:rsid w:val="00002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95"/>
    <w:rPr>
      <w:rFonts w:ascii="Times New Roman" w:eastAsia="Calibri" w:hAnsi="Times New Roman" w:cs="Times New Roman"/>
      <w:szCs w:val="24"/>
    </w:rPr>
  </w:style>
  <w:style w:type="character" w:customStyle="1" w:styleId="UnresolvedMention1">
    <w:name w:val="Unresolved Mention1"/>
    <w:basedOn w:val="DefaultParagraphFont"/>
    <w:uiPriority w:val="99"/>
    <w:semiHidden/>
    <w:unhideWhenUsed/>
    <w:rsid w:val="00A32E12"/>
    <w:rPr>
      <w:color w:val="808080"/>
      <w:shd w:val="clear" w:color="auto" w:fill="E6E6E6"/>
    </w:rPr>
  </w:style>
  <w:style w:type="character" w:customStyle="1" w:styleId="UnresolvedMention2">
    <w:name w:val="Unresolved Mention2"/>
    <w:basedOn w:val="DefaultParagraphFont"/>
    <w:uiPriority w:val="99"/>
    <w:semiHidden/>
    <w:unhideWhenUsed/>
    <w:rsid w:val="004B01F0"/>
    <w:rPr>
      <w:color w:val="808080"/>
      <w:shd w:val="clear" w:color="auto" w:fill="E6E6E6"/>
    </w:rPr>
  </w:style>
  <w:style w:type="character" w:customStyle="1" w:styleId="UnresolvedMention3">
    <w:name w:val="Unresolved Mention3"/>
    <w:basedOn w:val="DefaultParagraphFont"/>
    <w:uiPriority w:val="99"/>
    <w:semiHidden/>
    <w:unhideWhenUsed/>
    <w:rsid w:val="00EB0028"/>
    <w:rPr>
      <w:color w:val="808080"/>
      <w:shd w:val="clear" w:color="auto" w:fill="E6E6E6"/>
    </w:rPr>
  </w:style>
  <w:style w:type="paragraph" w:customStyle="1" w:styleId="Default">
    <w:name w:val="Default"/>
    <w:rsid w:val="006E2A82"/>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932A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81915">
      <w:bodyDiv w:val="1"/>
      <w:marLeft w:val="0"/>
      <w:marRight w:val="0"/>
      <w:marTop w:val="0"/>
      <w:marBottom w:val="0"/>
      <w:divBdr>
        <w:top w:val="none" w:sz="0" w:space="0" w:color="auto"/>
        <w:left w:val="none" w:sz="0" w:space="0" w:color="auto"/>
        <w:bottom w:val="none" w:sz="0" w:space="0" w:color="auto"/>
        <w:right w:val="none" w:sz="0" w:space="0" w:color="auto"/>
      </w:divBdr>
    </w:div>
    <w:div w:id="379937078">
      <w:bodyDiv w:val="1"/>
      <w:marLeft w:val="0"/>
      <w:marRight w:val="0"/>
      <w:marTop w:val="0"/>
      <w:marBottom w:val="0"/>
      <w:divBdr>
        <w:top w:val="none" w:sz="0" w:space="0" w:color="auto"/>
        <w:left w:val="none" w:sz="0" w:space="0" w:color="auto"/>
        <w:bottom w:val="none" w:sz="0" w:space="0" w:color="auto"/>
        <w:right w:val="none" w:sz="0" w:space="0" w:color="auto"/>
      </w:divBdr>
    </w:div>
    <w:div w:id="475877088">
      <w:bodyDiv w:val="1"/>
      <w:marLeft w:val="0"/>
      <w:marRight w:val="0"/>
      <w:marTop w:val="0"/>
      <w:marBottom w:val="0"/>
      <w:divBdr>
        <w:top w:val="none" w:sz="0" w:space="0" w:color="auto"/>
        <w:left w:val="none" w:sz="0" w:space="0" w:color="auto"/>
        <w:bottom w:val="none" w:sz="0" w:space="0" w:color="auto"/>
        <w:right w:val="none" w:sz="0" w:space="0" w:color="auto"/>
      </w:divBdr>
    </w:div>
    <w:div w:id="648945780">
      <w:bodyDiv w:val="1"/>
      <w:marLeft w:val="0"/>
      <w:marRight w:val="0"/>
      <w:marTop w:val="0"/>
      <w:marBottom w:val="0"/>
      <w:divBdr>
        <w:top w:val="none" w:sz="0" w:space="0" w:color="auto"/>
        <w:left w:val="none" w:sz="0" w:space="0" w:color="auto"/>
        <w:bottom w:val="none" w:sz="0" w:space="0" w:color="auto"/>
        <w:right w:val="none" w:sz="0" w:space="0" w:color="auto"/>
      </w:divBdr>
    </w:div>
    <w:div w:id="1884056771">
      <w:bodyDiv w:val="1"/>
      <w:marLeft w:val="0"/>
      <w:marRight w:val="0"/>
      <w:marTop w:val="0"/>
      <w:marBottom w:val="0"/>
      <w:divBdr>
        <w:top w:val="none" w:sz="0" w:space="0" w:color="auto"/>
        <w:left w:val="none" w:sz="0" w:space="0" w:color="auto"/>
        <w:bottom w:val="none" w:sz="0" w:space="0" w:color="auto"/>
        <w:right w:val="none" w:sz="0" w:space="0" w:color="auto"/>
      </w:divBdr>
    </w:div>
    <w:div w:id="2105880288">
      <w:bodyDiv w:val="1"/>
      <w:marLeft w:val="0"/>
      <w:marRight w:val="0"/>
      <w:marTop w:val="0"/>
      <w:marBottom w:val="0"/>
      <w:divBdr>
        <w:top w:val="none" w:sz="0" w:space="0" w:color="auto"/>
        <w:left w:val="none" w:sz="0" w:space="0" w:color="auto"/>
        <w:bottom w:val="none" w:sz="0" w:space="0" w:color="auto"/>
        <w:right w:val="none" w:sz="0" w:space="0" w:color="auto"/>
      </w:divBdr>
    </w:div>
    <w:div w:id="2119176793">
      <w:bodyDiv w:val="1"/>
      <w:marLeft w:val="0"/>
      <w:marRight w:val="0"/>
      <w:marTop w:val="0"/>
      <w:marBottom w:val="0"/>
      <w:divBdr>
        <w:top w:val="none" w:sz="0" w:space="0" w:color="auto"/>
        <w:left w:val="none" w:sz="0" w:space="0" w:color="auto"/>
        <w:bottom w:val="none" w:sz="0" w:space="0" w:color="auto"/>
        <w:right w:val="none" w:sz="0" w:space="0" w:color="auto"/>
      </w:divBdr>
    </w:div>
    <w:div w:id="21429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914B-C33F-4243-905B-A32DE79A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20269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Calus  Monchery</dc:creator>
  <cp:lastModifiedBy>Johanna Pelaez</cp:lastModifiedBy>
  <cp:revision>2</cp:revision>
  <cp:lastPrinted>2017-07-25T14:17:00Z</cp:lastPrinted>
  <dcterms:created xsi:type="dcterms:W3CDTF">2019-11-15T20:58:00Z</dcterms:created>
  <dcterms:modified xsi:type="dcterms:W3CDTF">2019-11-15T20:58:00Z</dcterms:modified>
</cp:coreProperties>
</file>