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8457A" w14:textId="77777777" w:rsidR="00E60746" w:rsidRPr="00223439" w:rsidRDefault="00E60746" w:rsidP="00E60746">
      <w:pPr>
        <w:spacing w:after="0" w:line="240" w:lineRule="auto"/>
        <w:jc w:val="center"/>
        <w:rPr>
          <w:rFonts w:ascii="Times New Roman" w:hAnsi="Times New Roman" w:cs="Times New Roman"/>
          <w:b/>
          <w:u w:val="single"/>
        </w:rPr>
      </w:pPr>
      <w:bookmarkStart w:id="0" w:name="_GoBack"/>
      <w:bookmarkEnd w:id="0"/>
      <w:r>
        <w:rPr>
          <w:rFonts w:ascii="Times New Roman" w:hAnsi="Times New Roman" w:cs="Times New Roman"/>
          <w:b/>
          <w:u w:val="single"/>
        </w:rPr>
        <w:t xml:space="preserve">DRAFT </w:t>
      </w:r>
      <w:r w:rsidRPr="00223439">
        <w:rPr>
          <w:rFonts w:ascii="Times New Roman" w:hAnsi="Times New Roman" w:cs="Times New Roman"/>
          <w:b/>
          <w:u w:val="single"/>
        </w:rPr>
        <w:t>TERMS OF REFERENCE</w:t>
      </w:r>
    </w:p>
    <w:p w14:paraId="7D406F06" w14:textId="64BB5344" w:rsidR="00EB6EFA" w:rsidRPr="00223439" w:rsidRDefault="00251AA8" w:rsidP="00EF46A8">
      <w:pPr>
        <w:spacing w:after="0" w:line="240" w:lineRule="auto"/>
        <w:jc w:val="center"/>
        <w:rPr>
          <w:rFonts w:ascii="Times New Roman" w:hAnsi="Times New Roman" w:cs="Times New Roman"/>
          <w:b/>
          <w:u w:val="single"/>
        </w:rPr>
      </w:pPr>
      <w:r>
        <w:rPr>
          <w:rFonts w:ascii="Times New Roman" w:hAnsi="Times New Roman" w:cs="Times New Roman"/>
          <w:b/>
          <w:u w:val="single"/>
        </w:rPr>
        <w:t>FINAL</w:t>
      </w:r>
      <w:r w:rsidR="00E60746">
        <w:rPr>
          <w:rFonts w:ascii="Times New Roman" w:hAnsi="Times New Roman" w:cs="Times New Roman"/>
          <w:b/>
          <w:u w:val="single"/>
        </w:rPr>
        <w:t xml:space="preserve"> </w:t>
      </w:r>
      <w:r w:rsidR="00223439" w:rsidRPr="00223439">
        <w:rPr>
          <w:rFonts w:ascii="Times New Roman" w:hAnsi="Times New Roman" w:cs="Times New Roman"/>
          <w:b/>
          <w:u w:val="single"/>
        </w:rPr>
        <w:t xml:space="preserve">EVALUATION </w:t>
      </w:r>
    </w:p>
    <w:p w14:paraId="2BF045AC" w14:textId="77777777" w:rsidR="00EF46A8" w:rsidRPr="00223439" w:rsidRDefault="00223439" w:rsidP="00EF46A8">
      <w:pPr>
        <w:spacing w:after="0" w:line="240" w:lineRule="auto"/>
        <w:jc w:val="center"/>
        <w:rPr>
          <w:rFonts w:ascii="Times New Roman" w:hAnsi="Times New Roman" w:cs="Times New Roman"/>
          <w:b/>
          <w:u w:val="single"/>
        </w:rPr>
      </w:pPr>
      <w:r w:rsidRPr="00223439">
        <w:rPr>
          <w:rFonts w:ascii="Times New Roman" w:hAnsi="Times New Roman" w:cs="Times New Roman"/>
          <w:b/>
          <w:u w:val="single"/>
        </w:rPr>
        <w:t xml:space="preserve">COMMUNITY DISASTER RISK REDUCTION FUND </w:t>
      </w:r>
    </w:p>
    <w:p w14:paraId="0F0BAAC3" w14:textId="77777777" w:rsidR="00EB6EFA" w:rsidRPr="00223439" w:rsidRDefault="00EB6EFA" w:rsidP="00EF46A8">
      <w:pPr>
        <w:spacing w:after="0" w:line="240" w:lineRule="auto"/>
        <w:jc w:val="both"/>
        <w:rPr>
          <w:rFonts w:ascii="Times New Roman" w:hAnsi="Times New Roman" w:cs="Times New Roman"/>
        </w:rPr>
      </w:pPr>
    </w:p>
    <w:p w14:paraId="4DA2B5A8" w14:textId="77777777" w:rsidR="00484B7B" w:rsidRDefault="00223439" w:rsidP="00EF46A8">
      <w:pPr>
        <w:spacing w:after="0" w:line="240" w:lineRule="auto"/>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sidRPr="007D2220">
        <w:rPr>
          <w:rFonts w:ascii="Times New Roman" w:hAnsi="Times New Roman" w:cs="Times New Roman"/>
          <w:b/>
          <w:u w:val="single"/>
        </w:rPr>
        <w:t>BACKGROUND</w:t>
      </w:r>
    </w:p>
    <w:p w14:paraId="761FDE6C" w14:textId="77777777" w:rsidR="00EF46A8" w:rsidRPr="00223439" w:rsidRDefault="00EF46A8" w:rsidP="00EF46A8">
      <w:pPr>
        <w:spacing w:after="0" w:line="240" w:lineRule="auto"/>
        <w:rPr>
          <w:rFonts w:ascii="Times New Roman" w:hAnsi="Times New Roman" w:cs="Times New Roman"/>
          <w:b/>
        </w:rPr>
      </w:pPr>
    </w:p>
    <w:p w14:paraId="3FA4C0C2" w14:textId="6B1DC51D" w:rsidR="00326263" w:rsidRDefault="00326263" w:rsidP="00EF46A8">
      <w:pPr>
        <w:widowControl w:val="0"/>
        <w:autoSpaceDE w:val="0"/>
        <w:autoSpaceDN w:val="0"/>
        <w:adjustRightInd w:val="0"/>
        <w:spacing w:after="0" w:line="240" w:lineRule="auto"/>
        <w:jc w:val="both"/>
        <w:rPr>
          <w:rFonts w:ascii="Times New Roman" w:eastAsia="Calibri" w:hAnsi="Times New Roman"/>
        </w:rPr>
      </w:pPr>
      <w:r>
        <w:rPr>
          <w:rFonts w:ascii="Times New Roman" w:eastAsia="Calibri" w:hAnsi="Times New Roman"/>
          <w:color w:val="000000"/>
        </w:rPr>
        <w:t>1.01</w:t>
      </w:r>
      <w:r>
        <w:rPr>
          <w:rFonts w:ascii="Times New Roman" w:eastAsia="Calibri" w:hAnsi="Times New Roman"/>
          <w:color w:val="000000"/>
        </w:rPr>
        <w:tab/>
        <w:t>The Community Disaster Risk Reduction Fund (CDRRF)</w:t>
      </w:r>
      <w:r w:rsidRPr="00B86D50">
        <w:rPr>
          <w:rFonts w:ascii="Times New Roman" w:eastAsia="Calibri" w:hAnsi="Times New Roman"/>
          <w:color w:val="000000"/>
        </w:rPr>
        <w:t xml:space="preserve"> is a </w:t>
      </w:r>
      <w:r>
        <w:rPr>
          <w:rFonts w:ascii="Times New Roman" w:eastAsia="Calibri" w:hAnsi="Times New Roman"/>
          <w:color w:val="000000"/>
        </w:rPr>
        <w:t xml:space="preserve">multi-donor </w:t>
      </w:r>
      <w:r w:rsidRPr="00B86D50">
        <w:rPr>
          <w:rFonts w:ascii="Times New Roman" w:eastAsia="Calibri" w:hAnsi="Times New Roman"/>
          <w:color w:val="000000"/>
        </w:rPr>
        <w:t>trust fund established by the Caribbean Development Bank (CDB) in March 2012 with resources being provided by the Government of Canada acting through Global Affairs Canada</w:t>
      </w:r>
      <w:r>
        <w:rPr>
          <w:rFonts w:ascii="Times New Roman" w:eastAsia="Calibri" w:hAnsi="Times New Roman"/>
          <w:color w:val="000000"/>
        </w:rPr>
        <w:t xml:space="preserve">, </w:t>
      </w:r>
      <w:r w:rsidRPr="00B86D50">
        <w:rPr>
          <w:rFonts w:ascii="Times New Roman" w:eastAsia="Calibri" w:hAnsi="Times New Roman"/>
          <w:color w:val="000000"/>
        </w:rPr>
        <w:t>the Government of the United Kingdom of Great Britain and Northern I</w:t>
      </w:r>
      <w:r>
        <w:rPr>
          <w:rFonts w:ascii="Times New Roman" w:eastAsia="Calibri" w:hAnsi="Times New Roman"/>
          <w:color w:val="000000"/>
        </w:rPr>
        <w:t xml:space="preserve">reland </w:t>
      </w:r>
      <w:r w:rsidRPr="00B86D50">
        <w:rPr>
          <w:rFonts w:ascii="Times New Roman" w:eastAsia="Calibri" w:hAnsi="Times New Roman"/>
          <w:color w:val="000000"/>
        </w:rPr>
        <w:t>acting through its Department for International Development</w:t>
      </w:r>
      <w:r>
        <w:rPr>
          <w:rFonts w:ascii="Times New Roman" w:eastAsia="Calibri" w:hAnsi="Times New Roman"/>
          <w:color w:val="000000"/>
        </w:rPr>
        <w:t xml:space="preserve"> and the European Union (EU) through resources provided to CDB under the African Caribbean Pacific-EU-CDB Natural Disaster Risk Management in CARIFORUM Countries Project.  </w:t>
      </w:r>
      <w:r w:rsidRPr="00B86D50">
        <w:rPr>
          <w:rFonts w:ascii="Times New Roman" w:eastAsia="Calibri" w:hAnsi="Times New Roman"/>
          <w:color w:val="000000"/>
        </w:rPr>
        <w:t>The purpose of CDRRF is to provi</w:t>
      </w:r>
      <w:r>
        <w:rPr>
          <w:rFonts w:ascii="Times New Roman" w:eastAsia="Calibri" w:hAnsi="Times New Roman"/>
          <w:color w:val="000000"/>
        </w:rPr>
        <w:t>de</w:t>
      </w:r>
      <w:r w:rsidRPr="00B86D50">
        <w:rPr>
          <w:rFonts w:ascii="Times New Roman" w:eastAsia="Calibri" w:hAnsi="Times New Roman"/>
          <w:color w:val="000000"/>
        </w:rPr>
        <w:t xml:space="preserve"> grant funding for disaster risk reduction (DRR) and/or climate change adaptation (CCA) initiatives at the community level in CDB Borrowing Member Countries</w:t>
      </w:r>
      <w:r w:rsidR="00B878AF">
        <w:rPr>
          <w:rFonts w:ascii="Times New Roman" w:eastAsia="Calibri" w:hAnsi="Times New Roman"/>
          <w:color w:val="000000"/>
        </w:rPr>
        <w:t xml:space="preserve"> (BMCs)</w:t>
      </w:r>
      <w:r w:rsidRPr="00B86D50">
        <w:rPr>
          <w:rFonts w:ascii="Times New Roman" w:eastAsia="Calibri" w:hAnsi="Times New Roman"/>
          <w:color w:val="000000"/>
        </w:rPr>
        <w:t xml:space="preserve">, </w:t>
      </w:r>
      <w:r w:rsidR="00DA3D2E">
        <w:rPr>
          <w:rFonts w:ascii="Times New Roman" w:eastAsia="Calibri" w:hAnsi="Times New Roman"/>
          <w:color w:val="000000"/>
        </w:rPr>
        <w:t>except for</w:t>
      </w:r>
      <w:r w:rsidRPr="00B86D50">
        <w:rPr>
          <w:rFonts w:ascii="Times New Roman" w:eastAsia="Calibri" w:hAnsi="Times New Roman"/>
          <w:color w:val="000000"/>
        </w:rPr>
        <w:t xml:space="preserve"> Haiti.</w:t>
      </w:r>
      <w:r w:rsidR="008D66F2">
        <w:rPr>
          <w:rFonts w:ascii="Times New Roman" w:eastAsia="Calibri" w:hAnsi="Times New Roman"/>
          <w:color w:val="000000"/>
        </w:rPr>
        <w:t xml:space="preserve">  </w:t>
      </w:r>
      <w:r w:rsidRPr="00B86D50">
        <w:rPr>
          <w:rFonts w:ascii="Times New Roman" w:eastAsia="Calibri" w:hAnsi="Times New Roman"/>
          <w:color w:val="000000"/>
        </w:rPr>
        <w:t>The DRR/CCA initiatives undertaken at the community level should seek to enhance livelihoods, resilience</w:t>
      </w:r>
      <w:r w:rsidR="008D66F2">
        <w:rPr>
          <w:rFonts w:ascii="Times New Roman" w:eastAsia="Calibri" w:hAnsi="Times New Roman"/>
          <w:color w:val="000000"/>
        </w:rPr>
        <w:t>,</w:t>
      </w:r>
      <w:r w:rsidRPr="00B86D50">
        <w:rPr>
          <w:rFonts w:ascii="Times New Roman" w:eastAsia="Calibri" w:hAnsi="Times New Roman"/>
          <w:color w:val="000000"/>
        </w:rPr>
        <w:t xml:space="preserve"> and sustainability within the community.</w:t>
      </w:r>
      <w:r>
        <w:rPr>
          <w:rFonts w:ascii="Times New Roman" w:eastAsia="Calibri" w:hAnsi="Times New Roman"/>
          <w:color w:val="000000"/>
        </w:rPr>
        <w:t xml:space="preserve"> </w:t>
      </w:r>
    </w:p>
    <w:p w14:paraId="2E839F21" w14:textId="77777777" w:rsidR="00326263" w:rsidRDefault="00326263" w:rsidP="00EF46A8">
      <w:pPr>
        <w:widowControl w:val="0"/>
        <w:autoSpaceDE w:val="0"/>
        <w:autoSpaceDN w:val="0"/>
        <w:adjustRightInd w:val="0"/>
        <w:spacing w:after="0" w:line="240" w:lineRule="auto"/>
        <w:jc w:val="both"/>
        <w:rPr>
          <w:rFonts w:ascii="Times New Roman" w:eastAsia="Calibri" w:hAnsi="Times New Roman"/>
        </w:rPr>
      </w:pPr>
    </w:p>
    <w:p w14:paraId="266ACD7C" w14:textId="6CA89C7F" w:rsidR="00E60746" w:rsidRPr="00E60746" w:rsidRDefault="00E60746" w:rsidP="00E60746">
      <w:pPr>
        <w:spacing w:after="0" w:line="240" w:lineRule="auto"/>
        <w:jc w:val="both"/>
        <w:rPr>
          <w:rFonts w:ascii="Times New Roman" w:eastAsia="Calibri" w:hAnsi="Times New Roman" w:cs="Times New Roman"/>
          <w:color w:val="000000"/>
        </w:rPr>
      </w:pPr>
      <w:r w:rsidRPr="00E60746">
        <w:rPr>
          <w:rFonts w:ascii="Times New Roman" w:eastAsia="Calibri" w:hAnsi="Times New Roman" w:cs="Times New Roman"/>
          <w:color w:val="000000"/>
        </w:rPr>
        <w:t>The Fund</w:t>
      </w:r>
      <w:r w:rsidR="007B0989">
        <w:rPr>
          <w:rFonts w:ascii="Times New Roman" w:eastAsia="Calibri" w:hAnsi="Times New Roman" w:cs="Times New Roman"/>
          <w:color w:val="000000"/>
        </w:rPr>
        <w:t xml:space="preserve"> </w:t>
      </w:r>
      <w:r w:rsidR="00C97B68">
        <w:rPr>
          <w:rFonts w:ascii="Times New Roman" w:eastAsia="Calibri" w:hAnsi="Times New Roman" w:cs="Times New Roman"/>
          <w:color w:val="000000"/>
        </w:rPr>
        <w:t xml:space="preserve">aimed to </w:t>
      </w:r>
      <w:r w:rsidR="007B0989">
        <w:rPr>
          <w:rFonts w:ascii="Times New Roman" w:eastAsia="Calibri" w:hAnsi="Times New Roman" w:cs="Times New Roman"/>
          <w:color w:val="000000"/>
        </w:rPr>
        <w:t xml:space="preserve">assist </w:t>
      </w:r>
      <w:r w:rsidRPr="00E60746">
        <w:rPr>
          <w:rFonts w:ascii="Times New Roman" w:eastAsia="Calibri" w:hAnsi="Times New Roman" w:cs="Times New Roman"/>
          <w:color w:val="000000"/>
        </w:rPr>
        <w:t>Community-</w:t>
      </w:r>
      <w:r w:rsidR="009976CF">
        <w:rPr>
          <w:rFonts w:ascii="Times New Roman" w:eastAsia="Calibri" w:hAnsi="Times New Roman" w:cs="Times New Roman"/>
          <w:color w:val="000000"/>
        </w:rPr>
        <w:t>B</w:t>
      </w:r>
      <w:r w:rsidRPr="00E60746">
        <w:rPr>
          <w:rFonts w:ascii="Times New Roman" w:eastAsia="Calibri" w:hAnsi="Times New Roman" w:cs="Times New Roman"/>
          <w:color w:val="000000"/>
        </w:rPr>
        <w:t xml:space="preserve">ased </w:t>
      </w:r>
      <w:proofErr w:type="spellStart"/>
      <w:r w:rsidRPr="00E60746">
        <w:rPr>
          <w:rFonts w:ascii="Times New Roman" w:eastAsia="Calibri" w:hAnsi="Times New Roman" w:cs="Times New Roman"/>
          <w:color w:val="000000"/>
        </w:rPr>
        <w:t>Organisations</w:t>
      </w:r>
      <w:proofErr w:type="spellEnd"/>
      <w:r w:rsidRPr="00E60746">
        <w:rPr>
          <w:rFonts w:ascii="Times New Roman" w:eastAsia="Calibri" w:hAnsi="Times New Roman" w:cs="Times New Roman"/>
          <w:color w:val="000000"/>
        </w:rPr>
        <w:t xml:space="preserve"> (CBOs) to:</w:t>
      </w:r>
    </w:p>
    <w:p w14:paraId="6A59D3F4" w14:textId="77777777" w:rsidR="00E60746" w:rsidRPr="00E60746" w:rsidRDefault="00E60746" w:rsidP="00E60746">
      <w:pPr>
        <w:spacing w:after="0" w:line="240" w:lineRule="auto"/>
        <w:jc w:val="both"/>
        <w:rPr>
          <w:rFonts w:ascii="Times New Roman" w:eastAsia="Calibri" w:hAnsi="Times New Roman" w:cs="Times New Roman"/>
          <w:color w:val="000000"/>
        </w:rPr>
      </w:pPr>
    </w:p>
    <w:p w14:paraId="1325238A" w14:textId="1C073263" w:rsidR="00E60746" w:rsidRPr="00E60746" w:rsidRDefault="00E60746" w:rsidP="00AD1B2B">
      <w:pPr>
        <w:numPr>
          <w:ilvl w:val="0"/>
          <w:numId w:val="9"/>
        </w:numPr>
        <w:spacing w:after="0" w:line="240" w:lineRule="auto"/>
        <w:ind w:hanging="720"/>
        <w:jc w:val="both"/>
        <w:rPr>
          <w:rFonts w:ascii="Times New Roman" w:eastAsia="Calibri" w:hAnsi="Times New Roman" w:cs="Times New Roman"/>
        </w:rPr>
      </w:pPr>
      <w:r w:rsidRPr="00E60746">
        <w:rPr>
          <w:rFonts w:ascii="Times New Roman" w:eastAsia="Calibri" w:hAnsi="Times New Roman" w:cs="Times New Roman"/>
        </w:rPr>
        <w:t>Reduce risk at the community level through the implementation of natural hazard risk reduction, CCA and/or related livelihood demonstration sub-projects.</w:t>
      </w:r>
    </w:p>
    <w:p w14:paraId="12D12E31" w14:textId="77777777" w:rsidR="00E60746" w:rsidRPr="00E60746" w:rsidRDefault="00E60746" w:rsidP="00E60746">
      <w:pPr>
        <w:spacing w:after="0" w:line="240" w:lineRule="auto"/>
        <w:ind w:left="720" w:hanging="720"/>
        <w:jc w:val="both"/>
        <w:rPr>
          <w:rFonts w:ascii="Times New Roman" w:eastAsia="Calibri" w:hAnsi="Times New Roman" w:cs="Times New Roman"/>
        </w:rPr>
      </w:pPr>
    </w:p>
    <w:p w14:paraId="696B0166" w14:textId="77777777" w:rsidR="00E60746" w:rsidRDefault="00E60746" w:rsidP="00AD1B2B">
      <w:pPr>
        <w:numPr>
          <w:ilvl w:val="0"/>
          <w:numId w:val="9"/>
        </w:numPr>
        <w:spacing w:after="0" w:line="240" w:lineRule="auto"/>
        <w:ind w:hanging="720"/>
        <w:jc w:val="both"/>
        <w:rPr>
          <w:rFonts w:ascii="Times New Roman" w:eastAsia="Calibri" w:hAnsi="Times New Roman" w:cs="Times New Roman"/>
        </w:rPr>
      </w:pPr>
      <w:r w:rsidRPr="00E60746">
        <w:rPr>
          <w:rFonts w:ascii="Times New Roman" w:eastAsia="Calibri" w:hAnsi="Times New Roman" w:cs="Times New Roman"/>
        </w:rPr>
        <w:t>Develop experience-based knowledge from the pursuit of demonstration sub-projects to fill national and regional knowledge deficits on community-based DRR.</w:t>
      </w:r>
    </w:p>
    <w:p w14:paraId="49219CAA" w14:textId="77777777" w:rsidR="00E60746" w:rsidRDefault="00E60746" w:rsidP="00E60746">
      <w:pPr>
        <w:pStyle w:val="ListParagraph"/>
        <w:rPr>
          <w:rFonts w:ascii="Times New Roman" w:eastAsia="Calibri" w:hAnsi="Times New Roman" w:cs="Times New Roman"/>
          <w:color w:val="000000"/>
        </w:rPr>
      </w:pPr>
    </w:p>
    <w:p w14:paraId="5DEAD11E" w14:textId="34B219CF" w:rsidR="00E60746" w:rsidRDefault="007B0989" w:rsidP="008D66F2">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w:t>
      </w:r>
      <w:r w:rsidR="00E60746" w:rsidRPr="00E60746">
        <w:rPr>
          <w:rFonts w:ascii="Times New Roman" w:eastAsia="Calibri" w:hAnsi="Times New Roman" w:cs="Times New Roman"/>
          <w:color w:val="000000"/>
        </w:rPr>
        <w:t>unding</w:t>
      </w:r>
      <w:r w:rsidR="00C97B68">
        <w:rPr>
          <w:rFonts w:ascii="Times New Roman" w:eastAsia="Calibri" w:hAnsi="Times New Roman" w:cs="Times New Roman"/>
          <w:color w:val="000000"/>
        </w:rPr>
        <w:t xml:space="preserve"> was provided to</w:t>
      </w:r>
      <w:r w:rsidR="00E60746" w:rsidRPr="00E60746">
        <w:rPr>
          <w:rFonts w:ascii="Times New Roman" w:eastAsia="Calibri" w:hAnsi="Times New Roman" w:cs="Times New Roman"/>
          <w:color w:val="000000"/>
        </w:rPr>
        <w:t xml:space="preserve"> </w:t>
      </w:r>
      <w:r w:rsidR="00D43FBB">
        <w:rPr>
          <w:rFonts w:ascii="Times New Roman" w:eastAsia="Calibri" w:hAnsi="Times New Roman" w:cs="Times New Roman"/>
          <w:color w:val="000000"/>
        </w:rPr>
        <w:t xml:space="preserve">individual </w:t>
      </w:r>
      <w:r w:rsidR="00DA3D2E">
        <w:rPr>
          <w:rFonts w:ascii="Times New Roman" w:eastAsia="Calibri" w:hAnsi="Times New Roman" w:cs="Times New Roman"/>
          <w:color w:val="000000"/>
        </w:rPr>
        <w:t>community-</w:t>
      </w:r>
      <w:r>
        <w:rPr>
          <w:rFonts w:ascii="Times New Roman" w:eastAsia="Calibri" w:hAnsi="Times New Roman" w:cs="Times New Roman"/>
          <w:color w:val="000000"/>
        </w:rPr>
        <w:t xml:space="preserve">level DRR and CCA projects </w:t>
      </w:r>
      <w:r w:rsidR="00E60746" w:rsidRPr="00E60746">
        <w:rPr>
          <w:rFonts w:ascii="Times New Roman" w:eastAsia="Calibri" w:hAnsi="Times New Roman" w:cs="Times New Roman"/>
          <w:color w:val="000000"/>
        </w:rPr>
        <w:t>up to a maximum of USD650,000</w:t>
      </w:r>
      <w:r w:rsidR="0066161D">
        <w:rPr>
          <w:rFonts w:ascii="Times New Roman" w:eastAsia="Calibri" w:hAnsi="Times New Roman" w:cs="Times New Roman"/>
          <w:color w:val="000000"/>
        </w:rPr>
        <w:t>.</w:t>
      </w:r>
      <w:r w:rsidR="00E60746" w:rsidRPr="00E60746">
        <w:rPr>
          <w:rFonts w:ascii="Times New Roman" w:eastAsia="Calibri" w:hAnsi="Times New Roman" w:cs="Times New Roman"/>
          <w:color w:val="000000"/>
        </w:rPr>
        <w:t xml:space="preserve"> </w:t>
      </w:r>
    </w:p>
    <w:p w14:paraId="2F94E2F5" w14:textId="7DD392CA" w:rsidR="0094742C" w:rsidRDefault="0094742C" w:rsidP="008D66F2">
      <w:pPr>
        <w:spacing w:after="0" w:line="240" w:lineRule="auto"/>
        <w:jc w:val="both"/>
        <w:rPr>
          <w:rFonts w:ascii="Times New Roman" w:eastAsia="Calibri" w:hAnsi="Times New Roman" w:cs="Times New Roman"/>
          <w:color w:val="000000"/>
        </w:rPr>
      </w:pPr>
    </w:p>
    <w:p w14:paraId="38B33BA8" w14:textId="4B4D9DE0" w:rsidR="0094742C" w:rsidRPr="00E60746" w:rsidRDefault="0094742C" w:rsidP="006B2873">
      <w:pPr>
        <w:spacing w:after="0" w:line="240" w:lineRule="auto"/>
        <w:jc w:val="both"/>
        <w:rPr>
          <w:rFonts w:ascii="Times New Roman" w:eastAsia="Calibri" w:hAnsi="Times New Roman" w:cs="Times New Roman"/>
        </w:rPr>
      </w:pPr>
      <w:r>
        <w:rPr>
          <w:rFonts w:ascii="Times New Roman" w:eastAsia="Calibri" w:hAnsi="Times New Roman" w:cs="Times New Roman"/>
          <w:color w:val="000000"/>
        </w:rPr>
        <w:t>A more complete description of the programme is available at Annex 1.</w:t>
      </w:r>
    </w:p>
    <w:p w14:paraId="14655447" w14:textId="77777777" w:rsidR="00E60746" w:rsidRPr="00E60746" w:rsidRDefault="00E60746" w:rsidP="00E60746">
      <w:pPr>
        <w:spacing w:after="0" w:line="240" w:lineRule="auto"/>
        <w:jc w:val="both"/>
        <w:rPr>
          <w:rFonts w:ascii="Times New Roman" w:eastAsia="Calibri" w:hAnsi="Times New Roman" w:cs="Times New Roman"/>
          <w:color w:val="000000"/>
        </w:rPr>
      </w:pPr>
    </w:p>
    <w:p w14:paraId="6834160E" w14:textId="77777777" w:rsidR="00E60746" w:rsidRPr="00E60746" w:rsidRDefault="00E60746" w:rsidP="00E60746">
      <w:pPr>
        <w:spacing w:after="0" w:line="240" w:lineRule="auto"/>
        <w:jc w:val="center"/>
        <w:rPr>
          <w:rFonts w:ascii="Times New Roman" w:eastAsia="Calibri" w:hAnsi="Times New Roman" w:cs="Times New Roman"/>
          <w:b/>
          <w:u w:val="single"/>
        </w:rPr>
      </w:pPr>
    </w:p>
    <w:p w14:paraId="46C79766" w14:textId="1F6E64F5" w:rsidR="00816E7D" w:rsidRDefault="00FD19D7" w:rsidP="00816E7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6D6FBC">
        <w:rPr>
          <w:rFonts w:ascii="Times New Roman" w:hAnsi="Times New Roman" w:cs="Times New Roman"/>
        </w:rPr>
        <w:t>0</w:t>
      </w:r>
      <w:r w:rsidR="00E60746">
        <w:rPr>
          <w:rFonts w:ascii="Times New Roman" w:hAnsi="Times New Roman" w:cs="Times New Roman"/>
        </w:rPr>
        <w:t>2</w:t>
      </w:r>
      <w:r>
        <w:rPr>
          <w:rFonts w:ascii="Times New Roman" w:hAnsi="Times New Roman" w:cs="Times New Roman"/>
        </w:rPr>
        <w:tab/>
      </w:r>
      <w:r w:rsidR="008D66F2">
        <w:rPr>
          <w:rFonts w:ascii="Times New Roman" w:hAnsi="Times New Roman" w:cs="Times New Roman"/>
        </w:rPr>
        <w:t>A</w:t>
      </w:r>
      <w:r w:rsidR="007B0989">
        <w:rPr>
          <w:rFonts w:ascii="Times New Roman" w:hAnsi="Times New Roman" w:cs="Times New Roman"/>
        </w:rPr>
        <w:t xml:space="preserve"> </w:t>
      </w:r>
      <w:r w:rsidR="00251AA8">
        <w:rPr>
          <w:rFonts w:ascii="Times New Roman" w:hAnsi="Times New Roman" w:cs="Times New Roman"/>
        </w:rPr>
        <w:t>final evaluation</w:t>
      </w:r>
      <w:r w:rsidR="008D66F2">
        <w:rPr>
          <w:rFonts w:ascii="Times New Roman" w:hAnsi="Times New Roman" w:cs="Times New Roman"/>
        </w:rPr>
        <w:t xml:space="preserve"> </w:t>
      </w:r>
      <w:r w:rsidR="00CF4702">
        <w:rPr>
          <w:rFonts w:ascii="Times New Roman" w:hAnsi="Times New Roman" w:cs="Times New Roman"/>
        </w:rPr>
        <w:t>will</w:t>
      </w:r>
      <w:r w:rsidR="00251AA8">
        <w:rPr>
          <w:rFonts w:ascii="Times New Roman" w:hAnsi="Times New Roman" w:cs="Times New Roman"/>
        </w:rPr>
        <w:t xml:space="preserve"> </w:t>
      </w:r>
      <w:r w:rsidR="00C93378" w:rsidRPr="00223439">
        <w:rPr>
          <w:rFonts w:ascii="Times New Roman" w:hAnsi="Times New Roman" w:cs="Times New Roman"/>
        </w:rPr>
        <w:t>assess</w:t>
      </w:r>
      <w:r w:rsidR="00C93378">
        <w:rPr>
          <w:rFonts w:ascii="Times New Roman" w:hAnsi="Times New Roman" w:cs="Times New Roman"/>
        </w:rPr>
        <w:t xml:space="preserve"> </w:t>
      </w:r>
      <w:r w:rsidR="00C93378" w:rsidRPr="00223439">
        <w:rPr>
          <w:rFonts w:ascii="Times New Roman" w:hAnsi="Times New Roman" w:cs="Times New Roman"/>
        </w:rPr>
        <w:t>the</w:t>
      </w:r>
      <w:r w:rsidR="005946A8" w:rsidRPr="00223439">
        <w:rPr>
          <w:rFonts w:ascii="Times New Roman" w:hAnsi="Times New Roman" w:cs="Times New Roman"/>
        </w:rPr>
        <w:t xml:space="preserve"> r</w:t>
      </w:r>
      <w:r w:rsidR="00B7314C" w:rsidRPr="00223439">
        <w:rPr>
          <w:rFonts w:ascii="Times New Roman" w:hAnsi="Times New Roman" w:cs="Times New Roman"/>
        </w:rPr>
        <w:t>elevance,</w:t>
      </w:r>
      <w:r w:rsidR="00251AA8">
        <w:rPr>
          <w:rFonts w:ascii="Times New Roman" w:hAnsi="Times New Roman" w:cs="Times New Roman"/>
        </w:rPr>
        <w:t xml:space="preserve"> coherence,</w:t>
      </w:r>
      <w:r w:rsidR="00B7314C" w:rsidRPr="00223439">
        <w:rPr>
          <w:rFonts w:ascii="Times New Roman" w:hAnsi="Times New Roman" w:cs="Times New Roman"/>
        </w:rPr>
        <w:t xml:space="preserve"> </w:t>
      </w:r>
      <w:r w:rsidR="005946A8" w:rsidRPr="00223439">
        <w:rPr>
          <w:rFonts w:ascii="Times New Roman" w:hAnsi="Times New Roman" w:cs="Times New Roman"/>
        </w:rPr>
        <w:t>efficiency</w:t>
      </w:r>
      <w:r w:rsidR="00B3190F">
        <w:rPr>
          <w:rFonts w:ascii="Times New Roman" w:hAnsi="Times New Roman" w:cs="Times New Roman"/>
        </w:rPr>
        <w:t>,</w:t>
      </w:r>
      <w:r w:rsidR="005946A8" w:rsidRPr="00223439">
        <w:rPr>
          <w:rFonts w:ascii="Times New Roman" w:hAnsi="Times New Roman" w:cs="Times New Roman"/>
        </w:rPr>
        <w:t xml:space="preserve"> and e</w:t>
      </w:r>
      <w:r w:rsidR="00251AA8">
        <w:rPr>
          <w:rFonts w:ascii="Times New Roman" w:hAnsi="Times New Roman" w:cs="Times New Roman"/>
        </w:rPr>
        <w:t>ffectiveness</w:t>
      </w:r>
      <w:r w:rsidR="00C97B68">
        <w:rPr>
          <w:rFonts w:ascii="Times New Roman" w:hAnsi="Times New Roman" w:cs="Times New Roman"/>
        </w:rPr>
        <w:t>, and sustainability of CDRRF interventions</w:t>
      </w:r>
      <w:r w:rsidR="00B7314C" w:rsidRPr="00223439">
        <w:rPr>
          <w:rFonts w:ascii="Times New Roman" w:hAnsi="Times New Roman" w:cs="Times New Roman"/>
        </w:rPr>
        <w:t>.</w:t>
      </w:r>
      <w:r w:rsidR="00816E7D" w:rsidRPr="00223439">
        <w:rPr>
          <w:rFonts w:ascii="Times New Roman" w:hAnsi="Times New Roman" w:cs="Times New Roman"/>
        </w:rPr>
        <w:t xml:space="preserve"> </w:t>
      </w:r>
      <w:r w:rsidR="00816E7D">
        <w:rPr>
          <w:rFonts w:ascii="Times New Roman" w:hAnsi="Times New Roman" w:cs="Times New Roman"/>
        </w:rPr>
        <w:t>To this end, a</w:t>
      </w:r>
      <w:r w:rsidR="00816E7D" w:rsidRPr="00223439">
        <w:rPr>
          <w:rFonts w:ascii="Times New Roman" w:hAnsi="Times New Roman" w:cs="Times New Roman"/>
        </w:rPr>
        <w:t xml:space="preserve">n external independent evaluation </w:t>
      </w:r>
      <w:r w:rsidR="00C146F7">
        <w:rPr>
          <w:rFonts w:ascii="Times New Roman" w:hAnsi="Times New Roman" w:cs="Times New Roman"/>
        </w:rPr>
        <w:t>Consultant</w:t>
      </w:r>
      <w:r w:rsidR="00816E7D" w:rsidRPr="00223439">
        <w:rPr>
          <w:rFonts w:ascii="Times New Roman" w:hAnsi="Times New Roman" w:cs="Times New Roman"/>
        </w:rPr>
        <w:t xml:space="preserve"> </w:t>
      </w:r>
      <w:r w:rsidR="00816E7D">
        <w:rPr>
          <w:rFonts w:ascii="Times New Roman" w:hAnsi="Times New Roman" w:cs="Times New Roman"/>
        </w:rPr>
        <w:t>is to</w:t>
      </w:r>
      <w:r w:rsidR="00816E7D" w:rsidRPr="00223439">
        <w:rPr>
          <w:rFonts w:ascii="Times New Roman" w:hAnsi="Times New Roman" w:cs="Times New Roman"/>
        </w:rPr>
        <w:t xml:space="preserve"> be recruited by </w:t>
      </w:r>
      <w:r w:rsidR="00C97B68">
        <w:rPr>
          <w:rFonts w:ascii="Times New Roman" w:hAnsi="Times New Roman" w:cs="Times New Roman"/>
        </w:rPr>
        <w:t>OIE</w:t>
      </w:r>
      <w:r w:rsidR="00C97B68" w:rsidRPr="00223439">
        <w:rPr>
          <w:rFonts w:ascii="Times New Roman" w:hAnsi="Times New Roman" w:cs="Times New Roman"/>
        </w:rPr>
        <w:t xml:space="preserve"> </w:t>
      </w:r>
      <w:r w:rsidR="00816E7D" w:rsidRPr="00223439">
        <w:rPr>
          <w:rFonts w:ascii="Times New Roman" w:hAnsi="Times New Roman" w:cs="Times New Roman"/>
        </w:rPr>
        <w:t>to</w:t>
      </w:r>
      <w:r w:rsidR="00CF4702">
        <w:rPr>
          <w:rFonts w:ascii="Times New Roman" w:hAnsi="Times New Roman" w:cs="Times New Roman"/>
        </w:rPr>
        <w:t xml:space="preserve"> assist in the</w:t>
      </w:r>
      <w:r w:rsidR="00816E7D" w:rsidRPr="00223439">
        <w:rPr>
          <w:rFonts w:ascii="Times New Roman" w:hAnsi="Times New Roman" w:cs="Times New Roman"/>
        </w:rPr>
        <w:t xml:space="preserve"> conduct </w:t>
      </w:r>
      <w:r w:rsidR="00CF4702">
        <w:rPr>
          <w:rFonts w:ascii="Times New Roman" w:hAnsi="Times New Roman" w:cs="Times New Roman"/>
        </w:rPr>
        <w:t>of the evaluation.</w:t>
      </w:r>
      <w:r w:rsidR="00632B78">
        <w:rPr>
          <w:rFonts w:ascii="Times New Roman" w:hAnsi="Times New Roman" w:cs="Times New Roman"/>
        </w:rPr>
        <w:t xml:space="preserve"> </w:t>
      </w:r>
    </w:p>
    <w:p w14:paraId="7207FE57" w14:textId="77777777" w:rsidR="00444F2D" w:rsidRDefault="00444F2D" w:rsidP="00816E7D">
      <w:pPr>
        <w:pStyle w:val="ListParagraph"/>
        <w:widowControl w:val="0"/>
        <w:autoSpaceDE w:val="0"/>
        <w:autoSpaceDN w:val="0"/>
        <w:adjustRightInd w:val="0"/>
        <w:spacing w:after="0" w:line="240" w:lineRule="auto"/>
        <w:ind w:left="0" w:firstLine="720"/>
        <w:rPr>
          <w:rFonts w:ascii="Times New Roman" w:hAnsi="Times New Roman" w:cs="Times New Roman"/>
          <w:b/>
          <w:bCs/>
        </w:rPr>
      </w:pPr>
    </w:p>
    <w:p w14:paraId="37B54B17" w14:textId="776C3816" w:rsidR="005327DF" w:rsidRDefault="00FD19D7" w:rsidP="005327DF">
      <w:pPr>
        <w:widowControl w:val="0"/>
        <w:autoSpaceDE w:val="0"/>
        <w:autoSpaceDN w:val="0"/>
        <w:adjustRightInd w:val="0"/>
        <w:spacing w:after="0" w:line="240" w:lineRule="auto"/>
        <w:rPr>
          <w:rFonts w:ascii="Times New Roman" w:hAnsi="Times New Roman" w:cs="Times New Roman"/>
          <w:b/>
          <w:bCs/>
          <w:u w:val="single"/>
        </w:rPr>
      </w:pPr>
      <w:r w:rsidRPr="00816E7D">
        <w:rPr>
          <w:rFonts w:ascii="Times New Roman" w:hAnsi="Times New Roman" w:cs="Times New Roman"/>
          <w:b/>
          <w:bCs/>
        </w:rPr>
        <w:t>2.</w:t>
      </w:r>
      <w:r w:rsidRPr="00816E7D">
        <w:rPr>
          <w:rFonts w:ascii="Times New Roman" w:hAnsi="Times New Roman" w:cs="Times New Roman"/>
          <w:b/>
          <w:bCs/>
        </w:rPr>
        <w:tab/>
      </w:r>
      <w:r w:rsidR="0068102F" w:rsidRPr="006B2873">
        <w:rPr>
          <w:rFonts w:ascii="Times New Roman" w:hAnsi="Times New Roman" w:cs="Times New Roman"/>
          <w:b/>
          <w:bCs/>
          <w:u w:val="single"/>
        </w:rPr>
        <w:t xml:space="preserve">PURPOSE AND </w:t>
      </w:r>
      <w:r w:rsidR="008A7678">
        <w:rPr>
          <w:rFonts w:ascii="Times New Roman" w:hAnsi="Times New Roman" w:cs="Times New Roman"/>
          <w:b/>
          <w:bCs/>
          <w:u w:val="single"/>
        </w:rPr>
        <w:t xml:space="preserve">OBJECTIVES OF </w:t>
      </w:r>
      <w:r w:rsidR="00B3190F">
        <w:rPr>
          <w:rFonts w:ascii="Times New Roman" w:hAnsi="Times New Roman" w:cs="Times New Roman"/>
          <w:b/>
          <w:bCs/>
          <w:u w:val="single"/>
        </w:rPr>
        <w:t>THE</w:t>
      </w:r>
      <w:r w:rsidR="00251AA8">
        <w:rPr>
          <w:rFonts w:ascii="Times New Roman" w:hAnsi="Times New Roman" w:cs="Times New Roman"/>
          <w:b/>
          <w:bCs/>
          <w:u w:val="single"/>
        </w:rPr>
        <w:t xml:space="preserve"> </w:t>
      </w:r>
      <w:r w:rsidR="00DB2D84">
        <w:rPr>
          <w:rFonts w:ascii="Times New Roman" w:hAnsi="Times New Roman" w:cs="Times New Roman"/>
          <w:b/>
          <w:bCs/>
          <w:u w:val="single"/>
        </w:rPr>
        <w:t>EVALUATION</w:t>
      </w:r>
    </w:p>
    <w:p w14:paraId="410E7205" w14:textId="77777777" w:rsidR="00A94C7C" w:rsidRDefault="00A94C7C" w:rsidP="005327DF">
      <w:pPr>
        <w:widowControl w:val="0"/>
        <w:autoSpaceDE w:val="0"/>
        <w:autoSpaceDN w:val="0"/>
        <w:adjustRightInd w:val="0"/>
        <w:spacing w:after="0" w:line="240" w:lineRule="auto"/>
        <w:rPr>
          <w:rFonts w:ascii="Times New Roman" w:hAnsi="Times New Roman" w:cs="Times New Roman"/>
          <w:b/>
          <w:bCs/>
        </w:rPr>
      </w:pPr>
    </w:p>
    <w:p w14:paraId="58E03272" w14:textId="7CB487D8" w:rsidR="00B13AA5" w:rsidRDefault="00FD19D7" w:rsidP="005327DF">
      <w:pPr>
        <w:widowControl w:val="0"/>
        <w:autoSpaceDE w:val="0"/>
        <w:autoSpaceDN w:val="0"/>
        <w:adjustRightInd w:val="0"/>
        <w:spacing w:after="0" w:line="240" w:lineRule="auto"/>
        <w:jc w:val="both"/>
        <w:rPr>
          <w:rFonts w:ascii="Times New Roman" w:hAnsi="Times New Roman" w:cs="Times New Roman"/>
        </w:rPr>
      </w:pPr>
      <w:r w:rsidRPr="00816E7D">
        <w:rPr>
          <w:rFonts w:ascii="Times New Roman" w:hAnsi="Times New Roman" w:cs="Times New Roman"/>
        </w:rPr>
        <w:t>2.01</w:t>
      </w:r>
      <w:r w:rsidRPr="00816E7D">
        <w:rPr>
          <w:rFonts w:ascii="Times New Roman" w:hAnsi="Times New Roman" w:cs="Times New Roman"/>
        </w:rPr>
        <w:tab/>
      </w:r>
      <w:r w:rsidR="0068102F">
        <w:rPr>
          <w:rFonts w:ascii="Times New Roman" w:hAnsi="Times New Roman" w:cs="Times New Roman"/>
        </w:rPr>
        <w:t>Th</w:t>
      </w:r>
      <w:r w:rsidR="00764D4F">
        <w:rPr>
          <w:rFonts w:ascii="Times New Roman" w:hAnsi="Times New Roman" w:cs="Times New Roman"/>
        </w:rPr>
        <w:t>is final</w:t>
      </w:r>
      <w:r w:rsidR="0068102F">
        <w:rPr>
          <w:rFonts w:ascii="Times New Roman" w:hAnsi="Times New Roman" w:cs="Times New Roman"/>
        </w:rPr>
        <w:t xml:space="preserve"> evaluation has clear accountability and learning purposes.  As it comes at the endpoint of the currently configured CDRRF, it will provide an accounting of performance and results</w:t>
      </w:r>
      <w:r w:rsidR="006C6134">
        <w:rPr>
          <w:rFonts w:ascii="Times New Roman" w:hAnsi="Times New Roman" w:cs="Times New Roman"/>
        </w:rPr>
        <w:t xml:space="preserve">. </w:t>
      </w:r>
      <w:r w:rsidR="00B13AA5">
        <w:rPr>
          <w:rFonts w:ascii="Times New Roman" w:hAnsi="Times New Roman" w:cs="Times New Roman"/>
        </w:rPr>
        <w:t xml:space="preserve">At the same time, </w:t>
      </w:r>
      <w:r w:rsidR="00764D4F">
        <w:rPr>
          <w:rFonts w:ascii="Times New Roman" w:hAnsi="Times New Roman" w:cs="Times New Roman"/>
        </w:rPr>
        <w:t xml:space="preserve">given that </w:t>
      </w:r>
      <w:r w:rsidR="00B13AA5">
        <w:rPr>
          <w:rFonts w:ascii="Times New Roman" w:hAnsi="Times New Roman" w:cs="Times New Roman"/>
        </w:rPr>
        <w:t xml:space="preserve">community level </w:t>
      </w:r>
      <w:r w:rsidR="00184439">
        <w:rPr>
          <w:rFonts w:ascii="Times New Roman" w:hAnsi="Times New Roman" w:cs="Times New Roman"/>
        </w:rPr>
        <w:t xml:space="preserve">DRR </w:t>
      </w:r>
      <w:r w:rsidR="00B13AA5">
        <w:rPr>
          <w:rFonts w:ascii="Times New Roman" w:hAnsi="Times New Roman" w:cs="Times New Roman"/>
        </w:rPr>
        <w:t>will continue to be emphasized by CDB and other development funders</w:t>
      </w:r>
      <w:r w:rsidR="00764D4F">
        <w:rPr>
          <w:rFonts w:ascii="Times New Roman" w:hAnsi="Times New Roman" w:cs="Times New Roman"/>
        </w:rPr>
        <w:t>, it will be important to learn</w:t>
      </w:r>
      <w:r w:rsidR="00B13AA5">
        <w:rPr>
          <w:rFonts w:ascii="Times New Roman" w:hAnsi="Times New Roman" w:cs="Times New Roman"/>
        </w:rPr>
        <w:t xml:space="preserve"> what has worked well, and not well, to</w:t>
      </w:r>
      <w:r w:rsidR="00764D4F">
        <w:rPr>
          <w:rFonts w:ascii="Times New Roman" w:hAnsi="Times New Roman" w:cs="Times New Roman"/>
        </w:rPr>
        <w:t xml:space="preserve"> inform</w:t>
      </w:r>
      <w:r w:rsidR="00B13AA5">
        <w:rPr>
          <w:rFonts w:ascii="Times New Roman" w:hAnsi="Times New Roman" w:cs="Times New Roman"/>
        </w:rPr>
        <w:t xml:space="preserve"> the design and implementation of future programmes.</w:t>
      </w:r>
    </w:p>
    <w:p w14:paraId="02981652" w14:textId="77777777" w:rsidR="00B13AA5" w:rsidRDefault="00B13AA5" w:rsidP="005327DF">
      <w:pPr>
        <w:widowControl w:val="0"/>
        <w:autoSpaceDE w:val="0"/>
        <w:autoSpaceDN w:val="0"/>
        <w:adjustRightInd w:val="0"/>
        <w:spacing w:after="0" w:line="240" w:lineRule="auto"/>
        <w:jc w:val="both"/>
        <w:rPr>
          <w:rFonts w:ascii="Times New Roman" w:hAnsi="Times New Roman" w:cs="Times New Roman"/>
        </w:rPr>
      </w:pPr>
    </w:p>
    <w:p w14:paraId="6238FA4A" w14:textId="49142C77" w:rsidR="0089006C" w:rsidRDefault="00B26562" w:rsidP="005327DF">
      <w:pPr>
        <w:widowControl w:val="0"/>
        <w:autoSpaceDE w:val="0"/>
        <w:autoSpaceDN w:val="0"/>
        <w:adjustRightInd w:val="0"/>
        <w:spacing w:after="0" w:line="240" w:lineRule="auto"/>
        <w:jc w:val="both"/>
        <w:rPr>
          <w:rFonts w:ascii="Times New Roman" w:hAnsi="Times New Roman" w:cs="Times New Roman"/>
        </w:rPr>
      </w:pPr>
      <w:r w:rsidRPr="00816E7D">
        <w:rPr>
          <w:rFonts w:ascii="Times New Roman" w:hAnsi="Times New Roman" w:cs="Times New Roman"/>
        </w:rPr>
        <w:t xml:space="preserve">The </w:t>
      </w:r>
      <w:r w:rsidR="00251AA8">
        <w:rPr>
          <w:rFonts w:ascii="Times New Roman" w:hAnsi="Times New Roman" w:cs="Times New Roman"/>
        </w:rPr>
        <w:t>overall objective of the final</w:t>
      </w:r>
      <w:r w:rsidR="0089006C">
        <w:rPr>
          <w:rFonts w:ascii="Times New Roman" w:hAnsi="Times New Roman" w:cs="Times New Roman"/>
        </w:rPr>
        <w:t xml:space="preserve"> evaluation is to </w:t>
      </w:r>
      <w:r w:rsidRPr="00816E7D">
        <w:rPr>
          <w:rFonts w:ascii="Times New Roman" w:hAnsi="Times New Roman" w:cs="Times New Roman"/>
        </w:rPr>
        <w:t>assess CDRRF</w:t>
      </w:r>
      <w:r>
        <w:rPr>
          <w:rFonts w:ascii="Times New Roman" w:hAnsi="Times New Roman" w:cs="Times New Roman"/>
        </w:rPr>
        <w:t>’s</w:t>
      </w:r>
      <w:r w:rsidRPr="00816E7D">
        <w:rPr>
          <w:rFonts w:ascii="Times New Roman" w:hAnsi="Times New Roman" w:cs="Times New Roman"/>
        </w:rPr>
        <w:t xml:space="preserve"> </w:t>
      </w:r>
      <w:r w:rsidR="0089006C">
        <w:rPr>
          <w:rFonts w:ascii="Times New Roman" w:hAnsi="Times New Roman" w:cs="Times New Roman"/>
        </w:rPr>
        <w:t xml:space="preserve">performance in relation to </w:t>
      </w:r>
      <w:r w:rsidR="007B0989">
        <w:rPr>
          <w:rFonts w:ascii="Times New Roman" w:hAnsi="Times New Roman" w:cs="Times New Roman"/>
        </w:rPr>
        <w:t xml:space="preserve">the project’s </w:t>
      </w:r>
      <w:r w:rsidR="0089006C">
        <w:rPr>
          <w:rFonts w:ascii="Times New Roman" w:hAnsi="Times New Roman" w:cs="Times New Roman"/>
        </w:rPr>
        <w:t>expected outputs and outcomes</w:t>
      </w:r>
      <w:r w:rsidR="00B13AA5">
        <w:rPr>
          <w:rFonts w:ascii="Times New Roman" w:hAnsi="Times New Roman" w:cs="Times New Roman"/>
        </w:rPr>
        <w:t>, and to learn lessons from that experience</w:t>
      </w:r>
      <w:r w:rsidR="007B0989">
        <w:rPr>
          <w:rFonts w:ascii="Times New Roman" w:hAnsi="Times New Roman" w:cs="Times New Roman"/>
        </w:rPr>
        <w:t xml:space="preserve">.  </w:t>
      </w:r>
    </w:p>
    <w:p w14:paraId="3EE6C5DF" w14:textId="3BE09299" w:rsidR="0089006C" w:rsidRDefault="0089006C" w:rsidP="005327DF">
      <w:pPr>
        <w:widowControl w:val="0"/>
        <w:autoSpaceDE w:val="0"/>
        <w:autoSpaceDN w:val="0"/>
        <w:adjustRightInd w:val="0"/>
        <w:spacing w:after="0" w:line="240" w:lineRule="auto"/>
        <w:jc w:val="both"/>
        <w:rPr>
          <w:rFonts w:ascii="Times New Roman" w:hAnsi="Times New Roman" w:cs="Times New Roman"/>
        </w:rPr>
      </w:pPr>
    </w:p>
    <w:p w14:paraId="3641BF73" w14:textId="33ACD5BD" w:rsidR="001D440A" w:rsidRDefault="00FD19D7" w:rsidP="00052C39">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r w:rsidRPr="00052C39">
        <w:rPr>
          <w:rFonts w:ascii="Times New Roman" w:hAnsi="Times New Roman" w:cs="Times New Roman"/>
        </w:rPr>
        <w:t>2.02</w:t>
      </w:r>
      <w:r w:rsidRPr="00052C39">
        <w:rPr>
          <w:rFonts w:ascii="Times New Roman" w:hAnsi="Times New Roman" w:cs="Times New Roman"/>
        </w:rPr>
        <w:tab/>
      </w:r>
      <w:r w:rsidR="00015DAB" w:rsidRPr="00052C39">
        <w:rPr>
          <w:rFonts w:ascii="Times New Roman" w:hAnsi="Times New Roman" w:cs="Times New Roman"/>
        </w:rPr>
        <w:t>The</w:t>
      </w:r>
      <w:r w:rsidR="001D440A" w:rsidRPr="00052C39">
        <w:rPr>
          <w:rFonts w:ascii="Times New Roman" w:hAnsi="Times New Roman" w:cs="Times New Roman"/>
        </w:rPr>
        <w:t xml:space="preserve"> </w:t>
      </w:r>
      <w:r w:rsidR="005327DF">
        <w:rPr>
          <w:rFonts w:ascii="Times New Roman" w:hAnsi="Times New Roman" w:cs="Times New Roman"/>
        </w:rPr>
        <w:t xml:space="preserve">specific </w:t>
      </w:r>
      <w:r w:rsidR="001D440A" w:rsidRPr="00052C39">
        <w:rPr>
          <w:rFonts w:ascii="Times New Roman" w:hAnsi="Times New Roman" w:cs="Times New Roman"/>
        </w:rPr>
        <w:t xml:space="preserve">objectives of </w:t>
      </w:r>
      <w:r w:rsidR="00C146F7" w:rsidRPr="00052C39">
        <w:rPr>
          <w:rFonts w:ascii="Times New Roman" w:hAnsi="Times New Roman" w:cs="Times New Roman"/>
        </w:rPr>
        <w:t xml:space="preserve">the </w:t>
      </w:r>
      <w:r w:rsidR="00E60746">
        <w:rPr>
          <w:rFonts w:ascii="Times New Roman" w:hAnsi="Times New Roman" w:cs="Times New Roman"/>
        </w:rPr>
        <w:t>evaluation</w:t>
      </w:r>
      <w:r w:rsidR="001D440A" w:rsidRPr="005327DF">
        <w:rPr>
          <w:rFonts w:ascii="Times New Roman" w:hAnsi="Times New Roman" w:cs="Times New Roman"/>
        </w:rPr>
        <w:t xml:space="preserve"> are:</w:t>
      </w:r>
    </w:p>
    <w:p w14:paraId="135A648A" w14:textId="77777777" w:rsidR="005327DF" w:rsidRPr="005327DF" w:rsidRDefault="005327DF" w:rsidP="00052C39">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63F83114" w14:textId="77777777" w:rsidR="00C93378" w:rsidRDefault="00764D4F" w:rsidP="00C93378">
      <w:pPr>
        <w:pStyle w:val="ListParagraph"/>
        <w:widowControl w:val="0"/>
        <w:numPr>
          <w:ilvl w:val="0"/>
          <w:numId w:val="3"/>
        </w:numPr>
        <w:tabs>
          <w:tab w:val="left" w:pos="220"/>
          <w:tab w:val="left" w:pos="720"/>
        </w:tabs>
        <w:autoSpaceDE w:val="0"/>
        <w:autoSpaceDN w:val="0"/>
        <w:adjustRightInd w:val="0"/>
        <w:spacing w:after="0" w:line="240" w:lineRule="auto"/>
        <w:ind w:left="1440"/>
        <w:jc w:val="both"/>
        <w:rPr>
          <w:rFonts w:ascii="Times New Roman" w:hAnsi="Times New Roman" w:cs="Times New Roman"/>
        </w:rPr>
      </w:pPr>
      <w:r w:rsidRPr="00A00499">
        <w:rPr>
          <w:rFonts w:ascii="Times New Roman" w:hAnsi="Times New Roman" w:cs="Times New Roman"/>
        </w:rPr>
        <w:t>To assess the relevance, coherence, efficiency, and effectiveness of the CDRRF and the sub-projects it has supported</w:t>
      </w:r>
      <w:r>
        <w:rPr>
          <w:rFonts w:ascii="Times New Roman" w:hAnsi="Times New Roman" w:cs="Times New Roman"/>
        </w:rPr>
        <w:t xml:space="preserve">.  </w:t>
      </w:r>
    </w:p>
    <w:p w14:paraId="4C4E2EAC" w14:textId="437FBAB6" w:rsidR="00764D4F" w:rsidRDefault="001D440A" w:rsidP="00C93378">
      <w:pPr>
        <w:pStyle w:val="ListParagraph"/>
        <w:widowControl w:val="0"/>
        <w:numPr>
          <w:ilvl w:val="0"/>
          <w:numId w:val="3"/>
        </w:numPr>
        <w:tabs>
          <w:tab w:val="left" w:pos="220"/>
          <w:tab w:val="left" w:pos="720"/>
        </w:tabs>
        <w:autoSpaceDE w:val="0"/>
        <w:autoSpaceDN w:val="0"/>
        <w:adjustRightInd w:val="0"/>
        <w:spacing w:after="0" w:line="240" w:lineRule="auto"/>
        <w:ind w:left="1440"/>
        <w:jc w:val="both"/>
        <w:rPr>
          <w:rFonts w:ascii="Times New Roman" w:hAnsi="Times New Roman" w:cs="Times New Roman"/>
        </w:rPr>
      </w:pPr>
      <w:r w:rsidRPr="00C93378">
        <w:rPr>
          <w:rFonts w:ascii="Times New Roman" w:hAnsi="Times New Roman" w:cs="Times New Roman"/>
        </w:rPr>
        <w:lastRenderedPageBreak/>
        <w:t xml:space="preserve">To assess </w:t>
      </w:r>
      <w:r w:rsidR="0089006C" w:rsidRPr="00C93378">
        <w:rPr>
          <w:rFonts w:ascii="Times New Roman" w:hAnsi="Times New Roman" w:cs="Times New Roman"/>
        </w:rPr>
        <w:t xml:space="preserve">results in relation to the CDRRF </w:t>
      </w:r>
      <w:r w:rsidRPr="00C93378">
        <w:rPr>
          <w:rFonts w:ascii="Times New Roman" w:hAnsi="Times New Roman" w:cs="Times New Roman"/>
        </w:rPr>
        <w:t xml:space="preserve">objectives </w:t>
      </w:r>
      <w:r w:rsidR="00A51B58" w:rsidRPr="00C93378">
        <w:rPr>
          <w:rFonts w:ascii="Times New Roman" w:hAnsi="Times New Roman" w:cs="Times New Roman"/>
        </w:rPr>
        <w:t>as per</w:t>
      </w:r>
      <w:r w:rsidR="00C97B68" w:rsidRPr="00C93378">
        <w:rPr>
          <w:rFonts w:ascii="Times New Roman" w:hAnsi="Times New Roman" w:cs="Times New Roman"/>
        </w:rPr>
        <w:t xml:space="preserve"> the</w:t>
      </w:r>
      <w:r w:rsidR="00A51B58" w:rsidRPr="00C93378">
        <w:rPr>
          <w:rFonts w:ascii="Times New Roman" w:hAnsi="Times New Roman" w:cs="Times New Roman"/>
        </w:rPr>
        <w:t xml:space="preserve"> Performance Measurement Framework</w:t>
      </w:r>
      <w:r w:rsidR="00B878AF" w:rsidRPr="00C93378">
        <w:rPr>
          <w:rFonts w:ascii="Times New Roman" w:hAnsi="Times New Roman" w:cs="Times New Roman"/>
        </w:rPr>
        <w:t xml:space="preserve"> (PMF)</w:t>
      </w:r>
      <w:r w:rsidR="005327DF" w:rsidRPr="00C93378">
        <w:rPr>
          <w:rFonts w:ascii="Times New Roman" w:hAnsi="Times New Roman" w:cs="Times New Roman"/>
        </w:rPr>
        <w:t xml:space="preserve"> presented in </w:t>
      </w:r>
      <w:r w:rsidR="001418FD" w:rsidRPr="00C93378">
        <w:rPr>
          <w:rFonts w:ascii="Times New Roman" w:hAnsi="Times New Roman" w:cs="Times New Roman"/>
        </w:rPr>
        <w:t xml:space="preserve">Annex </w:t>
      </w:r>
      <w:r w:rsidR="00D0588C" w:rsidRPr="00C93378">
        <w:rPr>
          <w:rFonts w:ascii="Times New Roman" w:hAnsi="Times New Roman" w:cs="Times New Roman"/>
        </w:rPr>
        <w:t>2</w:t>
      </w:r>
      <w:r w:rsidR="00764D4F" w:rsidRPr="00C93378">
        <w:rPr>
          <w:rFonts w:ascii="Times New Roman" w:hAnsi="Times New Roman" w:cs="Times New Roman"/>
        </w:rPr>
        <w:t xml:space="preserve">.  </w:t>
      </w:r>
    </w:p>
    <w:p w14:paraId="162AA7EB" w14:textId="77777777" w:rsidR="00C93378" w:rsidRPr="00C93378" w:rsidRDefault="00C93378" w:rsidP="00C93378">
      <w:pPr>
        <w:pStyle w:val="ListParagraph"/>
        <w:widowControl w:val="0"/>
        <w:tabs>
          <w:tab w:val="left" w:pos="220"/>
          <w:tab w:val="left" w:pos="720"/>
        </w:tabs>
        <w:autoSpaceDE w:val="0"/>
        <w:autoSpaceDN w:val="0"/>
        <w:adjustRightInd w:val="0"/>
        <w:spacing w:after="0" w:line="240" w:lineRule="auto"/>
        <w:ind w:left="1440"/>
        <w:jc w:val="both"/>
        <w:rPr>
          <w:rFonts w:ascii="Times New Roman" w:hAnsi="Times New Roman" w:cs="Times New Roman"/>
        </w:rPr>
      </w:pPr>
    </w:p>
    <w:p w14:paraId="376DC978" w14:textId="53EFC5E1" w:rsidR="00377F47" w:rsidRPr="00764D4F" w:rsidRDefault="00764D4F" w:rsidP="006B2873">
      <w:pPr>
        <w:pStyle w:val="ListParagraph"/>
        <w:widowControl w:val="0"/>
        <w:numPr>
          <w:ilvl w:val="0"/>
          <w:numId w:val="3"/>
        </w:numPr>
        <w:tabs>
          <w:tab w:val="left" w:pos="220"/>
          <w:tab w:val="left" w:pos="720"/>
        </w:tabs>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To assess sub-project risk mitigation strategies, implementation challenges, and potential for sustainability.</w:t>
      </w:r>
    </w:p>
    <w:p w14:paraId="07079C5B" w14:textId="77777777" w:rsidR="0089006C" w:rsidRPr="0089006C" w:rsidRDefault="0089006C" w:rsidP="0089006C">
      <w:pPr>
        <w:pStyle w:val="ListParagraph"/>
        <w:rPr>
          <w:rFonts w:ascii="Times New Roman" w:hAnsi="Times New Roman" w:cs="Times New Roman"/>
        </w:rPr>
      </w:pPr>
    </w:p>
    <w:p w14:paraId="5945551E" w14:textId="7E596196" w:rsidR="00A757D1" w:rsidRDefault="001D440A" w:rsidP="006B2873">
      <w:pPr>
        <w:pStyle w:val="ListParagraph"/>
        <w:widowControl w:val="0"/>
        <w:numPr>
          <w:ilvl w:val="0"/>
          <w:numId w:val="3"/>
        </w:numPr>
        <w:tabs>
          <w:tab w:val="left" w:pos="220"/>
          <w:tab w:val="left" w:pos="720"/>
        </w:tabs>
        <w:autoSpaceDE w:val="0"/>
        <w:autoSpaceDN w:val="0"/>
        <w:adjustRightInd w:val="0"/>
        <w:spacing w:after="0" w:line="240" w:lineRule="auto"/>
        <w:ind w:left="1440"/>
        <w:jc w:val="both"/>
        <w:rPr>
          <w:rFonts w:ascii="Times New Roman" w:hAnsi="Times New Roman" w:cs="Times New Roman"/>
        </w:rPr>
      </w:pPr>
      <w:r w:rsidRPr="00A757D1">
        <w:rPr>
          <w:rFonts w:ascii="Times New Roman" w:hAnsi="Times New Roman" w:cs="Times New Roman"/>
        </w:rPr>
        <w:t xml:space="preserve">To </w:t>
      </w:r>
      <w:r w:rsidR="0089006C" w:rsidRPr="00A757D1">
        <w:rPr>
          <w:rFonts w:ascii="Times New Roman" w:hAnsi="Times New Roman" w:cs="Times New Roman"/>
        </w:rPr>
        <w:t>document</w:t>
      </w:r>
      <w:r w:rsidRPr="00A757D1">
        <w:rPr>
          <w:rFonts w:ascii="Times New Roman" w:hAnsi="Times New Roman" w:cs="Times New Roman"/>
        </w:rPr>
        <w:t xml:space="preserve"> lessons</w:t>
      </w:r>
      <w:r w:rsidR="00A757D1">
        <w:rPr>
          <w:rFonts w:ascii="Times New Roman" w:hAnsi="Times New Roman" w:cs="Times New Roman"/>
        </w:rPr>
        <w:t xml:space="preserve"> and make recommendations</w:t>
      </w:r>
      <w:r w:rsidRPr="00A757D1">
        <w:rPr>
          <w:rFonts w:ascii="Times New Roman" w:hAnsi="Times New Roman" w:cs="Times New Roman"/>
        </w:rPr>
        <w:t xml:space="preserve"> to guide and inform the </w:t>
      </w:r>
      <w:r w:rsidR="00D43FBB" w:rsidRPr="00A757D1">
        <w:rPr>
          <w:rFonts w:ascii="Times New Roman" w:hAnsi="Times New Roman" w:cs="Times New Roman"/>
        </w:rPr>
        <w:t>strategy</w:t>
      </w:r>
      <w:r w:rsidR="0074738A" w:rsidRPr="00A757D1">
        <w:rPr>
          <w:rFonts w:ascii="Times New Roman" w:hAnsi="Times New Roman" w:cs="Times New Roman"/>
        </w:rPr>
        <w:t xml:space="preserve"> for</w:t>
      </w:r>
      <w:r w:rsidR="00764D4F" w:rsidRPr="00A757D1">
        <w:rPr>
          <w:rFonts w:ascii="Times New Roman" w:hAnsi="Times New Roman" w:cs="Times New Roman"/>
        </w:rPr>
        <w:t>,</w:t>
      </w:r>
      <w:r w:rsidR="00D43FBB" w:rsidRPr="00A757D1">
        <w:rPr>
          <w:rFonts w:ascii="Times New Roman" w:hAnsi="Times New Roman" w:cs="Times New Roman"/>
        </w:rPr>
        <w:t xml:space="preserve"> and </w:t>
      </w:r>
      <w:r w:rsidR="00832F4A" w:rsidRPr="00A757D1">
        <w:rPr>
          <w:rFonts w:ascii="Times New Roman" w:hAnsi="Times New Roman" w:cs="Times New Roman"/>
        </w:rPr>
        <w:t xml:space="preserve">implementation </w:t>
      </w:r>
      <w:r w:rsidR="00D43FBB" w:rsidRPr="00A757D1">
        <w:rPr>
          <w:rFonts w:ascii="Times New Roman" w:hAnsi="Times New Roman" w:cs="Times New Roman"/>
        </w:rPr>
        <w:t>of</w:t>
      </w:r>
      <w:r w:rsidR="00764D4F" w:rsidRPr="00A757D1">
        <w:rPr>
          <w:rFonts w:ascii="Times New Roman" w:hAnsi="Times New Roman" w:cs="Times New Roman"/>
        </w:rPr>
        <w:t>,</w:t>
      </w:r>
      <w:r w:rsidR="00832F4A" w:rsidRPr="00A757D1">
        <w:rPr>
          <w:rFonts w:ascii="Times New Roman" w:hAnsi="Times New Roman" w:cs="Times New Roman"/>
        </w:rPr>
        <w:t xml:space="preserve"> </w:t>
      </w:r>
      <w:r w:rsidR="0089006C" w:rsidRPr="00A757D1">
        <w:rPr>
          <w:rFonts w:ascii="Times New Roman" w:hAnsi="Times New Roman" w:cs="Times New Roman"/>
        </w:rPr>
        <w:t xml:space="preserve">future </w:t>
      </w:r>
      <w:r w:rsidRPr="00A757D1">
        <w:rPr>
          <w:rFonts w:ascii="Times New Roman" w:hAnsi="Times New Roman" w:cs="Times New Roman"/>
        </w:rPr>
        <w:t xml:space="preserve">community-level </w:t>
      </w:r>
      <w:r w:rsidR="005C2FFF" w:rsidRPr="00A757D1">
        <w:rPr>
          <w:rFonts w:ascii="Times New Roman" w:hAnsi="Times New Roman" w:cs="Times New Roman"/>
        </w:rPr>
        <w:t>environment (DRR and CCA)</w:t>
      </w:r>
      <w:r w:rsidRPr="00A757D1">
        <w:rPr>
          <w:rFonts w:ascii="Times New Roman" w:hAnsi="Times New Roman" w:cs="Times New Roman"/>
        </w:rPr>
        <w:t xml:space="preserve"> </w:t>
      </w:r>
      <w:r w:rsidR="0089006C" w:rsidRPr="00A757D1">
        <w:rPr>
          <w:rFonts w:ascii="Times New Roman" w:hAnsi="Times New Roman" w:cs="Times New Roman"/>
        </w:rPr>
        <w:t>projects.</w:t>
      </w:r>
    </w:p>
    <w:p w14:paraId="61E65AA8" w14:textId="77777777" w:rsidR="008502A8" w:rsidRPr="006B2873" w:rsidRDefault="008502A8" w:rsidP="006B2873">
      <w:pPr>
        <w:widowControl w:val="0"/>
        <w:tabs>
          <w:tab w:val="left" w:pos="220"/>
          <w:tab w:val="left" w:pos="720"/>
        </w:tabs>
        <w:autoSpaceDE w:val="0"/>
        <w:autoSpaceDN w:val="0"/>
        <w:adjustRightInd w:val="0"/>
        <w:spacing w:after="0" w:line="240" w:lineRule="auto"/>
        <w:jc w:val="both"/>
        <w:rPr>
          <w:rFonts w:ascii="Times New Roman" w:hAnsi="Times New Roman" w:cs="Times New Roman"/>
          <w:b/>
          <w:bCs/>
        </w:rPr>
      </w:pPr>
    </w:p>
    <w:p w14:paraId="2218FA6B" w14:textId="47F0C3FE" w:rsidR="000E0065" w:rsidRPr="000E0065" w:rsidRDefault="000E0065" w:rsidP="000E0065">
      <w:pPr>
        <w:widowControl w:val="0"/>
        <w:autoSpaceDE w:val="0"/>
        <w:autoSpaceDN w:val="0"/>
        <w:adjustRightInd w:val="0"/>
        <w:spacing w:after="0" w:line="240" w:lineRule="auto"/>
        <w:jc w:val="both"/>
        <w:rPr>
          <w:rFonts w:ascii="Times New Roman" w:hAnsi="Times New Roman" w:cs="Times New Roman"/>
          <w:b/>
          <w:u w:val="single"/>
        </w:rPr>
      </w:pPr>
      <w:r>
        <w:rPr>
          <w:rFonts w:ascii="Times New Roman" w:hAnsi="Times New Roman" w:cs="Times New Roman"/>
          <w:b/>
        </w:rPr>
        <w:t>3.</w:t>
      </w:r>
      <w:r>
        <w:rPr>
          <w:rFonts w:ascii="Times New Roman" w:hAnsi="Times New Roman" w:cs="Times New Roman"/>
          <w:b/>
        </w:rPr>
        <w:tab/>
      </w:r>
      <w:r w:rsidR="008502A8">
        <w:rPr>
          <w:rFonts w:ascii="Times New Roman" w:hAnsi="Times New Roman" w:cs="Times New Roman"/>
          <w:b/>
          <w:u w:val="single"/>
        </w:rPr>
        <w:t xml:space="preserve">EVALUATION </w:t>
      </w:r>
      <w:r w:rsidRPr="000E0065">
        <w:rPr>
          <w:rFonts w:ascii="Times New Roman" w:hAnsi="Times New Roman" w:cs="Times New Roman"/>
          <w:b/>
          <w:u w:val="single"/>
        </w:rPr>
        <w:t>SCOPE</w:t>
      </w:r>
      <w:r w:rsidR="008502A8">
        <w:rPr>
          <w:rFonts w:ascii="Times New Roman" w:hAnsi="Times New Roman" w:cs="Times New Roman"/>
          <w:b/>
          <w:u w:val="single"/>
        </w:rPr>
        <w:t xml:space="preserve"> AND</w:t>
      </w:r>
      <w:r w:rsidR="00D00BB4">
        <w:rPr>
          <w:rFonts w:ascii="Times New Roman" w:hAnsi="Times New Roman" w:cs="Times New Roman"/>
          <w:b/>
          <w:u w:val="single"/>
        </w:rPr>
        <w:t xml:space="preserve"> QUESTIONS</w:t>
      </w:r>
    </w:p>
    <w:p w14:paraId="334B9025" w14:textId="77777777" w:rsidR="000E0065" w:rsidRDefault="000E0065" w:rsidP="000E0065">
      <w:pPr>
        <w:widowControl w:val="0"/>
        <w:autoSpaceDE w:val="0"/>
        <w:autoSpaceDN w:val="0"/>
        <w:adjustRightInd w:val="0"/>
        <w:spacing w:after="0" w:line="240" w:lineRule="auto"/>
        <w:rPr>
          <w:rFonts w:ascii="Times New Roman" w:hAnsi="Times New Roman" w:cs="Times New Roman"/>
        </w:rPr>
      </w:pPr>
    </w:p>
    <w:p w14:paraId="0A71CC5D" w14:textId="6924F7EE" w:rsidR="00396AD4" w:rsidRDefault="000E0065" w:rsidP="00CA57A7">
      <w:pPr>
        <w:widowControl w:val="0"/>
        <w:autoSpaceDE w:val="0"/>
        <w:autoSpaceDN w:val="0"/>
        <w:adjustRightInd w:val="0"/>
        <w:spacing w:after="0" w:line="240" w:lineRule="auto"/>
        <w:jc w:val="both"/>
        <w:rPr>
          <w:rFonts w:ascii="Times New Roman" w:hAnsi="Times New Roman" w:cs="Times New Roman"/>
        </w:rPr>
      </w:pPr>
      <w:r w:rsidRPr="00CA57A7">
        <w:rPr>
          <w:rFonts w:ascii="Times New Roman" w:hAnsi="Times New Roman" w:cs="Times New Roman"/>
        </w:rPr>
        <w:t>3.01</w:t>
      </w:r>
      <w:r w:rsidRPr="00CA57A7">
        <w:rPr>
          <w:rFonts w:ascii="Times New Roman" w:hAnsi="Times New Roman" w:cs="Times New Roman"/>
        </w:rPr>
        <w:tab/>
      </w:r>
      <w:r w:rsidR="00632B78">
        <w:rPr>
          <w:rFonts w:ascii="Times New Roman" w:hAnsi="Times New Roman" w:cs="Times New Roman"/>
        </w:rPr>
        <w:t>T</w:t>
      </w:r>
      <w:r w:rsidR="00A37A67" w:rsidRPr="00CA57A7">
        <w:rPr>
          <w:rFonts w:ascii="Times New Roman" w:hAnsi="Times New Roman" w:cs="Times New Roman"/>
        </w:rPr>
        <w:t>he consultant</w:t>
      </w:r>
      <w:r w:rsidR="00D50872">
        <w:rPr>
          <w:rFonts w:ascii="Times New Roman" w:hAnsi="Times New Roman" w:cs="Times New Roman"/>
        </w:rPr>
        <w:t xml:space="preserve"> team</w:t>
      </w:r>
      <w:r w:rsidR="00A37A67" w:rsidRPr="00CA57A7">
        <w:rPr>
          <w:rFonts w:ascii="Times New Roman" w:hAnsi="Times New Roman" w:cs="Times New Roman"/>
        </w:rPr>
        <w:t xml:space="preserve"> is expected to undertake</w:t>
      </w:r>
      <w:r w:rsidR="00D50872">
        <w:rPr>
          <w:rFonts w:ascii="Times New Roman" w:hAnsi="Times New Roman" w:cs="Times New Roman"/>
        </w:rPr>
        <w:t xml:space="preserve"> a summative evaluation that</w:t>
      </w:r>
      <w:r w:rsidR="00D00BB4">
        <w:rPr>
          <w:rFonts w:ascii="Times New Roman" w:hAnsi="Times New Roman" w:cs="Times New Roman"/>
        </w:rPr>
        <w:t>,</w:t>
      </w:r>
      <w:r w:rsidR="00D50872">
        <w:rPr>
          <w:rFonts w:ascii="Times New Roman" w:hAnsi="Times New Roman" w:cs="Times New Roman"/>
        </w:rPr>
        <w:t xml:space="preserve"> </w:t>
      </w:r>
      <w:r w:rsidR="00D00BB4">
        <w:rPr>
          <w:rFonts w:ascii="Times New Roman" w:hAnsi="Times New Roman" w:cs="Times New Roman"/>
        </w:rPr>
        <w:t>in assessing</w:t>
      </w:r>
      <w:r w:rsidR="00D50872">
        <w:rPr>
          <w:rFonts w:ascii="Times New Roman" w:hAnsi="Times New Roman" w:cs="Times New Roman"/>
        </w:rPr>
        <w:t xml:space="preserve"> </w:t>
      </w:r>
      <w:r w:rsidR="00D00BB4">
        <w:rPr>
          <w:rFonts w:ascii="Times New Roman" w:hAnsi="Times New Roman" w:cs="Times New Roman"/>
        </w:rPr>
        <w:t>overall performance, pays particular attention to the appropriateness of</w:t>
      </w:r>
      <w:r w:rsidR="008502A8">
        <w:rPr>
          <w:rFonts w:ascii="Times New Roman" w:hAnsi="Times New Roman" w:cs="Times New Roman"/>
        </w:rPr>
        <w:t xml:space="preserve"> the </w:t>
      </w:r>
      <w:r w:rsidR="00D00BB4">
        <w:rPr>
          <w:rFonts w:ascii="Times New Roman" w:hAnsi="Times New Roman" w:cs="Times New Roman"/>
        </w:rPr>
        <w:t>design, institutional and management arrangements</w:t>
      </w:r>
      <w:r w:rsidR="008502A8">
        <w:rPr>
          <w:rFonts w:ascii="Times New Roman" w:hAnsi="Times New Roman" w:cs="Times New Roman"/>
        </w:rPr>
        <w:t>,</w:t>
      </w:r>
      <w:r w:rsidR="00D00BB4">
        <w:rPr>
          <w:rFonts w:ascii="Times New Roman" w:hAnsi="Times New Roman" w:cs="Times New Roman"/>
        </w:rPr>
        <w:t xml:space="preserve"> and </w:t>
      </w:r>
      <w:r w:rsidR="008502A8">
        <w:rPr>
          <w:rFonts w:ascii="Times New Roman" w:hAnsi="Times New Roman" w:cs="Times New Roman"/>
        </w:rPr>
        <w:t xml:space="preserve">the </w:t>
      </w:r>
      <w:r w:rsidR="00D00BB4">
        <w:rPr>
          <w:rFonts w:ascii="Times New Roman" w:hAnsi="Times New Roman" w:cs="Times New Roman"/>
        </w:rPr>
        <w:t>results and potential sustainability of</w:t>
      </w:r>
      <w:r w:rsidR="00D50872">
        <w:rPr>
          <w:rFonts w:ascii="Times New Roman" w:hAnsi="Times New Roman" w:cs="Times New Roman"/>
        </w:rPr>
        <w:t xml:space="preserve"> sub-projects. </w:t>
      </w:r>
      <w:r w:rsidR="00B13AA5">
        <w:rPr>
          <w:rFonts w:ascii="Times New Roman" w:hAnsi="Times New Roman" w:cs="Times New Roman"/>
        </w:rPr>
        <w:t xml:space="preserve"> </w:t>
      </w:r>
      <w:r w:rsidR="00D00BB4">
        <w:rPr>
          <w:rFonts w:ascii="Times New Roman" w:hAnsi="Times New Roman" w:cs="Times New Roman"/>
        </w:rPr>
        <w:t xml:space="preserve">The assessment will cover the entire period of the intervention (2012-2020), the regional context at which it was directed, and </w:t>
      </w:r>
      <w:r w:rsidR="00D00BB4" w:rsidRPr="008D3EEB">
        <w:rPr>
          <w:rFonts w:ascii="Times New Roman" w:hAnsi="Times New Roman" w:cs="Times New Roman"/>
        </w:rPr>
        <w:t xml:space="preserve">the </w:t>
      </w:r>
      <w:r w:rsidR="00184439">
        <w:rPr>
          <w:rFonts w:ascii="Times New Roman" w:hAnsi="Times New Roman" w:cs="Times New Roman"/>
        </w:rPr>
        <w:t>four</w:t>
      </w:r>
      <w:r w:rsidR="006C4130" w:rsidRPr="008D3EEB">
        <w:rPr>
          <w:rFonts w:ascii="Times New Roman" w:hAnsi="Times New Roman" w:cs="Times New Roman"/>
        </w:rPr>
        <w:t xml:space="preserve"> BMCs</w:t>
      </w:r>
      <w:r w:rsidR="008D3EEB">
        <w:rPr>
          <w:rStyle w:val="FootnoteReference"/>
          <w:rFonts w:ascii="Times New Roman" w:hAnsi="Times New Roman" w:cs="Times New Roman"/>
        </w:rPr>
        <w:footnoteReference w:id="1"/>
      </w:r>
      <w:r w:rsidR="00D00BB4" w:rsidRPr="008D3EEB">
        <w:rPr>
          <w:rFonts w:ascii="Times New Roman" w:hAnsi="Times New Roman" w:cs="Times New Roman"/>
        </w:rPr>
        <w:t xml:space="preserve"> and </w:t>
      </w:r>
      <w:r w:rsidR="00184439">
        <w:rPr>
          <w:rFonts w:ascii="Times New Roman" w:hAnsi="Times New Roman" w:cs="Times New Roman"/>
        </w:rPr>
        <w:t>eight</w:t>
      </w:r>
      <w:r w:rsidR="00D00BB4" w:rsidRPr="008D3EEB">
        <w:rPr>
          <w:rFonts w:ascii="Times New Roman" w:hAnsi="Times New Roman" w:cs="Times New Roman"/>
        </w:rPr>
        <w:t xml:space="preserve"> sub-projects</w:t>
      </w:r>
      <w:r w:rsidR="00D00BB4">
        <w:rPr>
          <w:rFonts w:ascii="Times New Roman" w:hAnsi="Times New Roman" w:cs="Times New Roman"/>
        </w:rPr>
        <w:t xml:space="preserve"> that were supported. </w:t>
      </w:r>
    </w:p>
    <w:p w14:paraId="1AD9A944" w14:textId="77777777" w:rsidR="00396AD4" w:rsidRDefault="00396AD4" w:rsidP="00396AD4">
      <w:pPr>
        <w:widowControl w:val="0"/>
        <w:tabs>
          <w:tab w:val="left" w:pos="220"/>
          <w:tab w:val="left" w:pos="720"/>
        </w:tabs>
        <w:autoSpaceDE w:val="0"/>
        <w:autoSpaceDN w:val="0"/>
        <w:adjustRightInd w:val="0"/>
        <w:spacing w:after="0" w:line="240" w:lineRule="auto"/>
        <w:jc w:val="both"/>
        <w:rPr>
          <w:rFonts w:ascii="Times New Roman" w:hAnsi="Times New Roman" w:cs="Times New Roman"/>
          <w:highlight w:val="yellow"/>
        </w:rPr>
      </w:pPr>
    </w:p>
    <w:p w14:paraId="6204B009" w14:textId="22BDDF1C" w:rsidR="00396AD4" w:rsidRDefault="00396AD4" w:rsidP="00396AD4">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r w:rsidRPr="008D3EEB">
        <w:rPr>
          <w:rFonts w:ascii="Times New Roman" w:hAnsi="Times New Roman" w:cs="Times New Roman"/>
        </w:rPr>
        <w:t>Given the cultural, socio-economic</w:t>
      </w:r>
      <w:r w:rsidR="008D3EEB">
        <w:rPr>
          <w:rFonts w:ascii="Times New Roman" w:hAnsi="Times New Roman" w:cs="Times New Roman"/>
        </w:rPr>
        <w:t>,</w:t>
      </w:r>
      <w:r w:rsidRPr="008D3EEB">
        <w:rPr>
          <w:rFonts w:ascii="Times New Roman" w:hAnsi="Times New Roman" w:cs="Times New Roman"/>
        </w:rPr>
        <w:t xml:space="preserve"> and other differences in the beneficiary communities of the </w:t>
      </w:r>
      <w:r w:rsidR="00184439">
        <w:rPr>
          <w:rFonts w:ascii="Times New Roman" w:hAnsi="Times New Roman" w:cs="Times New Roman"/>
        </w:rPr>
        <w:t>four</w:t>
      </w:r>
      <w:r w:rsidRPr="008D3EEB">
        <w:rPr>
          <w:rFonts w:ascii="Times New Roman" w:hAnsi="Times New Roman" w:cs="Times New Roman"/>
        </w:rPr>
        <w:t xml:space="preserve"> countries, it is expected that this multi-site/country data collection would contribute to learning about sub-project implementation in different settings and contexts.</w:t>
      </w:r>
    </w:p>
    <w:p w14:paraId="47DC8A29" w14:textId="77777777" w:rsidR="00396AD4" w:rsidRDefault="00396AD4" w:rsidP="00396AD4">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19D16BB8" w14:textId="77777777" w:rsidR="00396AD4" w:rsidRDefault="00396AD4" w:rsidP="00CA57A7">
      <w:pPr>
        <w:widowControl w:val="0"/>
        <w:autoSpaceDE w:val="0"/>
        <w:autoSpaceDN w:val="0"/>
        <w:adjustRightInd w:val="0"/>
        <w:spacing w:after="0" w:line="240" w:lineRule="auto"/>
        <w:jc w:val="both"/>
        <w:rPr>
          <w:rFonts w:ascii="Times New Roman" w:hAnsi="Times New Roman" w:cs="Times New Roman"/>
        </w:rPr>
      </w:pPr>
    </w:p>
    <w:p w14:paraId="74E5BAE6" w14:textId="7ED5FBC9" w:rsidR="00A37A67" w:rsidRDefault="00396AD4" w:rsidP="00CA57A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3.03</w:t>
      </w:r>
      <w:r>
        <w:rPr>
          <w:rFonts w:ascii="Times New Roman" w:hAnsi="Times New Roman" w:cs="Times New Roman"/>
        </w:rPr>
        <w:tab/>
        <w:t xml:space="preserve">The evaluation </w:t>
      </w:r>
      <w:r w:rsidR="00D00BB4">
        <w:rPr>
          <w:rFonts w:ascii="Times New Roman" w:hAnsi="Times New Roman" w:cs="Times New Roman"/>
        </w:rPr>
        <w:t xml:space="preserve">will seek to answer the following questions, which will be further refined at the inception stage: </w:t>
      </w:r>
    </w:p>
    <w:p w14:paraId="48B7B95A" w14:textId="4B4E853D" w:rsidR="00D00BB4" w:rsidRDefault="00D00BB4" w:rsidP="00CA57A7">
      <w:pPr>
        <w:widowControl w:val="0"/>
        <w:autoSpaceDE w:val="0"/>
        <w:autoSpaceDN w:val="0"/>
        <w:adjustRightInd w:val="0"/>
        <w:spacing w:after="0" w:line="240" w:lineRule="auto"/>
        <w:jc w:val="both"/>
        <w:rPr>
          <w:rFonts w:ascii="Times New Roman" w:hAnsi="Times New Roman" w:cs="Times New Roman"/>
        </w:rPr>
      </w:pPr>
    </w:p>
    <w:tbl>
      <w:tblPr>
        <w:tblStyle w:val="TableGrid"/>
        <w:tblW w:w="9985" w:type="dxa"/>
        <w:tblLook w:val="04A0" w:firstRow="1" w:lastRow="0" w:firstColumn="1" w:lastColumn="0" w:noHBand="0" w:noVBand="1"/>
      </w:tblPr>
      <w:tblGrid>
        <w:gridCol w:w="1705"/>
        <w:gridCol w:w="8280"/>
      </w:tblGrid>
      <w:tr w:rsidR="00D00BB4" w14:paraId="41E38054" w14:textId="77777777" w:rsidTr="00184439">
        <w:trPr>
          <w:tblHeader/>
        </w:trPr>
        <w:tc>
          <w:tcPr>
            <w:tcW w:w="1705" w:type="dxa"/>
            <w:shd w:val="clear" w:color="auto" w:fill="D9D9D9" w:themeFill="background1" w:themeFillShade="D9"/>
          </w:tcPr>
          <w:p w14:paraId="17642918" w14:textId="77777777" w:rsidR="00D00BB4" w:rsidRPr="00FB1797" w:rsidRDefault="00D00BB4" w:rsidP="00D00BB4">
            <w:pPr>
              <w:jc w:val="both"/>
              <w:rPr>
                <w:rFonts w:ascii="Times New Roman" w:hAnsi="Times New Roman" w:cs="Times New Roman"/>
                <w:b/>
                <w:bCs/>
              </w:rPr>
            </w:pPr>
            <w:r w:rsidRPr="00FB1797">
              <w:rPr>
                <w:rFonts w:ascii="Times New Roman" w:hAnsi="Times New Roman" w:cs="Times New Roman"/>
                <w:b/>
                <w:bCs/>
              </w:rPr>
              <w:t>Criteria</w:t>
            </w:r>
          </w:p>
        </w:tc>
        <w:tc>
          <w:tcPr>
            <w:tcW w:w="8280" w:type="dxa"/>
            <w:shd w:val="clear" w:color="auto" w:fill="D9D9D9" w:themeFill="background1" w:themeFillShade="D9"/>
          </w:tcPr>
          <w:p w14:paraId="78892F2B" w14:textId="77777777" w:rsidR="00D00BB4" w:rsidRPr="00FB1797" w:rsidRDefault="00D00BB4" w:rsidP="00D00BB4">
            <w:pPr>
              <w:jc w:val="both"/>
              <w:rPr>
                <w:rFonts w:ascii="Times New Roman" w:hAnsi="Times New Roman" w:cs="Times New Roman"/>
                <w:b/>
                <w:bCs/>
              </w:rPr>
            </w:pPr>
            <w:r w:rsidRPr="00FB1797">
              <w:rPr>
                <w:rFonts w:ascii="Times New Roman" w:hAnsi="Times New Roman" w:cs="Times New Roman"/>
                <w:b/>
                <w:bCs/>
              </w:rPr>
              <w:t>Key Evaluation Questions</w:t>
            </w:r>
          </w:p>
        </w:tc>
      </w:tr>
      <w:tr w:rsidR="00D00BB4" w14:paraId="703D70F9" w14:textId="77777777" w:rsidTr="00184439">
        <w:tc>
          <w:tcPr>
            <w:tcW w:w="1705" w:type="dxa"/>
          </w:tcPr>
          <w:p w14:paraId="4FBEEC28" w14:textId="77777777" w:rsidR="00D00BB4" w:rsidRDefault="00D00BB4" w:rsidP="00D00BB4">
            <w:pPr>
              <w:jc w:val="both"/>
              <w:rPr>
                <w:rFonts w:ascii="Times New Roman" w:hAnsi="Times New Roman" w:cs="Times New Roman"/>
              </w:rPr>
            </w:pPr>
            <w:r>
              <w:rPr>
                <w:rFonts w:ascii="Times New Roman" w:hAnsi="Times New Roman" w:cs="Times New Roman"/>
              </w:rPr>
              <w:t xml:space="preserve">Relevance </w:t>
            </w:r>
          </w:p>
        </w:tc>
        <w:tc>
          <w:tcPr>
            <w:tcW w:w="8280" w:type="dxa"/>
          </w:tcPr>
          <w:p w14:paraId="6A76ABF8" w14:textId="09D4BB67" w:rsidR="00D00BB4" w:rsidRDefault="00D00BB4" w:rsidP="00184439">
            <w:pPr>
              <w:pStyle w:val="ListParagraph"/>
              <w:widowControl w:val="0"/>
              <w:numPr>
                <w:ilvl w:val="0"/>
                <w:numId w:val="11"/>
              </w:numPr>
              <w:autoSpaceDE w:val="0"/>
              <w:autoSpaceDN w:val="0"/>
              <w:adjustRightInd w:val="0"/>
              <w:spacing w:after="0" w:line="240" w:lineRule="auto"/>
              <w:ind w:left="346" w:hanging="346"/>
              <w:jc w:val="both"/>
              <w:rPr>
                <w:rFonts w:ascii="Times New Roman" w:hAnsi="Times New Roman" w:cs="Times New Roman"/>
              </w:rPr>
            </w:pPr>
            <w:r w:rsidRPr="00155D06">
              <w:rPr>
                <w:rFonts w:ascii="Times New Roman" w:hAnsi="Times New Roman" w:cs="Times New Roman"/>
              </w:rPr>
              <w:t xml:space="preserve">To what extent </w:t>
            </w:r>
            <w:r>
              <w:rPr>
                <w:rFonts w:ascii="Times New Roman" w:hAnsi="Times New Roman" w:cs="Times New Roman"/>
              </w:rPr>
              <w:t>did</w:t>
            </w:r>
            <w:r w:rsidRPr="00155D06">
              <w:rPr>
                <w:rFonts w:ascii="Times New Roman" w:hAnsi="Times New Roman" w:cs="Times New Roman"/>
              </w:rPr>
              <w:t xml:space="preserve"> the design of the </w:t>
            </w:r>
            <w:r>
              <w:rPr>
                <w:rFonts w:ascii="Times New Roman" w:hAnsi="Times New Roman" w:cs="Times New Roman"/>
              </w:rPr>
              <w:t>CDRRF</w:t>
            </w:r>
            <w:r w:rsidRPr="00155D06">
              <w:rPr>
                <w:rFonts w:ascii="Times New Roman" w:hAnsi="Times New Roman" w:cs="Times New Roman"/>
              </w:rPr>
              <w:t xml:space="preserve"> respo</w:t>
            </w:r>
            <w:r>
              <w:rPr>
                <w:rFonts w:ascii="Times New Roman" w:hAnsi="Times New Roman" w:cs="Times New Roman"/>
              </w:rPr>
              <w:t xml:space="preserve">nd </w:t>
            </w:r>
            <w:r w:rsidRPr="00155D06">
              <w:rPr>
                <w:rFonts w:ascii="Times New Roman" w:hAnsi="Times New Roman" w:cs="Times New Roman"/>
              </w:rPr>
              <w:t>to</w:t>
            </w:r>
            <w:r>
              <w:rPr>
                <w:rFonts w:ascii="Times New Roman" w:hAnsi="Times New Roman" w:cs="Times New Roman"/>
              </w:rPr>
              <w:t xml:space="preserve"> community contexts and</w:t>
            </w:r>
            <w:r w:rsidRPr="00155D06">
              <w:rPr>
                <w:rFonts w:ascii="Times New Roman" w:hAnsi="Times New Roman" w:cs="Times New Roman"/>
              </w:rPr>
              <w:t xml:space="preserve"> </w:t>
            </w:r>
            <w:r>
              <w:rPr>
                <w:rFonts w:ascii="Times New Roman" w:hAnsi="Times New Roman" w:cs="Times New Roman"/>
              </w:rPr>
              <w:t xml:space="preserve">their priority </w:t>
            </w:r>
            <w:r w:rsidRPr="00155D06">
              <w:rPr>
                <w:rFonts w:ascii="Times New Roman" w:hAnsi="Times New Roman" w:cs="Times New Roman"/>
              </w:rPr>
              <w:t>needs</w:t>
            </w:r>
            <w:r>
              <w:rPr>
                <w:rFonts w:ascii="Times New Roman" w:hAnsi="Times New Roman" w:cs="Times New Roman"/>
              </w:rPr>
              <w:t xml:space="preserve"> for reduction of disaster risks</w:t>
            </w:r>
            <w:r w:rsidRPr="00155D06">
              <w:rPr>
                <w:rFonts w:ascii="Times New Roman" w:hAnsi="Times New Roman" w:cs="Times New Roman"/>
              </w:rPr>
              <w:t>?</w:t>
            </w:r>
          </w:p>
          <w:p w14:paraId="65B04972" w14:textId="77777777" w:rsidR="00D00BB4" w:rsidRDefault="00D00BB4" w:rsidP="00184439">
            <w:pPr>
              <w:pStyle w:val="ListParagraph"/>
              <w:widowControl w:val="0"/>
              <w:autoSpaceDE w:val="0"/>
              <w:autoSpaceDN w:val="0"/>
              <w:adjustRightInd w:val="0"/>
              <w:spacing w:after="0" w:line="240" w:lineRule="auto"/>
              <w:ind w:left="346" w:hanging="346"/>
              <w:jc w:val="both"/>
              <w:rPr>
                <w:rFonts w:ascii="Times New Roman" w:hAnsi="Times New Roman" w:cs="Times New Roman"/>
              </w:rPr>
            </w:pPr>
          </w:p>
          <w:p w14:paraId="36FE7A06" w14:textId="752F7596" w:rsidR="00D00BB4" w:rsidRDefault="00D00BB4" w:rsidP="00184439">
            <w:pPr>
              <w:pStyle w:val="ListParagraph"/>
              <w:widowControl w:val="0"/>
              <w:numPr>
                <w:ilvl w:val="0"/>
                <w:numId w:val="11"/>
              </w:numPr>
              <w:autoSpaceDE w:val="0"/>
              <w:autoSpaceDN w:val="0"/>
              <w:adjustRightInd w:val="0"/>
              <w:spacing w:after="0" w:line="240" w:lineRule="auto"/>
              <w:ind w:left="346" w:hanging="346"/>
              <w:jc w:val="both"/>
              <w:rPr>
                <w:rFonts w:ascii="Times New Roman" w:hAnsi="Times New Roman" w:cs="Times New Roman"/>
              </w:rPr>
            </w:pPr>
            <w:r>
              <w:rPr>
                <w:rFonts w:ascii="Times New Roman" w:hAnsi="Times New Roman" w:cs="Times New Roman"/>
              </w:rPr>
              <w:t xml:space="preserve">Given the CDB’s DRR objectives as expressed in its Disaster Management Strategy and Operational Guidelines, and the approved Board Paper and Corrigendum for the CDRRF, to what extent did the project design respond to </w:t>
            </w:r>
            <w:r w:rsidR="006C6134">
              <w:rPr>
                <w:rFonts w:ascii="Times New Roman" w:hAnsi="Times New Roman" w:cs="Times New Roman"/>
              </w:rPr>
              <w:t>their</w:t>
            </w:r>
            <w:r>
              <w:rPr>
                <w:rFonts w:ascii="Times New Roman" w:hAnsi="Times New Roman" w:cs="Times New Roman"/>
              </w:rPr>
              <w:t xml:space="preserve"> intended purpose?</w:t>
            </w:r>
          </w:p>
          <w:p w14:paraId="11D90CB1" w14:textId="77777777" w:rsidR="00737B9E" w:rsidRPr="00737B9E" w:rsidRDefault="00737B9E" w:rsidP="00184439">
            <w:pPr>
              <w:pStyle w:val="ListParagraph"/>
              <w:ind w:left="346" w:hanging="346"/>
              <w:rPr>
                <w:rFonts w:ascii="Times New Roman" w:hAnsi="Times New Roman" w:cs="Times New Roman"/>
              </w:rPr>
            </w:pPr>
          </w:p>
          <w:p w14:paraId="38BEFC12" w14:textId="015A2F07" w:rsidR="00737B9E" w:rsidRDefault="00737B9E" w:rsidP="00184439">
            <w:pPr>
              <w:pStyle w:val="ListParagraph"/>
              <w:widowControl w:val="0"/>
              <w:numPr>
                <w:ilvl w:val="0"/>
                <w:numId w:val="11"/>
              </w:numPr>
              <w:autoSpaceDE w:val="0"/>
              <w:autoSpaceDN w:val="0"/>
              <w:adjustRightInd w:val="0"/>
              <w:spacing w:after="0" w:line="240" w:lineRule="auto"/>
              <w:ind w:left="346" w:hanging="346"/>
              <w:jc w:val="both"/>
              <w:rPr>
                <w:rFonts w:ascii="Times New Roman" w:hAnsi="Times New Roman" w:cs="Times New Roman"/>
              </w:rPr>
            </w:pPr>
            <w:r>
              <w:rPr>
                <w:rFonts w:ascii="Times New Roman" w:hAnsi="Times New Roman" w:cs="Times New Roman"/>
              </w:rPr>
              <w:t>Did the Project Performance Measurement Framework accurately reflect the objective and intended outcomes of the Fund?</w:t>
            </w:r>
          </w:p>
          <w:p w14:paraId="5B9C0953" w14:textId="77777777" w:rsidR="00D00BB4" w:rsidRPr="00155D06" w:rsidRDefault="00D00BB4" w:rsidP="00184439">
            <w:pPr>
              <w:pStyle w:val="ListParagraph"/>
              <w:ind w:left="346" w:hanging="346"/>
              <w:rPr>
                <w:rFonts w:ascii="Times New Roman" w:hAnsi="Times New Roman" w:cs="Times New Roman"/>
              </w:rPr>
            </w:pPr>
          </w:p>
          <w:p w14:paraId="25D8262E" w14:textId="25CA3138" w:rsidR="00D00BB4" w:rsidRPr="009976CF" w:rsidRDefault="00D00BB4" w:rsidP="00184439">
            <w:pPr>
              <w:pStyle w:val="ListParagraph"/>
              <w:widowControl w:val="0"/>
              <w:numPr>
                <w:ilvl w:val="0"/>
                <w:numId w:val="11"/>
              </w:numPr>
              <w:autoSpaceDE w:val="0"/>
              <w:autoSpaceDN w:val="0"/>
              <w:adjustRightInd w:val="0"/>
              <w:spacing w:after="0" w:line="240" w:lineRule="auto"/>
              <w:ind w:left="346" w:hanging="346"/>
              <w:jc w:val="both"/>
              <w:rPr>
                <w:rFonts w:ascii="Times New Roman" w:hAnsi="Times New Roman" w:cs="Times New Roman"/>
              </w:rPr>
            </w:pPr>
            <w:r>
              <w:rPr>
                <w:rFonts w:ascii="Times New Roman" w:hAnsi="Times New Roman" w:cs="Times New Roman"/>
              </w:rPr>
              <w:t>Was the project’s theory of change clear to stakeholders?</w:t>
            </w:r>
          </w:p>
        </w:tc>
      </w:tr>
      <w:tr w:rsidR="00D00BB4" w14:paraId="377DBEA9" w14:textId="77777777" w:rsidTr="00184439">
        <w:tc>
          <w:tcPr>
            <w:tcW w:w="1705" w:type="dxa"/>
          </w:tcPr>
          <w:p w14:paraId="0023FE7E" w14:textId="77777777" w:rsidR="00D00BB4" w:rsidRDefault="00D00BB4" w:rsidP="00D00BB4">
            <w:pPr>
              <w:jc w:val="both"/>
              <w:rPr>
                <w:rFonts w:ascii="Times New Roman" w:hAnsi="Times New Roman" w:cs="Times New Roman"/>
              </w:rPr>
            </w:pPr>
            <w:r>
              <w:rPr>
                <w:rFonts w:ascii="Times New Roman" w:hAnsi="Times New Roman" w:cs="Times New Roman"/>
              </w:rPr>
              <w:t>Coherence</w:t>
            </w:r>
          </w:p>
        </w:tc>
        <w:tc>
          <w:tcPr>
            <w:tcW w:w="8280" w:type="dxa"/>
          </w:tcPr>
          <w:p w14:paraId="6B981330" w14:textId="3BBEF4DB" w:rsidR="00D00BB4" w:rsidRDefault="00D00BB4" w:rsidP="00184439">
            <w:pPr>
              <w:pStyle w:val="ListParagraph"/>
              <w:widowControl w:val="0"/>
              <w:numPr>
                <w:ilvl w:val="0"/>
                <w:numId w:val="12"/>
              </w:numPr>
              <w:autoSpaceDE w:val="0"/>
              <w:autoSpaceDN w:val="0"/>
              <w:adjustRightInd w:val="0"/>
              <w:spacing w:after="0" w:line="240" w:lineRule="auto"/>
              <w:ind w:left="346" w:hanging="346"/>
              <w:jc w:val="both"/>
              <w:rPr>
                <w:rFonts w:ascii="Times New Roman" w:hAnsi="Times New Roman" w:cs="Times New Roman"/>
              </w:rPr>
            </w:pPr>
            <w:r>
              <w:rPr>
                <w:rFonts w:ascii="Times New Roman" w:hAnsi="Times New Roman" w:cs="Times New Roman"/>
              </w:rPr>
              <w:t xml:space="preserve">To what extent was the CDRRF consistent and aligned with the priorities of: </w:t>
            </w:r>
            <w:r w:rsidR="00184439">
              <w:rPr>
                <w:rFonts w:ascii="Times New Roman" w:hAnsi="Times New Roman" w:cs="Times New Roman"/>
              </w:rPr>
              <w:t xml:space="preserve">                  </w:t>
            </w:r>
            <w:proofErr w:type="gramStart"/>
            <w:r w:rsidR="00184439">
              <w:rPr>
                <w:rFonts w:ascii="Times New Roman" w:hAnsi="Times New Roman" w:cs="Times New Roman"/>
              </w:rPr>
              <w:t xml:space="preserve">   </w:t>
            </w:r>
            <w:r w:rsidRPr="00FB1797">
              <w:rPr>
                <w:rFonts w:ascii="Times New Roman" w:hAnsi="Times New Roman" w:cs="Times New Roman"/>
              </w:rPr>
              <w:t>(</w:t>
            </w:r>
            <w:proofErr w:type="gramEnd"/>
            <w:r w:rsidRPr="00FB1797">
              <w:rPr>
                <w:rFonts w:ascii="Times New Roman" w:hAnsi="Times New Roman" w:cs="Times New Roman"/>
              </w:rPr>
              <w:t>1) national disaster management agencies</w:t>
            </w:r>
            <w:r w:rsidR="006E65E2">
              <w:rPr>
                <w:rFonts w:ascii="Times New Roman" w:hAnsi="Times New Roman" w:cs="Times New Roman"/>
              </w:rPr>
              <w:t>;</w:t>
            </w:r>
            <w:r w:rsidRPr="00FB1797">
              <w:rPr>
                <w:rFonts w:ascii="Times New Roman" w:hAnsi="Times New Roman" w:cs="Times New Roman"/>
              </w:rPr>
              <w:t xml:space="preserve"> (2) community-based </w:t>
            </w:r>
            <w:proofErr w:type="spellStart"/>
            <w:r w:rsidRPr="00FB1797">
              <w:rPr>
                <w:rFonts w:ascii="Times New Roman" w:hAnsi="Times New Roman" w:cs="Times New Roman"/>
              </w:rPr>
              <w:t>organisations</w:t>
            </w:r>
            <w:proofErr w:type="spellEnd"/>
            <w:r w:rsidR="006E65E2">
              <w:rPr>
                <w:rFonts w:ascii="Times New Roman" w:hAnsi="Times New Roman" w:cs="Times New Roman"/>
              </w:rPr>
              <w:t xml:space="preserve">; and </w:t>
            </w:r>
            <w:r w:rsidR="00184439">
              <w:rPr>
                <w:rFonts w:ascii="Times New Roman" w:hAnsi="Times New Roman" w:cs="Times New Roman"/>
              </w:rPr>
              <w:t xml:space="preserve">              </w:t>
            </w:r>
            <w:r w:rsidR="006E65E2">
              <w:rPr>
                <w:rFonts w:ascii="Times New Roman" w:hAnsi="Times New Roman" w:cs="Times New Roman"/>
              </w:rPr>
              <w:t>(3) other regional entities including CARICOM and CDEMA</w:t>
            </w:r>
            <w:r w:rsidRPr="00FB1797">
              <w:rPr>
                <w:rFonts w:ascii="Times New Roman" w:hAnsi="Times New Roman" w:cs="Times New Roman"/>
              </w:rPr>
              <w:t>?</w:t>
            </w:r>
          </w:p>
          <w:p w14:paraId="4424F98B" w14:textId="77777777" w:rsidR="00D00BB4" w:rsidRPr="00F32AE1" w:rsidRDefault="00D00BB4" w:rsidP="00184439">
            <w:pPr>
              <w:pStyle w:val="ListParagraph"/>
              <w:ind w:left="346" w:hanging="346"/>
              <w:rPr>
                <w:rFonts w:ascii="Times New Roman" w:hAnsi="Times New Roman" w:cs="Times New Roman"/>
              </w:rPr>
            </w:pPr>
          </w:p>
          <w:p w14:paraId="598632EB" w14:textId="77777777" w:rsidR="00D00BB4" w:rsidRDefault="00D00BB4" w:rsidP="00184439">
            <w:pPr>
              <w:pStyle w:val="ListParagraph"/>
              <w:widowControl w:val="0"/>
              <w:numPr>
                <w:ilvl w:val="0"/>
                <w:numId w:val="12"/>
              </w:numPr>
              <w:autoSpaceDE w:val="0"/>
              <w:autoSpaceDN w:val="0"/>
              <w:adjustRightInd w:val="0"/>
              <w:spacing w:after="0" w:line="240" w:lineRule="auto"/>
              <w:ind w:left="346" w:hanging="346"/>
              <w:jc w:val="both"/>
              <w:rPr>
                <w:rFonts w:ascii="Times New Roman" w:hAnsi="Times New Roman" w:cs="Times New Roman"/>
              </w:rPr>
            </w:pPr>
            <w:r>
              <w:rPr>
                <w:rFonts w:ascii="Times New Roman" w:hAnsi="Times New Roman" w:cs="Times New Roman"/>
              </w:rPr>
              <w:t>How well did the project fit and forge synergies with similar CDB implemented projects or programmes?</w:t>
            </w:r>
          </w:p>
          <w:p w14:paraId="0C5C5105" w14:textId="77777777" w:rsidR="00D00BB4" w:rsidRPr="006B2873" w:rsidRDefault="00D00BB4" w:rsidP="00184439">
            <w:pPr>
              <w:pStyle w:val="ListParagraph"/>
              <w:ind w:left="346" w:hanging="346"/>
              <w:rPr>
                <w:rFonts w:ascii="Times New Roman" w:hAnsi="Times New Roman" w:cs="Times New Roman"/>
              </w:rPr>
            </w:pPr>
          </w:p>
          <w:p w14:paraId="4C9CD2A8" w14:textId="18ABB9E4" w:rsidR="00D00BB4" w:rsidRPr="00155D06" w:rsidRDefault="00D00BB4" w:rsidP="00184439">
            <w:pPr>
              <w:pStyle w:val="ListParagraph"/>
              <w:widowControl w:val="0"/>
              <w:numPr>
                <w:ilvl w:val="0"/>
                <w:numId w:val="12"/>
              </w:numPr>
              <w:autoSpaceDE w:val="0"/>
              <w:autoSpaceDN w:val="0"/>
              <w:adjustRightInd w:val="0"/>
              <w:spacing w:after="0" w:line="240" w:lineRule="auto"/>
              <w:ind w:left="346" w:hanging="346"/>
              <w:jc w:val="both"/>
              <w:rPr>
                <w:rFonts w:ascii="Times New Roman" w:hAnsi="Times New Roman" w:cs="Times New Roman"/>
              </w:rPr>
            </w:pPr>
            <w:r>
              <w:rPr>
                <w:rFonts w:ascii="Times New Roman" w:hAnsi="Times New Roman" w:cs="Times New Roman"/>
              </w:rPr>
              <w:t xml:space="preserve">Was consideration given to executing the CDRRF through alternative or </w:t>
            </w:r>
            <w:r w:rsidR="00C93378">
              <w:rPr>
                <w:rFonts w:ascii="Times New Roman" w:hAnsi="Times New Roman" w:cs="Times New Roman"/>
              </w:rPr>
              <w:t>already existing</w:t>
            </w:r>
            <w:r>
              <w:rPr>
                <w:rFonts w:ascii="Times New Roman" w:hAnsi="Times New Roman" w:cs="Times New Roman"/>
              </w:rPr>
              <w:t xml:space="preserve"> programmes or implementation mechanisms.  Should it have been?</w:t>
            </w:r>
          </w:p>
          <w:p w14:paraId="374A4675" w14:textId="77777777" w:rsidR="00D00BB4" w:rsidRPr="003C4C41" w:rsidRDefault="00D00BB4" w:rsidP="00184439">
            <w:pPr>
              <w:pStyle w:val="ListParagraph"/>
              <w:widowControl w:val="0"/>
              <w:autoSpaceDE w:val="0"/>
              <w:autoSpaceDN w:val="0"/>
              <w:adjustRightInd w:val="0"/>
              <w:spacing w:after="0" w:line="240" w:lineRule="auto"/>
              <w:ind w:left="346" w:hanging="346"/>
              <w:jc w:val="both"/>
              <w:rPr>
                <w:rFonts w:ascii="Times New Roman" w:hAnsi="Times New Roman" w:cs="Times New Roman"/>
              </w:rPr>
            </w:pPr>
          </w:p>
        </w:tc>
      </w:tr>
      <w:tr w:rsidR="00D00BB4" w14:paraId="6765E6FD" w14:textId="77777777" w:rsidTr="00184439">
        <w:tc>
          <w:tcPr>
            <w:tcW w:w="1705" w:type="dxa"/>
          </w:tcPr>
          <w:p w14:paraId="6E083029" w14:textId="77777777" w:rsidR="00D00BB4" w:rsidRDefault="00D00BB4" w:rsidP="00D00BB4">
            <w:pPr>
              <w:jc w:val="both"/>
              <w:rPr>
                <w:rFonts w:ascii="Times New Roman" w:hAnsi="Times New Roman" w:cs="Times New Roman"/>
              </w:rPr>
            </w:pPr>
            <w:r>
              <w:rPr>
                <w:rFonts w:ascii="Times New Roman" w:hAnsi="Times New Roman" w:cs="Times New Roman"/>
              </w:rPr>
              <w:lastRenderedPageBreak/>
              <w:t>Effectiveness</w:t>
            </w:r>
          </w:p>
        </w:tc>
        <w:tc>
          <w:tcPr>
            <w:tcW w:w="8280" w:type="dxa"/>
          </w:tcPr>
          <w:p w14:paraId="04951D8B" w14:textId="77777777" w:rsidR="00D00BB4" w:rsidRPr="00C93378" w:rsidRDefault="00D00BB4" w:rsidP="00184439">
            <w:pPr>
              <w:pStyle w:val="ListParagraph"/>
              <w:numPr>
                <w:ilvl w:val="0"/>
                <w:numId w:val="31"/>
              </w:numPr>
              <w:ind w:left="346" w:hanging="346"/>
              <w:rPr>
                <w:rFonts w:ascii="Times New Roman" w:hAnsi="Times New Roman" w:cs="Times New Roman"/>
              </w:rPr>
            </w:pPr>
            <w:r w:rsidRPr="00C93378">
              <w:rPr>
                <w:rFonts w:ascii="Times New Roman" w:hAnsi="Times New Roman" w:cs="Times New Roman"/>
              </w:rPr>
              <w:t>Did the CDRRF produce the intended results in the short and medium? If so, for whom, to what extent and in what circumstances?</w:t>
            </w:r>
          </w:p>
          <w:p w14:paraId="679B2354" w14:textId="5750A1D4" w:rsidR="00D00BB4" w:rsidRPr="006B2873" w:rsidRDefault="00D00BB4" w:rsidP="00184439">
            <w:pPr>
              <w:pStyle w:val="ListParagraph"/>
              <w:numPr>
                <w:ilvl w:val="0"/>
                <w:numId w:val="31"/>
              </w:numPr>
              <w:ind w:left="346" w:hanging="346"/>
              <w:jc w:val="both"/>
              <w:rPr>
                <w:rFonts w:ascii="Times New Roman" w:hAnsi="Times New Roman" w:cs="Times New Roman"/>
              </w:rPr>
            </w:pPr>
            <w:r w:rsidRPr="006B2873">
              <w:rPr>
                <w:rFonts w:ascii="Times New Roman" w:hAnsi="Times New Roman" w:cs="Times New Roman"/>
              </w:rPr>
              <w:t>Were the results sufficient to make a difference at the community, national, or regional level?  Were they of a pilot nature, which may suggest how to appropriately scale up in future?</w:t>
            </w:r>
          </w:p>
          <w:p w14:paraId="45A73272" w14:textId="77777777" w:rsidR="00D00BB4" w:rsidRPr="005068CA" w:rsidRDefault="00D00BB4" w:rsidP="00184439">
            <w:pPr>
              <w:pStyle w:val="ListParagraph"/>
              <w:numPr>
                <w:ilvl w:val="0"/>
                <w:numId w:val="31"/>
              </w:numPr>
              <w:ind w:left="346" w:hanging="346"/>
              <w:jc w:val="both"/>
              <w:rPr>
                <w:rFonts w:ascii="Times New Roman" w:hAnsi="Times New Roman" w:cs="Times New Roman"/>
              </w:rPr>
            </w:pPr>
            <w:r w:rsidRPr="005068CA">
              <w:rPr>
                <w:rFonts w:ascii="Times New Roman" w:hAnsi="Times New Roman" w:cs="Times New Roman"/>
              </w:rPr>
              <w:t>What unintended results – positive and negative – did the CDRRF produce? How did these occur?</w:t>
            </w:r>
          </w:p>
          <w:p w14:paraId="2F0C33B3" w14:textId="77777777" w:rsidR="00D00BB4" w:rsidRDefault="00D00BB4" w:rsidP="00184439">
            <w:pPr>
              <w:pStyle w:val="ListParagraph"/>
              <w:numPr>
                <w:ilvl w:val="0"/>
                <w:numId w:val="31"/>
              </w:numPr>
              <w:ind w:left="346" w:hanging="346"/>
              <w:jc w:val="both"/>
              <w:rPr>
                <w:rFonts w:ascii="Times New Roman" w:hAnsi="Times New Roman" w:cs="Times New Roman"/>
              </w:rPr>
            </w:pPr>
            <w:r w:rsidRPr="005068CA">
              <w:rPr>
                <w:rFonts w:ascii="Times New Roman" w:hAnsi="Times New Roman" w:cs="Times New Roman"/>
              </w:rPr>
              <w:t xml:space="preserve">What were the barriers and enablers that made the difference between successful and disappointing CDRRF implementation and results? </w:t>
            </w:r>
          </w:p>
          <w:p w14:paraId="4FFAE667" w14:textId="2AC3593F" w:rsidR="00737B9E" w:rsidRPr="006C6134" w:rsidRDefault="00737B9E" w:rsidP="00184439">
            <w:pPr>
              <w:pStyle w:val="ListParagraph"/>
              <w:numPr>
                <w:ilvl w:val="0"/>
                <w:numId w:val="31"/>
              </w:numPr>
              <w:ind w:left="346" w:hanging="346"/>
              <w:jc w:val="both"/>
              <w:rPr>
                <w:rFonts w:ascii="Times New Roman" w:hAnsi="Times New Roman" w:cs="Times New Roman"/>
              </w:rPr>
            </w:pPr>
            <w:r>
              <w:rPr>
                <w:rFonts w:ascii="Times New Roman" w:hAnsi="Times New Roman" w:cs="Times New Roman"/>
              </w:rPr>
              <w:t>How well did sub-projects incorporate gender equality considerations, with what results, and how well did CDB support this effort?</w:t>
            </w:r>
          </w:p>
        </w:tc>
      </w:tr>
      <w:tr w:rsidR="00D00BB4" w14:paraId="04C5878D" w14:textId="77777777" w:rsidTr="00184439">
        <w:tc>
          <w:tcPr>
            <w:tcW w:w="1705" w:type="dxa"/>
          </w:tcPr>
          <w:p w14:paraId="4B5B757D" w14:textId="77777777" w:rsidR="00D00BB4" w:rsidRDefault="00D00BB4" w:rsidP="00D00BB4">
            <w:pPr>
              <w:jc w:val="both"/>
              <w:rPr>
                <w:rFonts w:ascii="Times New Roman" w:hAnsi="Times New Roman" w:cs="Times New Roman"/>
              </w:rPr>
            </w:pPr>
            <w:r>
              <w:rPr>
                <w:rFonts w:ascii="Times New Roman" w:hAnsi="Times New Roman" w:cs="Times New Roman"/>
              </w:rPr>
              <w:t>Efficiency</w:t>
            </w:r>
          </w:p>
        </w:tc>
        <w:tc>
          <w:tcPr>
            <w:tcW w:w="8280" w:type="dxa"/>
          </w:tcPr>
          <w:p w14:paraId="0EB726BD" w14:textId="18D7B1FB" w:rsidR="00D00BB4" w:rsidRDefault="00D00BB4" w:rsidP="00184439">
            <w:pPr>
              <w:pStyle w:val="ListParagraph"/>
              <w:numPr>
                <w:ilvl w:val="0"/>
                <w:numId w:val="18"/>
              </w:numPr>
              <w:ind w:left="346" w:hanging="346"/>
              <w:jc w:val="both"/>
              <w:rPr>
                <w:rFonts w:ascii="Times New Roman" w:hAnsi="Times New Roman" w:cs="Times New Roman"/>
              </w:rPr>
            </w:pPr>
            <w:r w:rsidRPr="003C4C41">
              <w:rPr>
                <w:rFonts w:ascii="Times New Roman" w:hAnsi="Times New Roman" w:cs="Times New Roman"/>
              </w:rPr>
              <w:t>To what extent did</w:t>
            </w:r>
            <w:r w:rsidR="006C6134">
              <w:rPr>
                <w:rFonts w:ascii="Times New Roman" w:hAnsi="Times New Roman" w:cs="Times New Roman"/>
              </w:rPr>
              <w:t xml:space="preserve"> </w:t>
            </w:r>
            <w:r w:rsidRPr="003C4C41">
              <w:rPr>
                <w:rFonts w:ascii="Times New Roman" w:hAnsi="Times New Roman" w:cs="Times New Roman"/>
              </w:rPr>
              <w:t>CDRRF implementation and management represent the best possible use of available resources to achieve results of the greatest possible value to BMCs and the</w:t>
            </w:r>
            <w:r>
              <w:rPr>
                <w:rFonts w:ascii="Times New Roman" w:hAnsi="Times New Roman" w:cs="Times New Roman"/>
              </w:rPr>
              <w:t>ir</w:t>
            </w:r>
            <w:r w:rsidRPr="003C4C41">
              <w:rPr>
                <w:rFonts w:ascii="Times New Roman" w:hAnsi="Times New Roman" w:cs="Times New Roman"/>
              </w:rPr>
              <w:t xml:space="preserve"> beneficiary communities?</w:t>
            </w:r>
            <w:r w:rsidR="006C6134">
              <w:rPr>
                <w:rFonts w:ascii="Times New Roman" w:hAnsi="Times New Roman" w:cs="Times New Roman"/>
              </w:rPr>
              <w:t xml:space="preserve"> (Value for money.)</w:t>
            </w:r>
          </w:p>
          <w:p w14:paraId="2355CA79" w14:textId="77777777" w:rsidR="00D00BB4" w:rsidRPr="003C4C41" w:rsidRDefault="00D00BB4" w:rsidP="00184439">
            <w:pPr>
              <w:pStyle w:val="ListParagraph"/>
              <w:ind w:left="346" w:hanging="346"/>
              <w:jc w:val="both"/>
              <w:rPr>
                <w:rFonts w:ascii="Times New Roman" w:hAnsi="Times New Roman" w:cs="Times New Roman"/>
              </w:rPr>
            </w:pPr>
          </w:p>
          <w:p w14:paraId="2D454512" w14:textId="2DE045B8" w:rsidR="00D00BB4" w:rsidRDefault="006C6134" w:rsidP="00184439">
            <w:pPr>
              <w:pStyle w:val="ListParagraph"/>
              <w:numPr>
                <w:ilvl w:val="0"/>
                <w:numId w:val="18"/>
              </w:numPr>
              <w:ind w:left="346" w:hanging="346"/>
              <w:jc w:val="both"/>
              <w:rPr>
                <w:rFonts w:ascii="Times New Roman" w:hAnsi="Times New Roman" w:cs="Times New Roman"/>
              </w:rPr>
            </w:pPr>
            <w:r w:rsidRPr="006C6134">
              <w:rPr>
                <w:rFonts w:ascii="Times New Roman" w:hAnsi="Times New Roman" w:cs="Times New Roman"/>
              </w:rPr>
              <w:t>To what extent did project management arrangements enable or hinder implementation?  Would another structure have enabled better results?</w:t>
            </w:r>
            <w:r>
              <w:rPr>
                <w:rFonts w:ascii="Times New Roman" w:hAnsi="Times New Roman" w:cs="Times New Roman"/>
              </w:rPr>
              <w:t xml:space="preserve"> </w:t>
            </w:r>
            <w:r w:rsidR="00D00BB4" w:rsidRPr="006C6134">
              <w:rPr>
                <w:rFonts w:ascii="Times New Roman" w:hAnsi="Times New Roman" w:cs="Times New Roman"/>
              </w:rPr>
              <w:t>Were the project management processes the best suited for community based sub-projects?</w:t>
            </w:r>
            <w:r w:rsidR="006E65E2">
              <w:rPr>
                <w:rFonts w:ascii="Times New Roman" w:hAnsi="Times New Roman" w:cs="Times New Roman"/>
              </w:rPr>
              <w:t xml:space="preserve"> Are there lessons to be learned regarding management arrangements for future trust fund arrangements executed by CDB?</w:t>
            </w:r>
            <w:r w:rsidR="00D00BB4" w:rsidRPr="006C6134">
              <w:rPr>
                <w:rFonts w:ascii="Times New Roman" w:hAnsi="Times New Roman" w:cs="Times New Roman"/>
              </w:rPr>
              <w:t xml:space="preserve"> </w:t>
            </w:r>
          </w:p>
          <w:p w14:paraId="08929A88" w14:textId="77777777" w:rsidR="006E65E2" w:rsidRPr="006E65E2" w:rsidRDefault="006E65E2" w:rsidP="00184439">
            <w:pPr>
              <w:pStyle w:val="ListParagraph"/>
              <w:ind w:left="346" w:hanging="346"/>
              <w:rPr>
                <w:rFonts w:ascii="Times New Roman" w:hAnsi="Times New Roman" w:cs="Times New Roman"/>
              </w:rPr>
            </w:pPr>
          </w:p>
          <w:p w14:paraId="0FDF6782" w14:textId="44B52A95" w:rsidR="006E65E2" w:rsidRPr="006C6134" w:rsidRDefault="00737B9E" w:rsidP="00184439">
            <w:pPr>
              <w:pStyle w:val="ListParagraph"/>
              <w:numPr>
                <w:ilvl w:val="0"/>
                <w:numId w:val="18"/>
              </w:numPr>
              <w:ind w:left="346" w:hanging="346"/>
              <w:jc w:val="both"/>
              <w:rPr>
                <w:rFonts w:ascii="Times New Roman" w:hAnsi="Times New Roman" w:cs="Times New Roman"/>
              </w:rPr>
            </w:pPr>
            <w:r>
              <w:rPr>
                <w:rFonts w:ascii="Times New Roman" w:hAnsi="Times New Roman" w:cs="Times New Roman"/>
              </w:rPr>
              <w:t xml:space="preserve">Were the findings of the mid-term evaluation </w:t>
            </w:r>
            <w:proofErr w:type="gramStart"/>
            <w:r>
              <w:rPr>
                <w:rFonts w:ascii="Times New Roman" w:hAnsi="Times New Roman" w:cs="Times New Roman"/>
              </w:rPr>
              <w:t>taken into account</w:t>
            </w:r>
            <w:proofErr w:type="gramEnd"/>
            <w:r>
              <w:rPr>
                <w:rFonts w:ascii="Times New Roman" w:hAnsi="Times New Roman" w:cs="Times New Roman"/>
              </w:rPr>
              <w:t xml:space="preserve"> to improve implementation?</w:t>
            </w:r>
          </w:p>
          <w:p w14:paraId="55779775" w14:textId="77777777" w:rsidR="00D00BB4" w:rsidRPr="006B2873" w:rsidRDefault="00D00BB4" w:rsidP="00184439">
            <w:pPr>
              <w:pStyle w:val="ListParagraph"/>
              <w:ind w:left="346" w:hanging="346"/>
              <w:rPr>
                <w:rFonts w:ascii="Times New Roman" w:hAnsi="Times New Roman" w:cs="Times New Roman"/>
              </w:rPr>
            </w:pPr>
          </w:p>
          <w:p w14:paraId="67FA4E20" w14:textId="77777777" w:rsidR="00D00BB4" w:rsidRPr="003C4C41" w:rsidRDefault="00D00BB4" w:rsidP="00184439">
            <w:pPr>
              <w:pStyle w:val="ListParagraph"/>
              <w:numPr>
                <w:ilvl w:val="0"/>
                <w:numId w:val="18"/>
              </w:numPr>
              <w:ind w:left="346" w:hanging="346"/>
              <w:jc w:val="both"/>
              <w:rPr>
                <w:rFonts w:ascii="Times New Roman" w:hAnsi="Times New Roman" w:cs="Times New Roman"/>
              </w:rPr>
            </w:pPr>
            <w:r>
              <w:rPr>
                <w:rFonts w:ascii="Times New Roman" w:hAnsi="Times New Roman" w:cs="Times New Roman"/>
                <w:lang w:val="en-GB"/>
              </w:rPr>
              <w:t>Were there</w:t>
            </w:r>
            <w:r w:rsidRPr="003C4C41">
              <w:rPr>
                <w:rFonts w:ascii="Times New Roman" w:hAnsi="Times New Roman" w:cs="Times New Roman"/>
                <w:lang w:val="en-GB"/>
              </w:rPr>
              <w:t xml:space="preserve"> thorough, well founded work plans being implemented according to plan, monitored, and adapted as necessary</w:t>
            </w:r>
            <w:r>
              <w:rPr>
                <w:rFonts w:ascii="Times New Roman" w:hAnsi="Times New Roman" w:cs="Times New Roman"/>
                <w:lang w:val="en-GB"/>
              </w:rPr>
              <w:t>?</w:t>
            </w:r>
          </w:p>
          <w:p w14:paraId="32DD567A" w14:textId="77777777" w:rsidR="00D00BB4" w:rsidRPr="003C4C41" w:rsidRDefault="00D00BB4" w:rsidP="00184439">
            <w:pPr>
              <w:pStyle w:val="ListParagraph"/>
              <w:ind w:left="346" w:hanging="346"/>
              <w:rPr>
                <w:rFonts w:ascii="Times New Roman" w:hAnsi="Times New Roman" w:cs="Times New Roman"/>
              </w:rPr>
            </w:pPr>
          </w:p>
          <w:p w14:paraId="74152036" w14:textId="24897124" w:rsidR="00D00BB4" w:rsidRPr="005D636E" w:rsidRDefault="00737B9E" w:rsidP="00184439">
            <w:pPr>
              <w:pStyle w:val="ListParagraph"/>
              <w:numPr>
                <w:ilvl w:val="0"/>
                <w:numId w:val="18"/>
              </w:numPr>
              <w:ind w:left="346" w:hanging="346"/>
              <w:jc w:val="both"/>
              <w:rPr>
                <w:rFonts w:ascii="Times New Roman" w:hAnsi="Times New Roman" w:cs="Times New Roman"/>
              </w:rPr>
            </w:pPr>
            <w:r w:rsidRPr="005D636E">
              <w:rPr>
                <w:rFonts w:ascii="Times New Roman" w:hAnsi="Times New Roman" w:cs="Times New Roman"/>
              </w:rPr>
              <w:t>To what extent has coordination/communication been effective within and between the implementation team, partners and participants, and donors? To what extent did the Trust Fund Steering Committee and Technical Review Committee provide the expected support to project implementation?</w:t>
            </w:r>
          </w:p>
          <w:p w14:paraId="6FBB7006" w14:textId="23399547" w:rsidR="00D00BB4" w:rsidRPr="003C4C41" w:rsidRDefault="00D00BB4" w:rsidP="00184439">
            <w:pPr>
              <w:pStyle w:val="ListParagraph"/>
              <w:ind w:left="346" w:hanging="346"/>
              <w:jc w:val="both"/>
              <w:rPr>
                <w:rFonts w:ascii="Times New Roman" w:hAnsi="Times New Roman" w:cs="Times New Roman"/>
              </w:rPr>
            </w:pPr>
          </w:p>
        </w:tc>
      </w:tr>
      <w:tr w:rsidR="00D00BB4" w14:paraId="45682A7E" w14:textId="77777777" w:rsidTr="00184439">
        <w:tc>
          <w:tcPr>
            <w:tcW w:w="1705" w:type="dxa"/>
          </w:tcPr>
          <w:p w14:paraId="28EDD8F5" w14:textId="77777777" w:rsidR="00D00BB4" w:rsidRDefault="00D00BB4" w:rsidP="00D00BB4">
            <w:pPr>
              <w:jc w:val="both"/>
              <w:rPr>
                <w:rFonts w:ascii="Times New Roman" w:hAnsi="Times New Roman" w:cs="Times New Roman"/>
              </w:rPr>
            </w:pPr>
            <w:r>
              <w:rPr>
                <w:rFonts w:ascii="Times New Roman" w:hAnsi="Times New Roman" w:cs="Times New Roman"/>
              </w:rPr>
              <w:t>Sustainability</w:t>
            </w:r>
          </w:p>
        </w:tc>
        <w:tc>
          <w:tcPr>
            <w:tcW w:w="8280" w:type="dxa"/>
          </w:tcPr>
          <w:p w14:paraId="47A8F357" w14:textId="77777777" w:rsidR="00D00BB4" w:rsidRPr="00C04E6F" w:rsidRDefault="00D00BB4" w:rsidP="00184439">
            <w:pPr>
              <w:pStyle w:val="ListParagraph"/>
              <w:numPr>
                <w:ilvl w:val="0"/>
                <w:numId w:val="19"/>
              </w:numPr>
              <w:ind w:left="346" w:hanging="346"/>
              <w:jc w:val="both"/>
              <w:rPr>
                <w:rFonts w:ascii="Times New Roman" w:hAnsi="Times New Roman" w:cs="Times New Roman"/>
                <w:lang w:val="en-GB"/>
              </w:rPr>
            </w:pPr>
            <w:r w:rsidRPr="00C04E6F">
              <w:rPr>
                <w:rFonts w:ascii="Times New Roman" w:hAnsi="Times New Roman" w:cs="Times New Roman"/>
                <w:lang w:val="en-GB"/>
              </w:rPr>
              <w:t xml:space="preserve">Are any positive results likely to be sustained? In what circumstances? </w:t>
            </w:r>
          </w:p>
          <w:p w14:paraId="378C1D42" w14:textId="77777777" w:rsidR="00D00BB4" w:rsidRPr="00C04E6F" w:rsidRDefault="00D00BB4" w:rsidP="00184439">
            <w:pPr>
              <w:pStyle w:val="ListParagraph"/>
              <w:ind w:left="346" w:hanging="346"/>
              <w:jc w:val="both"/>
              <w:rPr>
                <w:rFonts w:ascii="Times New Roman" w:hAnsi="Times New Roman" w:cs="Times New Roman"/>
                <w:lang w:val="en-GB"/>
              </w:rPr>
            </w:pPr>
          </w:p>
          <w:p w14:paraId="154B3FDA" w14:textId="1D9E9646" w:rsidR="00D00BB4" w:rsidRPr="00C04E6F" w:rsidRDefault="00D00BB4" w:rsidP="00184439">
            <w:pPr>
              <w:pStyle w:val="ListParagraph"/>
              <w:widowControl w:val="0"/>
              <w:numPr>
                <w:ilvl w:val="0"/>
                <w:numId w:val="19"/>
              </w:numPr>
              <w:spacing w:before="120" w:after="120" w:line="240" w:lineRule="auto"/>
              <w:ind w:left="346" w:hanging="346"/>
              <w:jc w:val="both"/>
              <w:rPr>
                <w:rFonts w:ascii="Times New Roman" w:hAnsi="Times New Roman" w:cs="Times New Roman"/>
              </w:rPr>
            </w:pPr>
            <w:r w:rsidRPr="00C04E6F">
              <w:rPr>
                <w:rFonts w:ascii="Times New Roman" w:hAnsi="Times New Roman" w:cs="Times New Roman"/>
                <w:lang w:val="en-GB"/>
              </w:rPr>
              <w:t>Is there evidence that steps were taken by the project to ensure the desired long-term positive impacts of the project</w:t>
            </w:r>
            <w:r w:rsidRPr="00C04E6F">
              <w:rPr>
                <w:rFonts w:ascii="Times New Roman" w:hAnsi="Times New Roman" w:cs="Times New Roman"/>
              </w:rPr>
              <w:t>?</w:t>
            </w:r>
          </w:p>
          <w:p w14:paraId="02DD3DA1" w14:textId="77777777" w:rsidR="00D00BB4" w:rsidRPr="00C04E6F" w:rsidRDefault="00D00BB4" w:rsidP="00184439">
            <w:pPr>
              <w:pStyle w:val="ListParagraph"/>
              <w:ind w:left="346" w:hanging="346"/>
              <w:rPr>
                <w:rFonts w:ascii="Times New Roman" w:hAnsi="Times New Roman" w:cs="Times New Roman"/>
              </w:rPr>
            </w:pPr>
          </w:p>
          <w:p w14:paraId="3E791003" w14:textId="64BEA133" w:rsidR="00D00BB4" w:rsidRPr="00396AD4" w:rsidRDefault="006E65E2" w:rsidP="00184439">
            <w:pPr>
              <w:pStyle w:val="ListParagraph"/>
              <w:widowControl w:val="0"/>
              <w:numPr>
                <w:ilvl w:val="0"/>
                <w:numId w:val="19"/>
              </w:numPr>
              <w:spacing w:before="120" w:after="120" w:line="240" w:lineRule="auto"/>
              <w:ind w:left="346" w:hanging="346"/>
              <w:jc w:val="both"/>
              <w:rPr>
                <w:rFonts w:ascii="Times New Roman" w:hAnsi="Times New Roman" w:cs="Times New Roman"/>
              </w:rPr>
            </w:pPr>
            <w:r>
              <w:rPr>
                <w:rFonts w:ascii="Times New Roman" w:hAnsi="Times New Roman" w:cs="Times New Roman"/>
              </w:rPr>
              <w:t>Are there lessons for replicability and scale-up of community DRR initiatives?  Were there innovations in sub-projects that provide useful learning, including in climate action, RE/EE and awareness?</w:t>
            </w:r>
          </w:p>
        </w:tc>
      </w:tr>
    </w:tbl>
    <w:p w14:paraId="1E5A634F" w14:textId="77777777" w:rsidR="00D00BB4" w:rsidRPr="00CA57A7" w:rsidRDefault="00D00BB4" w:rsidP="00CA57A7">
      <w:pPr>
        <w:widowControl w:val="0"/>
        <w:autoSpaceDE w:val="0"/>
        <w:autoSpaceDN w:val="0"/>
        <w:adjustRightInd w:val="0"/>
        <w:spacing w:after="0" w:line="240" w:lineRule="auto"/>
        <w:jc w:val="both"/>
        <w:rPr>
          <w:rFonts w:ascii="Times New Roman" w:hAnsi="Times New Roman" w:cs="Times New Roman"/>
        </w:rPr>
      </w:pPr>
    </w:p>
    <w:p w14:paraId="0542C091" w14:textId="77777777" w:rsidR="00396AD4" w:rsidRDefault="00396AD4" w:rsidP="00396AD4">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2B003BA6" w14:textId="25262E27" w:rsidR="00396AD4" w:rsidRDefault="00396AD4" w:rsidP="00396AD4">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3.04</w:t>
      </w:r>
      <w:r>
        <w:rPr>
          <w:rFonts w:ascii="Times New Roman" w:hAnsi="Times New Roman" w:cs="Times New Roman"/>
        </w:rPr>
        <w:tab/>
        <w:t xml:space="preserve">The consultancy should be undertaken over a 6-month period </w:t>
      </w:r>
      <w:r w:rsidRPr="008D3EEB">
        <w:rPr>
          <w:rFonts w:ascii="Times New Roman" w:hAnsi="Times New Roman" w:cs="Times New Roman"/>
        </w:rPr>
        <w:t>commencing January 2021.</w:t>
      </w:r>
    </w:p>
    <w:p w14:paraId="2C3FF321" w14:textId="77777777" w:rsidR="00A37A67" w:rsidRDefault="00A37A67" w:rsidP="00CA57A7">
      <w:pPr>
        <w:widowControl w:val="0"/>
        <w:autoSpaceDE w:val="0"/>
        <w:autoSpaceDN w:val="0"/>
        <w:adjustRightInd w:val="0"/>
        <w:spacing w:after="0" w:line="240" w:lineRule="auto"/>
        <w:jc w:val="both"/>
        <w:rPr>
          <w:rFonts w:ascii="Times New Roman" w:hAnsi="Times New Roman" w:cs="Times New Roman"/>
        </w:rPr>
      </w:pPr>
    </w:p>
    <w:p w14:paraId="31441566" w14:textId="77777777" w:rsidR="0089006C" w:rsidRPr="0089006C" w:rsidRDefault="0089006C" w:rsidP="0089006C">
      <w:pPr>
        <w:widowControl w:val="0"/>
        <w:autoSpaceDE w:val="0"/>
        <w:autoSpaceDN w:val="0"/>
        <w:adjustRightInd w:val="0"/>
        <w:spacing w:after="0" w:line="240" w:lineRule="auto"/>
        <w:jc w:val="both"/>
        <w:rPr>
          <w:rFonts w:ascii="Times New Roman" w:hAnsi="Times New Roman" w:cs="Times New Roman"/>
        </w:rPr>
      </w:pPr>
    </w:p>
    <w:p w14:paraId="46EECB3E" w14:textId="751793D3" w:rsidR="00851089" w:rsidRPr="006B2873" w:rsidRDefault="00A0454E" w:rsidP="006B2873">
      <w:pPr>
        <w:pStyle w:val="ListParagraph"/>
        <w:widowControl w:val="0"/>
        <w:numPr>
          <w:ilvl w:val="0"/>
          <w:numId w:val="19"/>
        </w:numPr>
        <w:autoSpaceDE w:val="0"/>
        <w:autoSpaceDN w:val="0"/>
        <w:adjustRightInd w:val="0"/>
        <w:spacing w:after="0" w:line="240" w:lineRule="auto"/>
        <w:rPr>
          <w:rFonts w:ascii="Times New Roman" w:hAnsi="Times New Roman" w:cs="Times New Roman"/>
          <w:b/>
          <w:bCs/>
        </w:rPr>
      </w:pPr>
      <w:r w:rsidRPr="006B2873">
        <w:rPr>
          <w:rFonts w:ascii="Times New Roman" w:hAnsi="Times New Roman" w:cs="Times New Roman"/>
          <w:b/>
          <w:bCs/>
          <w:u w:val="single"/>
        </w:rPr>
        <w:t>METHODOLOGY</w:t>
      </w:r>
      <w:r w:rsidRPr="006B2873">
        <w:rPr>
          <w:rFonts w:ascii="Times New Roman" w:hAnsi="Times New Roman" w:cs="Times New Roman"/>
          <w:b/>
          <w:bCs/>
        </w:rPr>
        <w:t xml:space="preserve"> </w:t>
      </w:r>
    </w:p>
    <w:p w14:paraId="11A64953" w14:textId="50CEC0A6" w:rsidR="00377F47" w:rsidRDefault="00377F47" w:rsidP="00377F47">
      <w:pPr>
        <w:widowControl w:val="0"/>
        <w:autoSpaceDE w:val="0"/>
        <w:autoSpaceDN w:val="0"/>
        <w:adjustRightInd w:val="0"/>
        <w:spacing w:after="0" w:line="240" w:lineRule="auto"/>
        <w:rPr>
          <w:rFonts w:ascii="Times New Roman" w:hAnsi="Times New Roman" w:cs="Times New Roman"/>
          <w:b/>
          <w:bCs/>
        </w:rPr>
      </w:pPr>
    </w:p>
    <w:p w14:paraId="26C17FEA" w14:textId="441D3B17" w:rsidR="00377F47" w:rsidRPr="006B2873" w:rsidRDefault="00B33D58" w:rsidP="0018443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evaluation</w:t>
      </w:r>
      <w:r w:rsidRPr="005327DF">
        <w:rPr>
          <w:rFonts w:ascii="Times New Roman" w:hAnsi="Times New Roman" w:cs="Times New Roman"/>
        </w:rPr>
        <w:t xml:space="preserve"> must provide</w:t>
      </w:r>
      <w:r>
        <w:rPr>
          <w:rFonts w:ascii="Times New Roman" w:hAnsi="Times New Roman" w:cs="Times New Roman"/>
        </w:rPr>
        <w:t xml:space="preserve"> triangulated,</w:t>
      </w:r>
      <w:r w:rsidRPr="005327DF">
        <w:rPr>
          <w:rFonts w:ascii="Times New Roman" w:hAnsi="Times New Roman" w:cs="Times New Roman"/>
        </w:rPr>
        <w:t xml:space="preserve"> evidence</w:t>
      </w:r>
      <w:r>
        <w:rPr>
          <w:rFonts w:ascii="Times New Roman" w:hAnsi="Times New Roman" w:cs="Times New Roman"/>
        </w:rPr>
        <w:t>-</w:t>
      </w:r>
      <w:r w:rsidRPr="005327DF">
        <w:rPr>
          <w:rFonts w:ascii="Times New Roman" w:hAnsi="Times New Roman" w:cs="Times New Roman"/>
        </w:rPr>
        <w:t xml:space="preserve">based </w:t>
      </w:r>
      <w:r>
        <w:rPr>
          <w:rFonts w:ascii="Times New Roman" w:hAnsi="Times New Roman" w:cs="Times New Roman"/>
        </w:rPr>
        <w:t>findings</w:t>
      </w:r>
      <w:r w:rsidRPr="005327DF">
        <w:rPr>
          <w:rFonts w:ascii="Times New Roman" w:hAnsi="Times New Roman" w:cs="Times New Roman"/>
        </w:rPr>
        <w:t xml:space="preserve"> that </w:t>
      </w:r>
      <w:r>
        <w:rPr>
          <w:rFonts w:ascii="Times New Roman" w:hAnsi="Times New Roman" w:cs="Times New Roman"/>
        </w:rPr>
        <w:t xml:space="preserve">are valid, credible, reliable, </w:t>
      </w:r>
      <w:r w:rsidRPr="005327DF">
        <w:rPr>
          <w:rFonts w:ascii="Times New Roman" w:hAnsi="Times New Roman" w:cs="Times New Roman"/>
        </w:rPr>
        <w:t>and useful</w:t>
      </w:r>
      <w:r>
        <w:rPr>
          <w:rFonts w:ascii="Times New Roman" w:hAnsi="Times New Roman" w:cs="Times New Roman"/>
        </w:rPr>
        <w:t xml:space="preserve">, leading to logical conclusions and recommendations.  </w:t>
      </w:r>
      <w:r w:rsidR="00377F47">
        <w:rPr>
          <w:rFonts w:ascii="Times New Roman" w:hAnsi="Times New Roman" w:cs="Times New Roman"/>
        </w:rPr>
        <w:t>Consultants will be asked to propose an appropriate methodology for the scope and questions of this evaluation</w:t>
      </w:r>
      <w:r>
        <w:rPr>
          <w:rFonts w:ascii="Times New Roman" w:hAnsi="Times New Roman" w:cs="Times New Roman"/>
        </w:rPr>
        <w:t xml:space="preserve">, that may </w:t>
      </w:r>
      <w:r w:rsidR="00377F47">
        <w:rPr>
          <w:rFonts w:ascii="Times New Roman" w:hAnsi="Times New Roman" w:cs="Times New Roman"/>
        </w:rPr>
        <w:t>include, but not be limited to:</w:t>
      </w:r>
    </w:p>
    <w:p w14:paraId="51F7D19B" w14:textId="77777777" w:rsidR="00147B7D" w:rsidRDefault="00147B7D" w:rsidP="003A59CB">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022FA0B9" w14:textId="248EEC75" w:rsidR="008502A8" w:rsidRDefault="008502A8" w:rsidP="008502A8">
      <w:pPr>
        <w:pStyle w:val="ListParagraph"/>
        <w:widowControl w:val="0"/>
        <w:numPr>
          <w:ilvl w:val="0"/>
          <w:numId w:val="8"/>
        </w:numPr>
        <w:autoSpaceDE w:val="0"/>
        <w:autoSpaceDN w:val="0"/>
        <w:adjustRightInd w:val="0"/>
        <w:spacing w:after="0" w:line="240" w:lineRule="auto"/>
        <w:ind w:left="1440" w:hanging="720"/>
        <w:jc w:val="both"/>
        <w:rPr>
          <w:rFonts w:ascii="Times New Roman" w:hAnsi="Times New Roman" w:cs="Times New Roman"/>
        </w:rPr>
      </w:pPr>
      <w:r>
        <w:rPr>
          <w:rFonts w:ascii="Times New Roman" w:hAnsi="Times New Roman" w:cs="Times New Roman"/>
        </w:rPr>
        <w:t>Comprehensive desk review including design and approval documents, contribution agreements, annual reports, sub-project progress reports, minutes of meetings, and other related documentation.</w:t>
      </w:r>
    </w:p>
    <w:p w14:paraId="783596F2" w14:textId="77777777" w:rsidR="008502A8" w:rsidRDefault="008502A8" w:rsidP="008502A8">
      <w:pPr>
        <w:pStyle w:val="ListParagraph"/>
        <w:widowControl w:val="0"/>
        <w:autoSpaceDE w:val="0"/>
        <w:autoSpaceDN w:val="0"/>
        <w:adjustRightInd w:val="0"/>
        <w:spacing w:after="0" w:line="240" w:lineRule="auto"/>
        <w:ind w:left="1440" w:hanging="720"/>
        <w:jc w:val="both"/>
        <w:rPr>
          <w:rFonts w:ascii="Times New Roman" w:hAnsi="Times New Roman" w:cs="Times New Roman"/>
        </w:rPr>
      </w:pPr>
    </w:p>
    <w:p w14:paraId="3AECB588" w14:textId="107B3041" w:rsidR="008502A8" w:rsidRDefault="00377F47" w:rsidP="008502A8">
      <w:pPr>
        <w:pStyle w:val="ListParagraph"/>
        <w:widowControl w:val="0"/>
        <w:numPr>
          <w:ilvl w:val="0"/>
          <w:numId w:val="8"/>
        </w:numPr>
        <w:autoSpaceDE w:val="0"/>
        <w:autoSpaceDN w:val="0"/>
        <w:adjustRightInd w:val="0"/>
        <w:spacing w:after="0" w:line="240" w:lineRule="auto"/>
        <w:ind w:left="1440" w:hanging="720"/>
        <w:jc w:val="both"/>
        <w:rPr>
          <w:rFonts w:ascii="Times New Roman" w:hAnsi="Times New Roman" w:cs="Times New Roman"/>
        </w:rPr>
      </w:pPr>
      <w:r>
        <w:rPr>
          <w:rFonts w:ascii="Times New Roman" w:hAnsi="Times New Roman" w:cs="Times New Roman"/>
        </w:rPr>
        <w:t>A</w:t>
      </w:r>
      <w:r w:rsidR="008502A8">
        <w:rPr>
          <w:rFonts w:ascii="Times New Roman" w:hAnsi="Times New Roman" w:cs="Times New Roman"/>
        </w:rPr>
        <w:t xml:space="preserve">n evaluation matrix and data collection tools to be used at the project and sub-project levels to assess relevance; coherence, efficiency; effectiveness, and sustainability, as well as the cross-cutting theme of </w:t>
      </w:r>
      <w:r w:rsidR="008502A8" w:rsidRPr="00223439">
        <w:rPr>
          <w:rFonts w:ascii="Times New Roman" w:hAnsi="Times New Roman" w:cs="Times New Roman"/>
        </w:rPr>
        <w:t xml:space="preserve">gender </w:t>
      </w:r>
      <w:r w:rsidR="008502A8">
        <w:rPr>
          <w:rFonts w:ascii="Times New Roman" w:hAnsi="Times New Roman" w:cs="Times New Roman"/>
        </w:rPr>
        <w:t>equality.</w:t>
      </w:r>
    </w:p>
    <w:p w14:paraId="25FCF74D" w14:textId="77777777" w:rsidR="008502A8" w:rsidRPr="006D6887" w:rsidRDefault="008502A8" w:rsidP="008502A8">
      <w:pPr>
        <w:pStyle w:val="ListParagraph"/>
        <w:ind w:left="1440" w:hanging="720"/>
        <w:rPr>
          <w:rFonts w:ascii="Times New Roman" w:hAnsi="Times New Roman" w:cs="Times New Roman"/>
        </w:rPr>
      </w:pPr>
    </w:p>
    <w:p w14:paraId="74A81717" w14:textId="69ECB647" w:rsidR="008502A8" w:rsidRDefault="008502A8" w:rsidP="008502A8">
      <w:pPr>
        <w:pStyle w:val="ListParagraph"/>
        <w:widowControl w:val="0"/>
        <w:numPr>
          <w:ilvl w:val="0"/>
          <w:numId w:val="8"/>
        </w:numPr>
        <w:autoSpaceDE w:val="0"/>
        <w:autoSpaceDN w:val="0"/>
        <w:adjustRightInd w:val="0"/>
        <w:spacing w:after="0" w:line="240" w:lineRule="auto"/>
        <w:ind w:left="1440" w:hanging="720"/>
        <w:jc w:val="both"/>
        <w:rPr>
          <w:rFonts w:ascii="Times New Roman" w:hAnsi="Times New Roman" w:cs="Times New Roman"/>
        </w:rPr>
      </w:pPr>
      <w:r>
        <w:rPr>
          <w:rFonts w:ascii="Times New Roman" w:hAnsi="Times New Roman" w:cs="Times New Roman"/>
        </w:rPr>
        <w:t xml:space="preserve">Interviews, meetings, and focus group discussions with Donors, CDB personnel, sub-project beneficiaries, and other relevant stakeholders, including selected Ministries, </w:t>
      </w:r>
      <w:r w:rsidRPr="00AE1DC4">
        <w:rPr>
          <w:rFonts w:ascii="Times New Roman" w:hAnsi="Times New Roman" w:cs="Times New Roman"/>
        </w:rPr>
        <w:t xml:space="preserve">Department, Agencies, Community Based </w:t>
      </w:r>
      <w:proofErr w:type="spellStart"/>
      <w:r w:rsidRPr="00AE1DC4">
        <w:rPr>
          <w:rFonts w:ascii="Times New Roman" w:hAnsi="Times New Roman" w:cs="Times New Roman"/>
        </w:rPr>
        <w:t>Organisations</w:t>
      </w:r>
      <w:proofErr w:type="spellEnd"/>
      <w:r w:rsidRPr="00AE1DC4">
        <w:rPr>
          <w:rFonts w:ascii="Times New Roman" w:hAnsi="Times New Roman" w:cs="Times New Roman"/>
        </w:rPr>
        <w:t xml:space="preserve">, and Non-Governmental </w:t>
      </w:r>
      <w:proofErr w:type="spellStart"/>
      <w:r w:rsidRPr="00AE1DC4">
        <w:rPr>
          <w:rFonts w:ascii="Times New Roman" w:hAnsi="Times New Roman" w:cs="Times New Roman"/>
        </w:rPr>
        <w:t>Organisations</w:t>
      </w:r>
      <w:proofErr w:type="spellEnd"/>
      <w:r w:rsidRPr="00AE1DC4">
        <w:rPr>
          <w:rFonts w:ascii="Times New Roman" w:hAnsi="Times New Roman" w:cs="Times New Roman"/>
        </w:rPr>
        <w:t>.</w:t>
      </w:r>
      <w:r>
        <w:rPr>
          <w:rFonts w:ascii="Times New Roman" w:hAnsi="Times New Roman" w:cs="Times New Roman"/>
        </w:rPr>
        <w:t xml:space="preserve">  </w:t>
      </w:r>
    </w:p>
    <w:p w14:paraId="307D9ED4" w14:textId="77777777" w:rsidR="00377F47" w:rsidRPr="006B2873" w:rsidRDefault="00377F47" w:rsidP="006B2873">
      <w:pPr>
        <w:pStyle w:val="ListParagraph"/>
        <w:rPr>
          <w:rFonts w:ascii="Times New Roman" w:hAnsi="Times New Roman" w:cs="Times New Roman"/>
        </w:rPr>
      </w:pPr>
    </w:p>
    <w:p w14:paraId="7B98D057" w14:textId="189E6038" w:rsidR="00377F47" w:rsidRDefault="00377F47" w:rsidP="008502A8">
      <w:pPr>
        <w:pStyle w:val="ListParagraph"/>
        <w:widowControl w:val="0"/>
        <w:numPr>
          <w:ilvl w:val="0"/>
          <w:numId w:val="8"/>
        </w:numPr>
        <w:autoSpaceDE w:val="0"/>
        <w:autoSpaceDN w:val="0"/>
        <w:adjustRightInd w:val="0"/>
        <w:spacing w:after="0" w:line="240" w:lineRule="auto"/>
        <w:ind w:left="1440" w:hanging="720"/>
        <w:jc w:val="both"/>
        <w:rPr>
          <w:rFonts w:ascii="Times New Roman" w:hAnsi="Times New Roman" w:cs="Times New Roman"/>
        </w:rPr>
      </w:pPr>
      <w:r>
        <w:rPr>
          <w:rFonts w:ascii="Times New Roman" w:hAnsi="Times New Roman" w:cs="Times New Roman"/>
        </w:rPr>
        <w:t>Site visits as feasible.</w:t>
      </w:r>
    </w:p>
    <w:p w14:paraId="4DA6145C" w14:textId="77777777" w:rsidR="00730D45" w:rsidRDefault="00730D45" w:rsidP="005327DF">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7767F62B" w14:textId="3731C580" w:rsidR="00B536BE" w:rsidRDefault="003A59CB" w:rsidP="005327DF">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r w:rsidRPr="003A59CB">
        <w:rPr>
          <w:rFonts w:ascii="Times New Roman" w:hAnsi="Times New Roman" w:cs="Times New Roman"/>
        </w:rPr>
        <w:t>4.02</w:t>
      </w:r>
      <w:r w:rsidRPr="003A59CB">
        <w:rPr>
          <w:rFonts w:ascii="Times New Roman" w:hAnsi="Times New Roman" w:cs="Times New Roman"/>
        </w:rPr>
        <w:tab/>
      </w:r>
      <w:r w:rsidR="00EA7608">
        <w:rPr>
          <w:rFonts w:ascii="Times New Roman" w:hAnsi="Times New Roman" w:cs="Times New Roman"/>
        </w:rPr>
        <w:t>Depending on pandemic related travel restrictions</w:t>
      </w:r>
      <w:r w:rsidR="003F0DE0">
        <w:rPr>
          <w:rFonts w:ascii="Times New Roman" w:hAnsi="Times New Roman" w:cs="Times New Roman"/>
        </w:rPr>
        <w:t xml:space="preserve"> at the time of data collection</w:t>
      </w:r>
      <w:r w:rsidR="00EA7608">
        <w:rPr>
          <w:rFonts w:ascii="Times New Roman" w:hAnsi="Times New Roman" w:cs="Times New Roman"/>
        </w:rPr>
        <w:t xml:space="preserve">, </w:t>
      </w:r>
      <w:r w:rsidR="003F0DE0">
        <w:rPr>
          <w:rFonts w:ascii="Times New Roman" w:hAnsi="Times New Roman" w:cs="Times New Roman"/>
        </w:rPr>
        <w:t xml:space="preserve">consideration will need to be given to the extent </w:t>
      </w:r>
      <w:r w:rsidR="00EE4A75">
        <w:rPr>
          <w:rFonts w:ascii="Times New Roman" w:hAnsi="Times New Roman" w:cs="Times New Roman"/>
        </w:rPr>
        <w:t>to which</w:t>
      </w:r>
      <w:r w:rsidR="003F0DE0">
        <w:rPr>
          <w:rFonts w:ascii="Times New Roman" w:hAnsi="Times New Roman" w:cs="Times New Roman"/>
        </w:rPr>
        <w:t xml:space="preserve"> </w:t>
      </w:r>
      <w:r w:rsidR="006E65E2">
        <w:rPr>
          <w:rFonts w:ascii="Times New Roman" w:hAnsi="Times New Roman" w:cs="Times New Roman"/>
        </w:rPr>
        <w:t xml:space="preserve">virtual </w:t>
      </w:r>
      <w:r w:rsidR="00EA7608">
        <w:rPr>
          <w:rFonts w:ascii="Times New Roman" w:hAnsi="Times New Roman" w:cs="Times New Roman"/>
        </w:rPr>
        <w:t xml:space="preserve">methods </w:t>
      </w:r>
      <w:r w:rsidR="003F0DE0">
        <w:rPr>
          <w:rFonts w:ascii="Times New Roman" w:hAnsi="Times New Roman" w:cs="Times New Roman"/>
        </w:rPr>
        <w:t xml:space="preserve">will </w:t>
      </w:r>
      <w:r w:rsidR="006E65E2">
        <w:rPr>
          <w:rFonts w:ascii="Times New Roman" w:hAnsi="Times New Roman" w:cs="Times New Roman"/>
        </w:rPr>
        <w:t>complement</w:t>
      </w:r>
      <w:r w:rsidR="00EA7608">
        <w:rPr>
          <w:rFonts w:ascii="Times New Roman" w:hAnsi="Times New Roman" w:cs="Times New Roman"/>
        </w:rPr>
        <w:t xml:space="preserve"> in-person</w:t>
      </w:r>
      <w:r w:rsidR="006E65E2">
        <w:rPr>
          <w:rFonts w:ascii="Times New Roman" w:hAnsi="Times New Roman" w:cs="Times New Roman"/>
        </w:rPr>
        <w:t xml:space="preserve"> ones</w:t>
      </w:r>
      <w:r w:rsidR="00EA7608">
        <w:rPr>
          <w:rFonts w:ascii="Times New Roman" w:hAnsi="Times New Roman" w:cs="Times New Roman"/>
        </w:rPr>
        <w:t>.</w:t>
      </w:r>
      <w:r w:rsidR="00042C4D" w:rsidRPr="005327DF">
        <w:rPr>
          <w:rFonts w:ascii="Times New Roman" w:hAnsi="Times New Roman" w:cs="Times New Roman"/>
        </w:rPr>
        <w:t xml:space="preserve"> </w:t>
      </w:r>
      <w:r w:rsidR="00B878AF">
        <w:rPr>
          <w:rFonts w:ascii="Times New Roman" w:hAnsi="Times New Roman" w:cs="Times New Roman"/>
        </w:rPr>
        <w:t xml:space="preserve"> </w:t>
      </w:r>
      <w:r w:rsidR="00B33D58">
        <w:rPr>
          <w:rFonts w:ascii="Times New Roman" w:hAnsi="Times New Roman" w:cs="Times New Roman"/>
        </w:rPr>
        <w:t xml:space="preserve">In addition to on-line instruments, </w:t>
      </w:r>
      <w:r w:rsidR="00EE4A75">
        <w:rPr>
          <w:rFonts w:ascii="Times New Roman" w:hAnsi="Times New Roman" w:cs="Times New Roman"/>
        </w:rPr>
        <w:t>consultants based in one or more of the BMCs</w:t>
      </w:r>
      <w:r w:rsidR="00B33D58">
        <w:rPr>
          <w:rFonts w:ascii="Times New Roman" w:hAnsi="Times New Roman" w:cs="Times New Roman"/>
        </w:rPr>
        <w:t xml:space="preserve"> who can</w:t>
      </w:r>
      <w:r w:rsidR="00EE4A75">
        <w:rPr>
          <w:rFonts w:ascii="Times New Roman" w:hAnsi="Times New Roman" w:cs="Times New Roman"/>
        </w:rPr>
        <w:t xml:space="preserve"> undertake site visits and stakeholder interviews</w:t>
      </w:r>
      <w:r w:rsidR="00B33D58">
        <w:rPr>
          <w:rFonts w:ascii="Times New Roman" w:hAnsi="Times New Roman" w:cs="Times New Roman"/>
        </w:rPr>
        <w:t xml:space="preserve"> within existing travel “bubbles” may be a good option</w:t>
      </w:r>
      <w:r w:rsidR="00EE4A75">
        <w:rPr>
          <w:rFonts w:ascii="Times New Roman" w:hAnsi="Times New Roman" w:cs="Times New Roman"/>
        </w:rPr>
        <w:t xml:space="preserve">. Another may be to phase work so that </w:t>
      </w:r>
      <w:r w:rsidR="00B33D58">
        <w:rPr>
          <w:rFonts w:ascii="Times New Roman" w:hAnsi="Times New Roman" w:cs="Times New Roman"/>
        </w:rPr>
        <w:t xml:space="preserve">in-country </w:t>
      </w:r>
      <w:r w:rsidR="005D636E">
        <w:rPr>
          <w:rFonts w:ascii="Times New Roman" w:hAnsi="Times New Roman" w:cs="Times New Roman"/>
        </w:rPr>
        <w:t>visits</w:t>
      </w:r>
      <w:r w:rsidR="00EE4A75">
        <w:rPr>
          <w:rFonts w:ascii="Times New Roman" w:hAnsi="Times New Roman" w:cs="Times New Roman"/>
        </w:rPr>
        <w:t xml:space="preserve"> can be undertaken at a later stage when travel restrictions are eased.  </w:t>
      </w:r>
      <w:r w:rsidR="00B33D58">
        <w:rPr>
          <w:rFonts w:ascii="Times New Roman" w:hAnsi="Times New Roman" w:cs="Times New Roman"/>
        </w:rPr>
        <w:t xml:space="preserve">OIE will be flexible in its consideration of both the overall duration of the assignment, and the most effective means of gathering data given pandemic circumstances. </w:t>
      </w:r>
    </w:p>
    <w:p w14:paraId="6A5BCD46" w14:textId="77777777" w:rsidR="008D4C9C" w:rsidRDefault="008D4C9C" w:rsidP="005327DF">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5EDEE7CB" w14:textId="7FF5B89C" w:rsidR="008D4C9C" w:rsidRPr="005327DF" w:rsidRDefault="008D4C9C" w:rsidP="005327DF">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4.03</w:t>
      </w:r>
      <w:r>
        <w:rPr>
          <w:rFonts w:ascii="Times New Roman" w:hAnsi="Times New Roman" w:cs="Times New Roman"/>
        </w:rPr>
        <w:tab/>
      </w:r>
      <w:r w:rsidR="00A757D1">
        <w:rPr>
          <w:rFonts w:ascii="Times New Roman" w:hAnsi="Times New Roman" w:cs="Times New Roman"/>
        </w:rPr>
        <w:t>It will</w:t>
      </w:r>
      <w:r w:rsidR="00B33D58">
        <w:rPr>
          <w:rFonts w:ascii="Times New Roman" w:hAnsi="Times New Roman" w:cs="Times New Roman"/>
        </w:rPr>
        <w:t xml:space="preserve"> also</w:t>
      </w:r>
      <w:r w:rsidR="00A757D1">
        <w:rPr>
          <w:rFonts w:ascii="Times New Roman" w:hAnsi="Times New Roman" w:cs="Times New Roman"/>
        </w:rPr>
        <w:t xml:space="preserve"> be important to consider</w:t>
      </w:r>
      <w:r w:rsidR="005A1770">
        <w:rPr>
          <w:rFonts w:ascii="Times New Roman" w:hAnsi="Times New Roman" w:cs="Times New Roman"/>
        </w:rPr>
        <w:t xml:space="preserve"> </w:t>
      </w:r>
      <w:r w:rsidR="00974773">
        <w:rPr>
          <w:rFonts w:ascii="Times New Roman" w:hAnsi="Times New Roman" w:cs="Times New Roman"/>
        </w:rPr>
        <w:t xml:space="preserve">innovative and </w:t>
      </w:r>
      <w:r w:rsidR="0066161D" w:rsidRPr="005327DF">
        <w:rPr>
          <w:rFonts w:ascii="Times New Roman" w:hAnsi="Times New Roman" w:cs="Times New Roman"/>
        </w:rPr>
        <w:t>participatory</w:t>
      </w:r>
      <w:r w:rsidR="00345DCF" w:rsidRPr="005327DF">
        <w:rPr>
          <w:rFonts w:ascii="Times New Roman" w:hAnsi="Times New Roman" w:cs="Times New Roman"/>
        </w:rPr>
        <w:t xml:space="preserve"> approach</w:t>
      </w:r>
      <w:r w:rsidR="00E60746">
        <w:rPr>
          <w:rFonts w:ascii="Times New Roman" w:hAnsi="Times New Roman" w:cs="Times New Roman"/>
        </w:rPr>
        <w:t>es</w:t>
      </w:r>
      <w:r w:rsidR="00345DCF" w:rsidRPr="005327DF">
        <w:rPr>
          <w:rFonts w:ascii="Times New Roman" w:hAnsi="Times New Roman" w:cs="Times New Roman"/>
        </w:rPr>
        <w:t xml:space="preserve"> </w:t>
      </w:r>
      <w:r w:rsidR="005A1770">
        <w:rPr>
          <w:rFonts w:ascii="Times New Roman" w:hAnsi="Times New Roman" w:cs="Times New Roman"/>
        </w:rPr>
        <w:t xml:space="preserve">to </w:t>
      </w:r>
      <w:r w:rsidR="00345DCF" w:rsidRPr="005327DF">
        <w:rPr>
          <w:rFonts w:ascii="Times New Roman" w:hAnsi="Times New Roman" w:cs="Times New Roman"/>
        </w:rPr>
        <w:t>ensur</w:t>
      </w:r>
      <w:r w:rsidR="005A1770">
        <w:rPr>
          <w:rFonts w:ascii="Times New Roman" w:hAnsi="Times New Roman" w:cs="Times New Roman"/>
        </w:rPr>
        <w:t xml:space="preserve">e </w:t>
      </w:r>
      <w:r w:rsidR="00345DCF" w:rsidRPr="005327DF">
        <w:rPr>
          <w:rFonts w:ascii="Times New Roman" w:hAnsi="Times New Roman" w:cs="Times New Roman"/>
        </w:rPr>
        <w:t xml:space="preserve">engagement with the </w:t>
      </w:r>
      <w:r w:rsidR="00B878AF">
        <w:rPr>
          <w:rFonts w:ascii="Times New Roman" w:hAnsi="Times New Roman" w:cs="Times New Roman"/>
        </w:rPr>
        <w:t>p</w:t>
      </w:r>
      <w:r>
        <w:rPr>
          <w:rFonts w:ascii="Times New Roman" w:hAnsi="Times New Roman" w:cs="Times New Roman"/>
        </w:rPr>
        <w:t xml:space="preserve">roject stakeholders </w:t>
      </w:r>
      <w:r w:rsidR="00042C4D" w:rsidRPr="005327DF">
        <w:rPr>
          <w:rFonts w:ascii="Times New Roman" w:hAnsi="Times New Roman" w:cs="Times New Roman"/>
        </w:rPr>
        <w:t>and other</w:t>
      </w:r>
      <w:r w:rsidR="00345DCF" w:rsidRPr="005327DF">
        <w:rPr>
          <w:rFonts w:ascii="Times New Roman" w:hAnsi="Times New Roman" w:cs="Times New Roman"/>
        </w:rPr>
        <w:t xml:space="preserve"> </w:t>
      </w:r>
      <w:r w:rsidR="00042C4D" w:rsidRPr="005327DF">
        <w:rPr>
          <w:rFonts w:ascii="Times New Roman" w:hAnsi="Times New Roman" w:cs="Times New Roman"/>
        </w:rPr>
        <w:t xml:space="preserve">relevant CDB staff, BMC’s </w:t>
      </w:r>
      <w:r w:rsidR="003F10BE" w:rsidRPr="005327DF">
        <w:rPr>
          <w:rFonts w:ascii="Times New Roman" w:hAnsi="Times New Roman" w:cs="Times New Roman"/>
        </w:rPr>
        <w:t xml:space="preserve">beneficiary community groups, </w:t>
      </w:r>
      <w:r w:rsidR="00B878AF">
        <w:rPr>
          <w:rFonts w:ascii="Times New Roman" w:hAnsi="Times New Roman" w:cs="Times New Roman"/>
        </w:rPr>
        <w:t>s</w:t>
      </w:r>
      <w:r w:rsidR="00042C4D" w:rsidRPr="005327DF">
        <w:rPr>
          <w:rFonts w:ascii="Times New Roman" w:hAnsi="Times New Roman" w:cs="Times New Roman"/>
        </w:rPr>
        <w:t xml:space="preserve">ubproject </w:t>
      </w:r>
      <w:r w:rsidR="002301CD" w:rsidRPr="005327DF">
        <w:rPr>
          <w:rFonts w:ascii="Times New Roman" w:hAnsi="Times New Roman" w:cs="Times New Roman"/>
        </w:rPr>
        <w:t>government counterparts</w:t>
      </w:r>
      <w:r w:rsidR="00B878AF">
        <w:rPr>
          <w:rFonts w:ascii="Times New Roman" w:hAnsi="Times New Roman" w:cs="Times New Roman"/>
        </w:rPr>
        <w:t xml:space="preserve">, </w:t>
      </w:r>
      <w:r w:rsidR="00345DCF" w:rsidRPr="005327DF">
        <w:rPr>
          <w:rFonts w:ascii="Times New Roman" w:hAnsi="Times New Roman" w:cs="Times New Roman"/>
        </w:rPr>
        <w:t>and other key stakeholders</w:t>
      </w:r>
      <w:r w:rsidR="00974773">
        <w:rPr>
          <w:rFonts w:ascii="Times New Roman" w:hAnsi="Times New Roman" w:cs="Times New Roman"/>
        </w:rPr>
        <w:t xml:space="preserve"> in a COVID-19 environment</w:t>
      </w:r>
      <w:r w:rsidR="00345DCF" w:rsidRPr="005327DF">
        <w:rPr>
          <w:rFonts w:ascii="Times New Roman" w:hAnsi="Times New Roman" w:cs="Times New Roman"/>
        </w:rPr>
        <w:t xml:space="preserve">. </w:t>
      </w:r>
    </w:p>
    <w:p w14:paraId="286F5022" w14:textId="77777777" w:rsidR="00962713" w:rsidRDefault="00962713" w:rsidP="005327DF">
      <w:pPr>
        <w:widowControl w:val="0"/>
        <w:autoSpaceDE w:val="0"/>
        <w:autoSpaceDN w:val="0"/>
        <w:adjustRightInd w:val="0"/>
        <w:spacing w:after="0" w:line="240" w:lineRule="auto"/>
        <w:jc w:val="both"/>
        <w:rPr>
          <w:rFonts w:ascii="Times New Roman" w:hAnsi="Times New Roman" w:cs="Times New Roman"/>
        </w:rPr>
      </w:pPr>
    </w:p>
    <w:p w14:paraId="5161E5B8" w14:textId="77777777" w:rsidR="00962713" w:rsidRDefault="00962713" w:rsidP="005327DF">
      <w:pPr>
        <w:widowControl w:val="0"/>
        <w:autoSpaceDE w:val="0"/>
        <w:autoSpaceDN w:val="0"/>
        <w:adjustRightInd w:val="0"/>
        <w:spacing w:after="0" w:line="240" w:lineRule="auto"/>
        <w:jc w:val="both"/>
        <w:rPr>
          <w:rFonts w:ascii="Times New Roman" w:hAnsi="Times New Roman" w:cs="Times New Roman"/>
          <w:b/>
        </w:rPr>
      </w:pPr>
      <w:r w:rsidRPr="00962713">
        <w:rPr>
          <w:rFonts w:ascii="Times New Roman" w:hAnsi="Times New Roman" w:cs="Times New Roman"/>
          <w:b/>
        </w:rPr>
        <w:t>5.</w:t>
      </w:r>
      <w:r w:rsidRPr="00962713">
        <w:rPr>
          <w:rFonts w:ascii="Times New Roman" w:hAnsi="Times New Roman" w:cs="Times New Roman"/>
          <w:b/>
        </w:rPr>
        <w:tab/>
      </w:r>
      <w:r w:rsidRPr="00B3190F">
        <w:rPr>
          <w:rFonts w:ascii="Times New Roman" w:hAnsi="Times New Roman" w:cs="Times New Roman"/>
          <w:b/>
          <w:u w:val="single"/>
        </w:rPr>
        <w:t>IMPLEMENTATION ARRANGEMENTS</w:t>
      </w:r>
    </w:p>
    <w:p w14:paraId="33B6949E" w14:textId="77777777" w:rsidR="00962713" w:rsidRPr="00962713" w:rsidRDefault="00962713" w:rsidP="005327DF">
      <w:pPr>
        <w:widowControl w:val="0"/>
        <w:autoSpaceDE w:val="0"/>
        <w:autoSpaceDN w:val="0"/>
        <w:adjustRightInd w:val="0"/>
        <w:spacing w:after="0" w:line="240" w:lineRule="auto"/>
        <w:jc w:val="both"/>
        <w:rPr>
          <w:rFonts w:ascii="Times New Roman" w:hAnsi="Times New Roman" w:cs="Times New Roman"/>
        </w:rPr>
      </w:pPr>
    </w:p>
    <w:p w14:paraId="60C5F01D" w14:textId="77777777" w:rsidR="00471659" w:rsidRPr="00A00499" w:rsidRDefault="00962713" w:rsidP="00471659">
      <w:pPr>
        <w:widowControl w:val="0"/>
        <w:autoSpaceDE w:val="0"/>
        <w:autoSpaceDN w:val="0"/>
        <w:adjustRightInd w:val="0"/>
        <w:spacing w:after="0" w:line="240" w:lineRule="auto"/>
        <w:jc w:val="both"/>
        <w:rPr>
          <w:rFonts w:ascii="Times New Roman" w:hAnsi="Times New Roman" w:cs="Times New Roman"/>
        </w:rPr>
      </w:pPr>
      <w:r w:rsidRPr="00962713">
        <w:rPr>
          <w:rFonts w:ascii="Times New Roman" w:hAnsi="Times New Roman" w:cs="Times New Roman"/>
        </w:rPr>
        <w:t>5.01</w:t>
      </w:r>
      <w:r w:rsidRPr="00962713">
        <w:rPr>
          <w:rFonts w:ascii="Times New Roman" w:hAnsi="Times New Roman" w:cs="Times New Roman"/>
        </w:rPr>
        <w:tab/>
      </w:r>
      <w:r w:rsidR="00EA7608">
        <w:rPr>
          <w:rFonts w:ascii="Times New Roman" w:hAnsi="Times New Roman" w:cs="Times New Roman"/>
        </w:rPr>
        <w:t xml:space="preserve">Under the supervision of OIE, </w:t>
      </w:r>
      <w:r w:rsidR="00013D47">
        <w:rPr>
          <w:rFonts w:ascii="Times New Roman" w:hAnsi="Times New Roman" w:cs="Times New Roman"/>
        </w:rPr>
        <w:t xml:space="preserve">CDB’s </w:t>
      </w:r>
      <w:r w:rsidR="007B0989">
        <w:rPr>
          <w:rFonts w:ascii="Times New Roman" w:hAnsi="Times New Roman" w:cs="Times New Roman"/>
        </w:rPr>
        <w:t xml:space="preserve">Coordinator, Environmental Sustainability Unit </w:t>
      </w:r>
      <w:r w:rsidR="00013D47">
        <w:rPr>
          <w:rFonts w:ascii="Times New Roman" w:hAnsi="Times New Roman" w:cs="Times New Roman"/>
        </w:rPr>
        <w:t xml:space="preserve">or his/her designate, will </w:t>
      </w:r>
      <w:r w:rsidR="00EA7608">
        <w:rPr>
          <w:rFonts w:ascii="Times New Roman" w:hAnsi="Times New Roman" w:cs="Times New Roman"/>
        </w:rPr>
        <w:t xml:space="preserve">be responsible </w:t>
      </w:r>
      <w:r w:rsidR="00013D47">
        <w:rPr>
          <w:rFonts w:ascii="Times New Roman" w:hAnsi="Times New Roman" w:cs="Times New Roman"/>
        </w:rPr>
        <w:t>for coordinating the administrative and logistic arrangements for the consultancy, assist</w:t>
      </w:r>
      <w:r w:rsidR="00EA7608">
        <w:rPr>
          <w:rFonts w:ascii="Times New Roman" w:hAnsi="Times New Roman" w:cs="Times New Roman"/>
        </w:rPr>
        <w:t>ing</w:t>
      </w:r>
      <w:r w:rsidR="00013D47">
        <w:rPr>
          <w:rFonts w:ascii="Times New Roman" w:hAnsi="Times New Roman" w:cs="Times New Roman"/>
        </w:rPr>
        <w:t xml:space="preserve"> with resolving any operational issues which may arise and generally facilitat</w:t>
      </w:r>
      <w:r w:rsidR="00EA7608">
        <w:rPr>
          <w:rFonts w:ascii="Times New Roman" w:hAnsi="Times New Roman" w:cs="Times New Roman"/>
        </w:rPr>
        <w:t>ing</w:t>
      </w:r>
      <w:r w:rsidR="00013D47">
        <w:rPr>
          <w:rFonts w:ascii="Times New Roman" w:hAnsi="Times New Roman" w:cs="Times New Roman"/>
        </w:rPr>
        <w:t xml:space="preserve"> the work of the Consultant.  </w:t>
      </w:r>
      <w:r w:rsidR="00EA7608">
        <w:rPr>
          <w:rFonts w:ascii="Times New Roman" w:hAnsi="Times New Roman" w:cs="Times New Roman"/>
        </w:rPr>
        <w:t xml:space="preserve">With the assistance of ESU, OIE </w:t>
      </w:r>
      <w:r w:rsidR="00013D47">
        <w:rPr>
          <w:rFonts w:ascii="Times New Roman" w:hAnsi="Times New Roman" w:cs="Times New Roman"/>
        </w:rPr>
        <w:t xml:space="preserve">will </w:t>
      </w:r>
      <w:proofErr w:type="gramStart"/>
      <w:r w:rsidR="00013D47">
        <w:rPr>
          <w:rFonts w:ascii="Times New Roman" w:hAnsi="Times New Roman" w:cs="Times New Roman"/>
        </w:rPr>
        <w:t>make arrangements</w:t>
      </w:r>
      <w:proofErr w:type="gramEnd"/>
      <w:r w:rsidR="00013D47">
        <w:rPr>
          <w:rFonts w:ascii="Times New Roman" w:hAnsi="Times New Roman" w:cs="Times New Roman"/>
        </w:rPr>
        <w:t xml:space="preserve"> for</w:t>
      </w:r>
      <w:r w:rsidR="005D1ACE">
        <w:rPr>
          <w:rFonts w:ascii="Times New Roman" w:hAnsi="Times New Roman" w:cs="Times New Roman"/>
        </w:rPr>
        <w:t xml:space="preserve"> the Consultant’s</w:t>
      </w:r>
      <w:r w:rsidR="00013D47">
        <w:rPr>
          <w:rFonts w:ascii="Times New Roman" w:hAnsi="Times New Roman" w:cs="Times New Roman"/>
        </w:rPr>
        <w:t xml:space="preserve"> introduction to the donors, CDB’s management and staff, </w:t>
      </w:r>
      <w:r w:rsidR="007B0989">
        <w:rPr>
          <w:rFonts w:ascii="Times New Roman" w:hAnsi="Times New Roman" w:cs="Times New Roman"/>
        </w:rPr>
        <w:t xml:space="preserve">members of the CDRRF Team, </w:t>
      </w:r>
      <w:r w:rsidR="00013D47">
        <w:rPr>
          <w:rFonts w:ascii="Times New Roman" w:hAnsi="Times New Roman" w:cs="Times New Roman"/>
        </w:rPr>
        <w:t xml:space="preserve">sub-project </w:t>
      </w:r>
      <w:r w:rsidR="007B0989">
        <w:rPr>
          <w:rFonts w:ascii="Times New Roman" w:hAnsi="Times New Roman" w:cs="Times New Roman"/>
        </w:rPr>
        <w:t xml:space="preserve">PMUs and the </w:t>
      </w:r>
      <w:r w:rsidR="00013D47">
        <w:rPr>
          <w:rFonts w:ascii="Times New Roman" w:hAnsi="Times New Roman" w:cs="Times New Roman"/>
        </w:rPr>
        <w:t>beneficiaries</w:t>
      </w:r>
      <w:r w:rsidR="007B0989">
        <w:rPr>
          <w:rFonts w:ascii="Times New Roman" w:hAnsi="Times New Roman" w:cs="Times New Roman"/>
        </w:rPr>
        <w:t xml:space="preserve"> and stakeholders, </w:t>
      </w:r>
      <w:r w:rsidR="00EA7608">
        <w:rPr>
          <w:rFonts w:ascii="Times New Roman" w:hAnsi="Times New Roman" w:cs="Times New Roman"/>
        </w:rPr>
        <w:t xml:space="preserve">and </w:t>
      </w:r>
      <w:r w:rsidR="007B0989">
        <w:rPr>
          <w:rFonts w:ascii="Times New Roman" w:hAnsi="Times New Roman" w:cs="Times New Roman"/>
        </w:rPr>
        <w:t xml:space="preserve">regional development partners.  </w:t>
      </w:r>
      <w:r w:rsidR="00EA7608">
        <w:rPr>
          <w:rFonts w:ascii="Times New Roman" w:hAnsi="Times New Roman" w:cs="Times New Roman"/>
        </w:rPr>
        <w:t xml:space="preserve">ESU </w:t>
      </w:r>
      <w:r w:rsidR="00013D47">
        <w:rPr>
          <w:rFonts w:ascii="Times New Roman" w:hAnsi="Times New Roman" w:cs="Times New Roman"/>
        </w:rPr>
        <w:t xml:space="preserve">will provide the Consultant </w:t>
      </w:r>
      <w:r w:rsidR="00B878AF">
        <w:rPr>
          <w:rFonts w:ascii="Times New Roman" w:hAnsi="Times New Roman" w:cs="Times New Roman"/>
        </w:rPr>
        <w:t>with the</w:t>
      </w:r>
      <w:r w:rsidR="00CA57A7">
        <w:rPr>
          <w:rFonts w:ascii="Times New Roman" w:hAnsi="Times New Roman" w:cs="Times New Roman"/>
        </w:rPr>
        <w:t xml:space="preserve"> background</w:t>
      </w:r>
      <w:r w:rsidR="00013D47">
        <w:rPr>
          <w:rFonts w:ascii="Times New Roman" w:hAnsi="Times New Roman" w:cs="Times New Roman"/>
        </w:rPr>
        <w:t xml:space="preserve"> information on CDRRF, the sub-projects, data and reports relevant to the completion of the assignment.  </w:t>
      </w:r>
      <w:r w:rsidR="00D72C02">
        <w:rPr>
          <w:rFonts w:ascii="Times New Roman" w:hAnsi="Times New Roman" w:cs="Times New Roman"/>
        </w:rPr>
        <w:t xml:space="preserve"> </w:t>
      </w:r>
      <w:r w:rsidR="00471659" w:rsidRPr="00A00499">
        <w:rPr>
          <w:rFonts w:ascii="Times New Roman" w:hAnsi="Times New Roman" w:cs="Times New Roman"/>
        </w:rPr>
        <w:t>The PMU of each sub-project will provide administrative and logistical support for arranging virtual or on-site meetings with the sub-project beneficiaries and other relevant stakeholders.</w:t>
      </w:r>
    </w:p>
    <w:p w14:paraId="7E7043E4" w14:textId="2499770E" w:rsidR="00013D47" w:rsidRDefault="00013D47" w:rsidP="005327DF">
      <w:pPr>
        <w:widowControl w:val="0"/>
        <w:autoSpaceDE w:val="0"/>
        <w:autoSpaceDN w:val="0"/>
        <w:adjustRightInd w:val="0"/>
        <w:spacing w:after="0" w:line="240" w:lineRule="auto"/>
        <w:jc w:val="both"/>
        <w:rPr>
          <w:rFonts w:ascii="Times New Roman" w:hAnsi="Times New Roman" w:cs="Times New Roman"/>
        </w:rPr>
      </w:pPr>
    </w:p>
    <w:p w14:paraId="201A1F7C" w14:textId="0BEC9957" w:rsidR="006E0693" w:rsidRPr="006B2873" w:rsidRDefault="00013D47" w:rsidP="006B2873">
      <w:pPr>
        <w:widowControl w:val="0"/>
        <w:autoSpaceDE w:val="0"/>
        <w:autoSpaceDN w:val="0"/>
        <w:adjustRightInd w:val="0"/>
        <w:spacing w:after="0" w:line="240" w:lineRule="auto"/>
        <w:jc w:val="both"/>
        <w:rPr>
          <w:rFonts w:ascii="Times New Roman" w:hAnsi="Times New Roman" w:cs="Times New Roman"/>
        </w:rPr>
      </w:pPr>
      <w:r w:rsidRPr="006B2873">
        <w:rPr>
          <w:rFonts w:ascii="Times New Roman" w:hAnsi="Times New Roman" w:cs="Times New Roman"/>
        </w:rPr>
        <w:t>5.02</w:t>
      </w:r>
      <w:r w:rsidRPr="006B2873">
        <w:rPr>
          <w:rFonts w:ascii="Times New Roman" w:hAnsi="Times New Roman" w:cs="Times New Roman"/>
        </w:rPr>
        <w:tab/>
      </w:r>
      <w:r w:rsidR="00414182" w:rsidRPr="006B2873">
        <w:rPr>
          <w:rFonts w:ascii="Times New Roman" w:hAnsi="Times New Roman" w:cs="Times New Roman"/>
        </w:rPr>
        <w:t xml:space="preserve">The consultant undertaking the </w:t>
      </w:r>
      <w:r w:rsidR="00E60746" w:rsidRPr="006B2873">
        <w:rPr>
          <w:rFonts w:ascii="Times New Roman" w:hAnsi="Times New Roman" w:cs="Times New Roman"/>
        </w:rPr>
        <w:t>Evaluation</w:t>
      </w:r>
      <w:r w:rsidR="00414182" w:rsidRPr="006B2873">
        <w:rPr>
          <w:rFonts w:ascii="Times New Roman" w:hAnsi="Times New Roman" w:cs="Times New Roman"/>
        </w:rPr>
        <w:t xml:space="preserve"> should not have been involved in designing, executing or advising on </w:t>
      </w:r>
      <w:r w:rsidR="00960D00" w:rsidRPr="006B2873">
        <w:rPr>
          <w:rFonts w:ascii="Times New Roman" w:hAnsi="Times New Roman" w:cs="Times New Roman"/>
        </w:rPr>
        <w:t xml:space="preserve">the </w:t>
      </w:r>
      <w:r w:rsidR="00414182" w:rsidRPr="006B2873">
        <w:rPr>
          <w:rFonts w:ascii="Times New Roman" w:hAnsi="Times New Roman" w:cs="Times New Roman"/>
        </w:rPr>
        <w:t xml:space="preserve">CDRRF project that is the subject of the review. </w:t>
      </w:r>
      <w:r w:rsidR="00B878AF" w:rsidRPr="006B2873">
        <w:rPr>
          <w:rFonts w:ascii="Times New Roman" w:hAnsi="Times New Roman" w:cs="Times New Roman"/>
        </w:rPr>
        <w:t xml:space="preserve"> </w:t>
      </w:r>
      <w:r w:rsidR="00414182" w:rsidRPr="006B2873">
        <w:rPr>
          <w:rFonts w:ascii="Times New Roman" w:hAnsi="Times New Roman" w:cs="Times New Roman"/>
        </w:rPr>
        <w:t>This is to ensure objectivity and to avoid a real or a perceived conflict of interest.</w:t>
      </w:r>
      <w:r w:rsidR="00A94C7C" w:rsidRPr="006B2873">
        <w:rPr>
          <w:rFonts w:ascii="Times New Roman" w:hAnsi="Times New Roman" w:cs="Times New Roman"/>
        </w:rPr>
        <w:t xml:space="preserve">  </w:t>
      </w:r>
    </w:p>
    <w:p w14:paraId="4BE2CBA5" w14:textId="77777777" w:rsidR="00CE6F0F" w:rsidRDefault="00CE6F0F" w:rsidP="005A5075">
      <w:pPr>
        <w:widowControl w:val="0"/>
        <w:autoSpaceDE w:val="0"/>
        <w:autoSpaceDN w:val="0"/>
        <w:adjustRightInd w:val="0"/>
        <w:spacing w:after="0" w:line="240" w:lineRule="auto"/>
        <w:jc w:val="both"/>
        <w:rPr>
          <w:rFonts w:ascii="Times New Roman" w:hAnsi="Times New Roman" w:cs="Times New Roman"/>
        </w:rPr>
      </w:pPr>
    </w:p>
    <w:p w14:paraId="07DDF9F3" w14:textId="3D3A9BDE" w:rsidR="00DB2D84" w:rsidRDefault="00D34774" w:rsidP="0094742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lastRenderedPageBreak/>
        <w:t>6</w:t>
      </w:r>
      <w:r w:rsidR="00C70B2D">
        <w:rPr>
          <w:rFonts w:ascii="Times New Roman" w:hAnsi="Times New Roman" w:cs="Times New Roman"/>
          <w:b/>
          <w:bCs/>
        </w:rPr>
        <w:t>.</w:t>
      </w:r>
      <w:r w:rsidR="00C70B2D">
        <w:rPr>
          <w:rFonts w:ascii="Times New Roman" w:hAnsi="Times New Roman" w:cs="Times New Roman"/>
          <w:b/>
          <w:bCs/>
        </w:rPr>
        <w:tab/>
      </w:r>
      <w:r w:rsidR="0094742C" w:rsidRPr="006B2873">
        <w:rPr>
          <w:rFonts w:ascii="Times New Roman" w:hAnsi="Times New Roman" w:cs="Times New Roman"/>
          <w:b/>
          <w:bCs/>
          <w:u w:val="single"/>
        </w:rPr>
        <w:t xml:space="preserve">EVALUATION TEAM </w:t>
      </w:r>
      <w:r w:rsidR="00C70B2D" w:rsidRPr="0094742C">
        <w:rPr>
          <w:rFonts w:ascii="Times New Roman" w:hAnsi="Times New Roman" w:cs="Times New Roman"/>
          <w:b/>
          <w:bCs/>
          <w:u w:val="single"/>
        </w:rPr>
        <w:t>QUALIFICATIONS</w:t>
      </w:r>
    </w:p>
    <w:p w14:paraId="1209350A" w14:textId="77777777" w:rsidR="0094742C" w:rsidRDefault="0094742C" w:rsidP="006B2873">
      <w:pPr>
        <w:widowControl w:val="0"/>
        <w:autoSpaceDE w:val="0"/>
        <w:autoSpaceDN w:val="0"/>
        <w:adjustRightInd w:val="0"/>
        <w:spacing w:after="0" w:line="240" w:lineRule="auto"/>
        <w:rPr>
          <w:rFonts w:ascii="Times New Roman" w:hAnsi="Times New Roman" w:cs="Times New Roman"/>
        </w:rPr>
      </w:pPr>
    </w:p>
    <w:p w14:paraId="115CEBD7" w14:textId="37A7A578" w:rsidR="00851A10" w:rsidRDefault="00851A10" w:rsidP="00184439">
      <w:pPr>
        <w:pStyle w:val="ListParagraph"/>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The team that carries out this evaluation should be comprised of a leader and key experts who bring the following capacities to the assignment:</w:t>
      </w:r>
    </w:p>
    <w:p w14:paraId="6D086A28" w14:textId="76DD647C" w:rsidR="00851A10" w:rsidRDefault="00851A10" w:rsidP="00184439">
      <w:pPr>
        <w:pStyle w:val="ListParagraph"/>
        <w:widowControl w:val="0"/>
        <w:autoSpaceDE w:val="0"/>
        <w:autoSpaceDN w:val="0"/>
        <w:adjustRightInd w:val="0"/>
        <w:spacing w:after="0" w:line="240" w:lineRule="auto"/>
        <w:ind w:left="0"/>
        <w:jc w:val="both"/>
        <w:rPr>
          <w:rFonts w:ascii="Times New Roman" w:hAnsi="Times New Roman" w:cs="Times New Roman"/>
        </w:rPr>
      </w:pPr>
    </w:p>
    <w:p w14:paraId="5C752E3C" w14:textId="699E0417" w:rsidR="00851A10" w:rsidRDefault="00851A10" w:rsidP="00184439">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Leadership in the design and implementation of multi-country development evaluations</w:t>
      </w:r>
    </w:p>
    <w:p w14:paraId="518E2F3C" w14:textId="77777777" w:rsidR="00851A10" w:rsidRDefault="00851A10" w:rsidP="00184439">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Experience working with multilateral development banks and international development agencies</w:t>
      </w:r>
    </w:p>
    <w:p w14:paraId="2664CEE0" w14:textId="3583B68D" w:rsidR="00851A10" w:rsidRDefault="00701CB2" w:rsidP="00184439">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Experience in evaluation of DRR, CCA, and community driven development projects</w:t>
      </w:r>
    </w:p>
    <w:p w14:paraId="18FEFD6A" w14:textId="22268106" w:rsidR="00B33D58" w:rsidRDefault="00B33D58" w:rsidP="00184439">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Experience working in the Caribbean region</w:t>
      </w:r>
    </w:p>
    <w:p w14:paraId="486BFB60" w14:textId="6A2B72FD" w:rsidR="00701CB2" w:rsidRDefault="00701CB2" w:rsidP="00184439">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Expertise in evaluation of gender equality initiatives, or evaluation of gender equality integration into development projects</w:t>
      </w:r>
    </w:p>
    <w:p w14:paraId="1FE751F1" w14:textId="3C921628" w:rsidR="00701CB2" w:rsidRDefault="00701CB2" w:rsidP="00184439">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Strong stakeholder communication and report writing skills</w:t>
      </w:r>
    </w:p>
    <w:p w14:paraId="371778CD" w14:textId="77777777" w:rsidR="00851A10" w:rsidRDefault="00851A10" w:rsidP="00184439">
      <w:pPr>
        <w:pStyle w:val="ListParagraph"/>
        <w:widowControl w:val="0"/>
        <w:autoSpaceDE w:val="0"/>
        <w:autoSpaceDN w:val="0"/>
        <w:adjustRightInd w:val="0"/>
        <w:spacing w:after="0" w:line="240" w:lineRule="auto"/>
        <w:ind w:left="0"/>
        <w:jc w:val="both"/>
        <w:rPr>
          <w:rFonts w:ascii="Times New Roman" w:hAnsi="Times New Roman" w:cs="Times New Roman"/>
        </w:rPr>
      </w:pPr>
    </w:p>
    <w:p w14:paraId="1BDA02E0" w14:textId="77777777" w:rsidR="00DB2D84" w:rsidRPr="000E0065" w:rsidRDefault="00DB2D84" w:rsidP="005327DF">
      <w:pPr>
        <w:widowControl w:val="0"/>
        <w:autoSpaceDE w:val="0"/>
        <w:autoSpaceDN w:val="0"/>
        <w:adjustRightInd w:val="0"/>
        <w:spacing w:after="0" w:line="240" w:lineRule="auto"/>
        <w:jc w:val="both"/>
        <w:rPr>
          <w:rFonts w:ascii="Times New Roman" w:hAnsi="Times New Roman" w:cs="Times New Roman"/>
        </w:rPr>
      </w:pPr>
    </w:p>
    <w:p w14:paraId="15ACFB42" w14:textId="61CD5D2C" w:rsidR="00F935AE" w:rsidRPr="000E0065" w:rsidRDefault="00D34774" w:rsidP="005327DF">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7</w:t>
      </w:r>
      <w:r w:rsidR="008D4C9C">
        <w:rPr>
          <w:rFonts w:ascii="Times New Roman" w:hAnsi="Times New Roman" w:cs="Times New Roman"/>
          <w:b/>
          <w:bCs/>
        </w:rPr>
        <w:t>.</w:t>
      </w:r>
      <w:r w:rsidR="008D4C9C">
        <w:rPr>
          <w:rFonts w:ascii="Times New Roman" w:hAnsi="Times New Roman" w:cs="Times New Roman"/>
          <w:b/>
          <w:bCs/>
        </w:rPr>
        <w:tab/>
      </w:r>
      <w:r w:rsidR="008D4C9C" w:rsidRPr="00B3190F">
        <w:rPr>
          <w:rFonts w:ascii="Times New Roman" w:hAnsi="Times New Roman" w:cs="Times New Roman"/>
          <w:b/>
          <w:bCs/>
          <w:u w:val="single"/>
        </w:rPr>
        <w:t>REPORTING REQUIREMENTS</w:t>
      </w:r>
    </w:p>
    <w:p w14:paraId="282FC914" w14:textId="77777777" w:rsidR="008D4C9C" w:rsidRDefault="008D4C9C" w:rsidP="00962713">
      <w:pPr>
        <w:spacing w:after="0" w:line="240" w:lineRule="auto"/>
        <w:jc w:val="both"/>
        <w:rPr>
          <w:rFonts w:ascii="Times New Roman" w:hAnsi="Times New Roman" w:cs="Times New Roman"/>
        </w:rPr>
      </w:pPr>
    </w:p>
    <w:p w14:paraId="4C41BD49" w14:textId="239D3853" w:rsidR="003001C8" w:rsidRDefault="00D34774" w:rsidP="00962713">
      <w:pPr>
        <w:spacing w:after="0" w:line="240" w:lineRule="auto"/>
        <w:jc w:val="both"/>
        <w:rPr>
          <w:rFonts w:ascii="Times New Roman" w:hAnsi="Times New Roman" w:cs="Times New Roman"/>
        </w:rPr>
      </w:pPr>
      <w:r>
        <w:rPr>
          <w:rFonts w:ascii="Times New Roman" w:hAnsi="Times New Roman" w:cs="Times New Roman"/>
        </w:rPr>
        <w:t>7</w:t>
      </w:r>
      <w:r w:rsidR="008D4C9C">
        <w:rPr>
          <w:rFonts w:ascii="Times New Roman" w:hAnsi="Times New Roman" w:cs="Times New Roman"/>
        </w:rPr>
        <w:t>.01</w:t>
      </w:r>
      <w:r w:rsidR="008D4C9C">
        <w:rPr>
          <w:rFonts w:ascii="Times New Roman" w:hAnsi="Times New Roman" w:cs="Times New Roman"/>
        </w:rPr>
        <w:tab/>
      </w:r>
      <w:r w:rsidR="003001C8" w:rsidRPr="000E0065">
        <w:rPr>
          <w:rFonts w:ascii="Times New Roman" w:hAnsi="Times New Roman" w:cs="Times New Roman"/>
        </w:rPr>
        <w:t xml:space="preserve">The consultant </w:t>
      </w:r>
      <w:r w:rsidR="008D4C9C">
        <w:rPr>
          <w:rFonts w:ascii="Times New Roman" w:hAnsi="Times New Roman" w:cs="Times New Roman"/>
        </w:rPr>
        <w:t xml:space="preserve">will be required </w:t>
      </w:r>
      <w:r w:rsidR="00C25056">
        <w:rPr>
          <w:rFonts w:ascii="Times New Roman" w:hAnsi="Times New Roman" w:cs="Times New Roman"/>
        </w:rPr>
        <w:t xml:space="preserve">to </w:t>
      </w:r>
      <w:r w:rsidR="00C25056" w:rsidRPr="000E0065">
        <w:rPr>
          <w:rFonts w:ascii="Times New Roman" w:hAnsi="Times New Roman" w:cs="Times New Roman"/>
        </w:rPr>
        <w:t>prepare</w:t>
      </w:r>
      <w:r w:rsidR="003001C8" w:rsidRPr="000E0065">
        <w:rPr>
          <w:rFonts w:ascii="Times New Roman" w:hAnsi="Times New Roman" w:cs="Times New Roman"/>
        </w:rPr>
        <w:t xml:space="preserve"> and </w:t>
      </w:r>
      <w:r w:rsidR="008D4C9C">
        <w:rPr>
          <w:rFonts w:ascii="Times New Roman" w:hAnsi="Times New Roman" w:cs="Times New Roman"/>
        </w:rPr>
        <w:t>submit the following reports to CDB</w:t>
      </w:r>
      <w:r w:rsidR="003001C8" w:rsidRPr="000E0065">
        <w:rPr>
          <w:rFonts w:ascii="Times New Roman" w:hAnsi="Times New Roman" w:cs="Times New Roman"/>
        </w:rPr>
        <w:t xml:space="preserve">: </w:t>
      </w:r>
    </w:p>
    <w:p w14:paraId="11077C21" w14:textId="77777777" w:rsidR="008D4C9C" w:rsidRPr="000E0065" w:rsidRDefault="008D4C9C" w:rsidP="00BA2F56">
      <w:pPr>
        <w:spacing w:after="0" w:line="240" w:lineRule="auto"/>
        <w:jc w:val="both"/>
        <w:rPr>
          <w:rFonts w:ascii="Times New Roman" w:hAnsi="Times New Roman" w:cs="Times New Roman"/>
        </w:rPr>
      </w:pPr>
    </w:p>
    <w:p w14:paraId="6731B2F6" w14:textId="380B90A3" w:rsidR="00147707" w:rsidRDefault="003001C8" w:rsidP="00AD1B2B">
      <w:pPr>
        <w:pStyle w:val="ListParagraph"/>
        <w:numPr>
          <w:ilvl w:val="0"/>
          <w:numId w:val="4"/>
        </w:numPr>
        <w:spacing w:after="0" w:line="240" w:lineRule="auto"/>
        <w:ind w:left="1440" w:hanging="720"/>
        <w:jc w:val="both"/>
        <w:rPr>
          <w:rFonts w:ascii="Times New Roman" w:hAnsi="Times New Roman" w:cs="Times New Roman"/>
        </w:rPr>
      </w:pPr>
      <w:r w:rsidRPr="00AE1DC4">
        <w:rPr>
          <w:rFonts w:ascii="Times New Roman" w:hAnsi="Times New Roman" w:cs="Times New Roman"/>
        </w:rPr>
        <w:t>Inception Report:</w:t>
      </w:r>
      <w:r w:rsidRPr="009F217B">
        <w:rPr>
          <w:rFonts w:ascii="Times New Roman" w:hAnsi="Times New Roman" w:cs="Times New Roman"/>
        </w:rPr>
        <w:t xml:space="preserve"> </w:t>
      </w:r>
      <w:r w:rsidR="00C25056">
        <w:rPr>
          <w:rFonts w:ascii="Times New Roman" w:hAnsi="Times New Roman" w:cs="Times New Roman"/>
        </w:rPr>
        <w:t>This should include</w:t>
      </w:r>
      <w:r w:rsidR="0066161D">
        <w:rPr>
          <w:rFonts w:ascii="Times New Roman" w:hAnsi="Times New Roman" w:cs="Times New Roman"/>
        </w:rPr>
        <w:t xml:space="preserve"> an </w:t>
      </w:r>
      <w:r w:rsidR="00C25056">
        <w:rPr>
          <w:rFonts w:ascii="Times New Roman" w:hAnsi="Times New Roman" w:cs="Times New Roman"/>
        </w:rPr>
        <w:t>outline of the methodology/approach</w:t>
      </w:r>
      <w:r w:rsidR="004A56C3">
        <w:rPr>
          <w:rFonts w:ascii="Times New Roman" w:hAnsi="Times New Roman" w:cs="Times New Roman"/>
        </w:rPr>
        <w:t>, an evaluation design matrix, data collection tools,</w:t>
      </w:r>
      <w:r w:rsidR="00C25056">
        <w:rPr>
          <w:rFonts w:ascii="Times New Roman" w:hAnsi="Times New Roman" w:cs="Times New Roman"/>
        </w:rPr>
        <w:t xml:space="preserve"> and execution work plan responding to the scope of services at Section </w:t>
      </w:r>
      <w:r w:rsidR="00147707">
        <w:rPr>
          <w:rFonts w:ascii="Times New Roman" w:hAnsi="Times New Roman" w:cs="Times New Roman"/>
        </w:rPr>
        <w:t>3</w:t>
      </w:r>
      <w:r w:rsidR="004A56C3">
        <w:rPr>
          <w:rFonts w:ascii="Times New Roman" w:hAnsi="Times New Roman" w:cs="Times New Roman"/>
        </w:rPr>
        <w:t>, one month after commencement of the assignment</w:t>
      </w:r>
      <w:r w:rsidR="00147707">
        <w:rPr>
          <w:rFonts w:ascii="Times New Roman" w:hAnsi="Times New Roman" w:cs="Times New Roman"/>
        </w:rPr>
        <w:t xml:space="preserve">. </w:t>
      </w:r>
    </w:p>
    <w:p w14:paraId="78AB7150" w14:textId="77777777" w:rsidR="00147707" w:rsidRDefault="00147707" w:rsidP="00147707">
      <w:pPr>
        <w:spacing w:after="0" w:line="240" w:lineRule="auto"/>
        <w:jc w:val="both"/>
        <w:rPr>
          <w:rFonts w:ascii="Times New Roman" w:hAnsi="Times New Roman" w:cs="Times New Roman"/>
        </w:rPr>
      </w:pPr>
    </w:p>
    <w:p w14:paraId="7540C519" w14:textId="5C7C9070" w:rsidR="00EC320D" w:rsidRDefault="003001C8" w:rsidP="00AD1B2B">
      <w:pPr>
        <w:pStyle w:val="ListParagraph"/>
        <w:numPr>
          <w:ilvl w:val="0"/>
          <w:numId w:val="4"/>
        </w:numPr>
        <w:spacing w:after="0" w:line="240" w:lineRule="auto"/>
        <w:ind w:left="1440" w:hanging="720"/>
        <w:jc w:val="both"/>
        <w:rPr>
          <w:rFonts w:ascii="Times New Roman" w:hAnsi="Times New Roman" w:cs="Times New Roman"/>
        </w:rPr>
      </w:pPr>
      <w:r w:rsidRPr="00AE1DC4">
        <w:rPr>
          <w:rFonts w:ascii="Times New Roman" w:hAnsi="Times New Roman" w:cs="Times New Roman"/>
        </w:rPr>
        <w:t xml:space="preserve">Draft Report </w:t>
      </w:r>
      <w:r w:rsidR="002B315F" w:rsidRPr="00AE1DC4">
        <w:rPr>
          <w:rFonts w:ascii="Times New Roman" w:hAnsi="Times New Roman" w:cs="Times New Roman"/>
        </w:rPr>
        <w:t xml:space="preserve">of </w:t>
      </w:r>
      <w:r w:rsidR="00147707" w:rsidRPr="00AE1DC4">
        <w:rPr>
          <w:rFonts w:ascii="Times New Roman" w:hAnsi="Times New Roman" w:cs="Times New Roman"/>
        </w:rPr>
        <w:t>F</w:t>
      </w:r>
      <w:r w:rsidR="002B315F" w:rsidRPr="00AE1DC4">
        <w:rPr>
          <w:rFonts w:ascii="Times New Roman" w:hAnsi="Times New Roman" w:cs="Times New Roman"/>
        </w:rPr>
        <w:t>indings</w:t>
      </w:r>
      <w:r w:rsidR="00D27313">
        <w:rPr>
          <w:rFonts w:ascii="Times New Roman" w:hAnsi="Times New Roman" w:cs="Times New Roman"/>
        </w:rPr>
        <w:t>:</w:t>
      </w:r>
      <w:r w:rsidR="002B315F" w:rsidRPr="00D67B05">
        <w:rPr>
          <w:rFonts w:ascii="Times New Roman" w:hAnsi="Times New Roman" w:cs="Times New Roman"/>
        </w:rPr>
        <w:t xml:space="preserve"> </w:t>
      </w:r>
      <w:r w:rsidR="00D67B05" w:rsidRPr="00D67B05">
        <w:rPr>
          <w:rFonts w:ascii="Times New Roman" w:hAnsi="Times New Roman" w:cs="Times New Roman"/>
        </w:rPr>
        <w:t xml:space="preserve"> </w:t>
      </w:r>
      <w:r w:rsidR="00D67B05">
        <w:rPr>
          <w:rFonts w:ascii="Times New Roman" w:hAnsi="Times New Roman" w:cs="Times New Roman"/>
        </w:rPr>
        <w:t xml:space="preserve">should be submitted to </w:t>
      </w:r>
      <w:r w:rsidR="004A56C3">
        <w:rPr>
          <w:rFonts w:ascii="Times New Roman" w:hAnsi="Times New Roman" w:cs="Times New Roman"/>
        </w:rPr>
        <w:t xml:space="preserve">OIE </w:t>
      </w:r>
      <w:r w:rsidR="00D67B05">
        <w:rPr>
          <w:rFonts w:ascii="Times New Roman" w:hAnsi="Times New Roman" w:cs="Times New Roman"/>
        </w:rPr>
        <w:t>for review and comment</w:t>
      </w:r>
      <w:r w:rsidR="001268A2">
        <w:rPr>
          <w:rFonts w:ascii="Times New Roman" w:hAnsi="Times New Roman" w:cs="Times New Roman"/>
        </w:rPr>
        <w:t>.</w:t>
      </w:r>
      <w:r w:rsidR="00D67B05">
        <w:rPr>
          <w:rFonts w:ascii="Times New Roman" w:hAnsi="Times New Roman" w:cs="Times New Roman"/>
        </w:rPr>
        <w:t xml:space="preserve">  </w:t>
      </w:r>
      <w:r w:rsidR="004A56C3">
        <w:rPr>
          <w:rFonts w:ascii="Times New Roman" w:hAnsi="Times New Roman" w:cs="Times New Roman"/>
        </w:rPr>
        <w:t xml:space="preserve">OIE and the consultant will jointly conduct a </w:t>
      </w:r>
      <w:r w:rsidR="00DA3D2E">
        <w:rPr>
          <w:rFonts w:ascii="Times New Roman" w:hAnsi="Times New Roman" w:cs="Times New Roman"/>
        </w:rPr>
        <w:t>fact-</w:t>
      </w:r>
      <w:r w:rsidR="004A56C3">
        <w:rPr>
          <w:rFonts w:ascii="Times New Roman" w:hAnsi="Times New Roman" w:cs="Times New Roman"/>
        </w:rPr>
        <w:t>checking and validation process with stakeholders.</w:t>
      </w:r>
      <w:r w:rsidR="00D67B05">
        <w:rPr>
          <w:rFonts w:ascii="Times New Roman" w:hAnsi="Times New Roman" w:cs="Times New Roman"/>
        </w:rPr>
        <w:t xml:space="preserve"> </w:t>
      </w:r>
      <w:r w:rsidR="00D67B05" w:rsidRPr="009F217B">
        <w:rPr>
          <w:rFonts w:ascii="Times New Roman" w:hAnsi="Times New Roman" w:cs="Times New Roman"/>
        </w:rPr>
        <w:t xml:space="preserve"> </w:t>
      </w:r>
    </w:p>
    <w:p w14:paraId="50D64831" w14:textId="77777777" w:rsidR="00EC320D" w:rsidRDefault="00EC320D" w:rsidP="00EC320D">
      <w:pPr>
        <w:pStyle w:val="ListParagraph"/>
        <w:spacing w:after="0" w:line="240" w:lineRule="auto"/>
        <w:ind w:left="1440"/>
        <w:jc w:val="both"/>
        <w:rPr>
          <w:rFonts w:ascii="Times New Roman" w:hAnsi="Times New Roman" w:cs="Times New Roman"/>
        </w:rPr>
      </w:pPr>
    </w:p>
    <w:p w14:paraId="68D28EDE" w14:textId="7D662B42" w:rsidR="00D27313" w:rsidRDefault="001342BE" w:rsidP="00AD1B2B">
      <w:pPr>
        <w:pStyle w:val="ListParagraph"/>
        <w:numPr>
          <w:ilvl w:val="0"/>
          <w:numId w:val="4"/>
        </w:numPr>
        <w:spacing w:after="0" w:line="240" w:lineRule="auto"/>
        <w:ind w:left="1440" w:hanging="720"/>
        <w:jc w:val="both"/>
        <w:rPr>
          <w:rFonts w:ascii="Times New Roman" w:hAnsi="Times New Roman" w:cs="Times New Roman"/>
        </w:rPr>
      </w:pPr>
      <w:r>
        <w:rPr>
          <w:rFonts w:ascii="Times New Roman" w:hAnsi="Times New Roman" w:cs="Times New Roman"/>
        </w:rPr>
        <w:t xml:space="preserve">Draft </w:t>
      </w:r>
      <w:r w:rsidR="003001C8" w:rsidRPr="00AE1DC4">
        <w:rPr>
          <w:rFonts w:ascii="Times New Roman" w:hAnsi="Times New Roman" w:cs="Times New Roman"/>
        </w:rPr>
        <w:t>Final Report: Revised</w:t>
      </w:r>
      <w:r w:rsidR="00E60746">
        <w:rPr>
          <w:rFonts w:ascii="Times New Roman" w:hAnsi="Times New Roman" w:cs="Times New Roman"/>
        </w:rPr>
        <w:t xml:space="preserve">/ Final </w:t>
      </w:r>
      <w:r w:rsidR="003001C8" w:rsidRPr="000E0065">
        <w:rPr>
          <w:rFonts w:ascii="Times New Roman" w:hAnsi="Times New Roman" w:cs="Times New Roman"/>
        </w:rPr>
        <w:t xml:space="preserve">report </w:t>
      </w:r>
      <w:r w:rsidR="00D67B05">
        <w:rPr>
          <w:rFonts w:ascii="Times New Roman" w:hAnsi="Times New Roman" w:cs="Times New Roman"/>
        </w:rPr>
        <w:t xml:space="preserve">which incorporates comments provided by </w:t>
      </w:r>
      <w:r w:rsidR="00D27313">
        <w:rPr>
          <w:rFonts w:ascii="Times New Roman" w:hAnsi="Times New Roman" w:cs="Times New Roman"/>
        </w:rPr>
        <w:t>OIE</w:t>
      </w:r>
      <w:r w:rsidR="00D67B05">
        <w:rPr>
          <w:rFonts w:ascii="Times New Roman" w:hAnsi="Times New Roman" w:cs="Times New Roman"/>
        </w:rPr>
        <w:t xml:space="preserve"> along </w:t>
      </w:r>
      <w:r w:rsidR="003001C8" w:rsidRPr="000E0065">
        <w:rPr>
          <w:rFonts w:ascii="Times New Roman" w:hAnsi="Times New Roman" w:cs="Times New Roman"/>
        </w:rPr>
        <w:t xml:space="preserve">with annexed audit trail detailing how all received comments have (and have not) been addressed in the final report. </w:t>
      </w:r>
      <w:r w:rsidR="005B7F15" w:rsidRPr="000E0065">
        <w:rPr>
          <w:rFonts w:ascii="Times New Roman" w:hAnsi="Times New Roman" w:cs="Times New Roman"/>
        </w:rPr>
        <w:t xml:space="preserve"> </w:t>
      </w:r>
      <w:r w:rsidR="00E60746">
        <w:rPr>
          <w:rFonts w:ascii="Times New Roman" w:hAnsi="Times New Roman" w:cs="Times New Roman"/>
        </w:rPr>
        <w:t xml:space="preserve">The </w:t>
      </w:r>
      <w:r w:rsidR="005B7F15" w:rsidRPr="000E0065">
        <w:rPr>
          <w:rFonts w:ascii="Times New Roman" w:hAnsi="Times New Roman" w:cs="Times New Roman"/>
        </w:rPr>
        <w:t>Final Report</w:t>
      </w:r>
      <w:r w:rsidR="002B315F" w:rsidRPr="000E0065">
        <w:rPr>
          <w:rFonts w:ascii="Times New Roman" w:hAnsi="Times New Roman" w:cs="Times New Roman"/>
        </w:rPr>
        <w:t xml:space="preserve"> </w:t>
      </w:r>
      <w:r w:rsidR="005A5075">
        <w:rPr>
          <w:rFonts w:ascii="Times New Roman" w:hAnsi="Times New Roman" w:cs="Times New Roman"/>
        </w:rPr>
        <w:t xml:space="preserve">should be </w:t>
      </w:r>
      <w:r w:rsidR="00B878AF">
        <w:rPr>
          <w:rFonts w:ascii="Times New Roman" w:hAnsi="Times New Roman" w:cs="Times New Roman"/>
        </w:rPr>
        <w:t xml:space="preserve">submitted </w:t>
      </w:r>
      <w:r w:rsidR="00B878AF" w:rsidRPr="000E0065">
        <w:rPr>
          <w:rFonts w:ascii="Times New Roman" w:hAnsi="Times New Roman" w:cs="Times New Roman"/>
        </w:rPr>
        <w:t>within</w:t>
      </w:r>
      <w:r w:rsidR="006E4374">
        <w:rPr>
          <w:rFonts w:ascii="Times New Roman" w:hAnsi="Times New Roman" w:cs="Times New Roman"/>
        </w:rPr>
        <w:t xml:space="preserve"> five</w:t>
      </w:r>
      <w:r w:rsidR="00B878AF">
        <w:rPr>
          <w:rFonts w:ascii="Times New Roman" w:hAnsi="Times New Roman" w:cs="Times New Roman"/>
        </w:rPr>
        <w:t xml:space="preserve"> </w:t>
      </w:r>
      <w:r w:rsidR="006E4374">
        <w:rPr>
          <w:rFonts w:ascii="Times New Roman" w:hAnsi="Times New Roman" w:cs="Times New Roman"/>
        </w:rPr>
        <w:t>days of the acceptance of the Draft Final Report.</w:t>
      </w:r>
      <w:r w:rsidR="002B315F" w:rsidRPr="000E0065">
        <w:rPr>
          <w:rFonts w:ascii="Times New Roman" w:hAnsi="Times New Roman" w:cs="Times New Roman"/>
        </w:rPr>
        <w:t xml:space="preserve"> </w:t>
      </w:r>
      <w:r w:rsidR="00D67B05" w:rsidRPr="00D67B05">
        <w:rPr>
          <w:rFonts w:ascii="Times New Roman" w:hAnsi="Times New Roman" w:cs="Times New Roman"/>
        </w:rPr>
        <w:t xml:space="preserve"> </w:t>
      </w:r>
      <w:r w:rsidR="00E60746">
        <w:rPr>
          <w:rFonts w:ascii="Times New Roman" w:hAnsi="Times New Roman" w:cs="Times New Roman"/>
        </w:rPr>
        <w:t>An</w:t>
      </w:r>
      <w:r w:rsidR="00D67B05">
        <w:rPr>
          <w:rFonts w:ascii="Times New Roman" w:hAnsi="Times New Roman" w:cs="Times New Roman"/>
        </w:rPr>
        <w:t xml:space="preserve"> electronic format should be submitted to CDB.</w:t>
      </w:r>
    </w:p>
    <w:p w14:paraId="7F8389C6" w14:textId="712663E0" w:rsidR="00D27313" w:rsidRPr="006B2873" w:rsidRDefault="00D67B05" w:rsidP="006B2873">
      <w:pPr>
        <w:spacing w:after="0" w:line="240" w:lineRule="auto"/>
        <w:jc w:val="both"/>
        <w:rPr>
          <w:rFonts w:ascii="Times New Roman" w:hAnsi="Times New Roman" w:cs="Times New Roman"/>
        </w:rPr>
      </w:pPr>
      <w:r w:rsidRPr="006B2873">
        <w:rPr>
          <w:rFonts w:ascii="Times New Roman" w:hAnsi="Times New Roman" w:cs="Times New Roman"/>
        </w:rPr>
        <w:t xml:space="preserve"> </w:t>
      </w:r>
    </w:p>
    <w:p w14:paraId="7B556904" w14:textId="060461BE" w:rsidR="00D67B05" w:rsidRDefault="00D27313" w:rsidP="00AD1B2B">
      <w:pPr>
        <w:pStyle w:val="ListParagraph"/>
        <w:numPr>
          <w:ilvl w:val="0"/>
          <w:numId w:val="4"/>
        </w:numPr>
        <w:spacing w:after="0" w:line="240" w:lineRule="auto"/>
        <w:ind w:left="1440" w:hanging="720"/>
        <w:jc w:val="both"/>
        <w:rPr>
          <w:rFonts w:ascii="Times New Roman" w:hAnsi="Times New Roman" w:cs="Times New Roman"/>
        </w:rPr>
      </w:pPr>
      <w:r>
        <w:rPr>
          <w:rFonts w:ascii="Times New Roman" w:hAnsi="Times New Roman" w:cs="Times New Roman"/>
        </w:rPr>
        <w:t>PowerPoint: suitable for presenting the evaluation and its findings and recommendations to stakeholders.</w:t>
      </w:r>
      <w:r w:rsidR="00D67B05">
        <w:rPr>
          <w:rFonts w:ascii="Times New Roman" w:hAnsi="Times New Roman" w:cs="Times New Roman"/>
        </w:rPr>
        <w:t xml:space="preserve">   </w:t>
      </w:r>
      <w:r w:rsidR="00D67B05" w:rsidRPr="009F217B">
        <w:rPr>
          <w:rFonts w:ascii="Times New Roman" w:hAnsi="Times New Roman" w:cs="Times New Roman"/>
        </w:rPr>
        <w:t xml:space="preserve"> </w:t>
      </w:r>
    </w:p>
    <w:p w14:paraId="16AAADA6" w14:textId="77777777" w:rsidR="002B315F" w:rsidRDefault="002B315F" w:rsidP="00CF4C82">
      <w:pPr>
        <w:pStyle w:val="ListParagraph"/>
        <w:spacing w:after="0" w:line="240" w:lineRule="auto"/>
        <w:ind w:left="1440"/>
        <w:jc w:val="both"/>
        <w:rPr>
          <w:rFonts w:ascii="Times New Roman" w:hAnsi="Times New Roman" w:cs="Times New Roman"/>
        </w:rPr>
      </w:pPr>
    </w:p>
    <w:p w14:paraId="6F8E6199" w14:textId="77777777" w:rsidR="00513CA7" w:rsidRDefault="00513CA7" w:rsidP="00962713">
      <w:pPr>
        <w:spacing w:after="0" w:line="240" w:lineRule="auto"/>
        <w:jc w:val="both"/>
        <w:rPr>
          <w:rFonts w:ascii="Times New Roman" w:hAnsi="Times New Roman" w:cs="Times New Roman"/>
        </w:rPr>
      </w:pPr>
    </w:p>
    <w:p w14:paraId="444316DA" w14:textId="218E938C" w:rsidR="00513CA7" w:rsidRDefault="00471659" w:rsidP="001F74CD">
      <w:pPr>
        <w:pStyle w:val="ListParagraph"/>
        <w:widowControl w:val="0"/>
        <w:numPr>
          <w:ilvl w:val="0"/>
          <w:numId w:val="18"/>
        </w:numPr>
        <w:autoSpaceDE w:val="0"/>
        <w:autoSpaceDN w:val="0"/>
        <w:adjustRightInd w:val="0"/>
        <w:spacing w:after="0" w:line="240" w:lineRule="auto"/>
        <w:rPr>
          <w:rFonts w:ascii="Times New Roman" w:hAnsi="Times New Roman" w:cs="Times New Roman"/>
          <w:b/>
          <w:bCs/>
          <w:u w:val="single"/>
        </w:rPr>
      </w:pPr>
      <w:r w:rsidRPr="006B2873">
        <w:rPr>
          <w:rFonts w:ascii="Times New Roman" w:hAnsi="Times New Roman" w:cs="Times New Roman"/>
          <w:b/>
          <w:bCs/>
          <w:u w:val="single"/>
        </w:rPr>
        <w:t>WORK PLAN AND SCHEDULE</w:t>
      </w:r>
    </w:p>
    <w:p w14:paraId="49C8F768" w14:textId="611DC4F2" w:rsidR="0094742C" w:rsidRDefault="0094742C" w:rsidP="0094742C">
      <w:pPr>
        <w:widowControl w:val="0"/>
        <w:autoSpaceDE w:val="0"/>
        <w:autoSpaceDN w:val="0"/>
        <w:adjustRightInd w:val="0"/>
        <w:spacing w:after="0" w:line="240" w:lineRule="auto"/>
        <w:rPr>
          <w:rFonts w:ascii="Times New Roman" w:hAnsi="Times New Roman" w:cs="Times New Roman"/>
          <w:b/>
          <w:bCs/>
          <w:u w:val="single"/>
        </w:rPr>
      </w:pPr>
    </w:p>
    <w:p w14:paraId="4E1964DC" w14:textId="334C2653" w:rsidR="0094742C" w:rsidRPr="00C93378" w:rsidRDefault="0094742C" w:rsidP="00C93378">
      <w:pPr>
        <w:pStyle w:val="ListParagraph"/>
        <w:widowControl w:val="0"/>
        <w:numPr>
          <w:ilvl w:val="0"/>
          <w:numId w:val="35"/>
        </w:numPr>
        <w:autoSpaceDE w:val="0"/>
        <w:autoSpaceDN w:val="0"/>
        <w:adjustRightInd w:val="0"/>
        <w:spacing w:after="0" w:line="240" w:lineRule="auto"/>
        <w:rPr>
          <w:rFonts w:ascii="Times New Roman" w:hAnsi="Times New Roman" w:cs="Times New Roman"/>
        </w:rPr>
      </w:pPr>
      <w:r w:rsidRPr="00C93378">
        <w:rPr>
          <w:rFonts w:ascii="Times New Roman" w:hAnsi="Times New Roman" w:cs="Times New Roman"/>
        </w:rPr>
        <w:t xml:space="preserve">Contract signature – December </w:t>
      </w:r>
      <w:r w:rsidR="005D636E">
        <w:rPr>
          <w:rFonts w:ascii="Times New Roman" w:hAnsi="Times New Roman" w:cs="Times New Roman"/>
        </w:rPr>
        <w:t>15</w:t>
      </w:r>
    </w:p>
    <w:p w14:paraId="21A74328" w14:textId="7673FFB2" w:rsidR="0094742C" w:rsidRPr="00C93378" w:rsidRDefault="0094742C" w:rsidP="00C93378">
      <w:pPr>
        <w:pStyle w:val="ListParagraph"/>
        <w:widowControl w:val="0"/>
        <w:numPr>
          <w:ilvl w:val="0"/>
          <w:numId w:val="35"/>
        </w:numPr>
        <w:autoSpaceDE w:val="0"/>
        <w:autoSpaceDN w:val="0"/>
        <w:adjustRightInd w:val="0"/>
        <w:spacing w:after="0" w:line="240" w:lineRule="auto"/>
        <w:rPr>
          <w:rFonts w:ascii="Times New Roman" w:hAnsi="Times New Roman" w:cs="Times New Roman"/>
        </w:rPr>
      </w:pPr>
      <w:r w:rsidRPr="00C93378">
        <w:rPr>
          <w:rFonts w:ascii="Times New Roman" w:hAnsi="Times New Roman" w:cs="Times New Roman"/>
        </w:rPr>
        <w:t>Inception report – January 30</w:t>
      </w:r>
    </w:p>
    <w:p w14:paraId="5B253CD5" w14:textId="48A88EBC" w:rsidR="0094742C" w:rsidRPr="00C93378" w:rsidRDefault="0094742C" w:rsidP="00C93378">
      <w:pPr>
        <w:pStyle w:val="ListParagraph"/>
        <w:widowControl w:val="0"/>
        <w:numPr>
          <w:ilvl w:val="0"/>
          <w:numId w:val="35"/>
        </w:numPr>
        <w:autoSpaceDE w:val="0"/>
        <w:autoSpaceDN w:val="0"/>
        <w:adjustRightInd w:val="0"/>
        <w:spacing w:after="0" w:line="240" w:lineRule="auto"/>
        <w:rPr>
          <w:rFonts w:ascii="Times New Roman" w:hAnsi="Times New Roman" w:cs="Times New Roman"/>
        </w:rPr>
      </w:pPr>
      <w:r w:rsidRPr="00C93378">
        <w:rPr>
          <w:rFonts w:ascii="Times New Roman" w:hAnsi="Times New Roman" w:cs="Times New Roman"/>
        </w:rPr>
        <w:t>Data gathering and possible field mission – February/March</w:t>
      </w:r>
    </w:p>
    <w:p w14:paraId="05788AE8" w14:textId="3DCBCB35" w:rsidR="0094742C" w:rsidRPr="00C93378" w:rsidRDefault="0094742C" w:rsidP="00C93378">
      <w:pPr>
        <w:pStyle w:val="ListParagraph"/>
        <w:widowControl w:val="0"/>
        <w:numPr>
          <w:ilvl w:val="0"/>
          <w:numId w:val="35"/>
        </w:numPr>
        <w:autoSpaceDE w:val="0"/>
        <w:autoSpaceDN w:val="0"/>
        <w:adjustRightInd w:val="0"/>
        <w:spacing w:after="0" w:line="240" w:lineRule="auto"/>
        <w:rPr>
          <w:rFonts w:ascii="Times New Roman" w:hAnsi="Times New Roman" w:cs="Times New Roman"/>
        </w:rPr>
      </w:pPr>
      <w:r w:rsidRPr="00C93378">
        <w:rPr>
          <w:rFonts w:ascii="Times New Roman" w:hAnsi="Times New Roman" w:cs="Times New Roman"/>
        </w:rPr>
        <w:t xml:space="preserve">Data analysis and draft findings report – April </w:t>
      </w:r>
    </w:p>
    <w:p w14:paraId="4E3F9854" w14:textId="682A6D07" w:rsidR="0094742C" w:rsidRPr="00C93378" w:rsidRDefault="0094742C" w:rsidP="00C93378">
      <w:pPr>
        <w:pStyle w:val="ListParagraph"/>
        <w:widowControl w:val="0"/>
        <w:numPr>
          <w:ilvl w:val="0"/>
          <w:numId w:val="35"/>
        </w:numPr>
        <w:autoSpaceDE w:val="0"/>
        <w:autoSpaceDN w:val="0"/>
        <w:adjustRightInd w:val="0"/>
        <w:spacing w:after="0" w:line="240" w:lineRule="auto"/>
        <w:rPr>
          <w:rFonts w:ascii="Times New Roman" w:hAnsi="Times New Roman" w:cs="Times New Roman"/>
        </w:rPr>
      </w:pPr>
      <w:r w:rsidRPr="00C93378">
        <w:rPr>
          <w:rFonts w:ascii="Times New Roman" w:hAnsi="Times New Roman" w:cs="Times New Roman"/>
        </w:rPr>
        <w:t>Draft final report – May</w:t>
      </w:r>
    </w:p>
    <w:p w14:paraId="7D4D41CE" w14:textId="7BD85141" w:rsidR="0094742C" w:rsidRPr="00C93378" w:rsidRDefault="0094742C" w:rsidP="00C93378">
      <w:pPr>
        <w:pStyle w:val="ListParagraph"/>
        <w:widowControl w:val="0"/>
        <w:numPr>
          <w:ilvl w:val="0"/>
          <w:numId w:val="35"/>
        </w:numPr>
        <w:autoSpaceDE w:val="0"/>
        <w:autoSpaceDN w:val="0"/>
        <w:adjustRightInd w:val="0"/>
        <w:spacing w:after="0" w:line="240" w:lineRule="auto"/>
        <w:rPr>
          <w:rFonts w:ascii="Times New Roman" w:hAnsi="Times New Roman" w:cs="Times New Roman"/>
        </w:rPr>
      </w:pPr>
      <w:r w:rsidRPr="00C93378">
        <w:rPr>
          <w:rFonts w:ascii="Times New Roman" w:hAnsi="Times New Roman" w:cs="Times New Roman"/>
        </w:rPr>
        <w:t>Final report and PP presentation – June 15</w:t>
      </w:r>
    </w:p>
    <w:p w14:paraId="6C8FC950" w14:textId="77777777" w:rsidR="001F74CD" w:rsidRPr="006B2873" w:rsidRDefault="001F74CD">
      <w:pPr>
        <w:widowControl w:val="0"/>
        <w:autoSpaceDE w:val="0"/>
        <w:autoSpaceDN w:val="0"/>
        <w:adjustRightInd w:val="0"/>
        <w:spacing w:after="0" w:line="240" w:lineRule="auto"/>
        <w:rPr>
          <w:rFonts w:ascii="Times New Roman" w:hAnsi="Times New Roman" w:cs="Times New Roman"/>
          <w:b/>
          <w:bCs/>
          <w:u w:val="single"/>
        </w:rPr>
      </w:pPr>
    </w:p>
    <w:p w14:paraId="714B49C1" w14:textId="78DDCF2B" w:rsidR="001F74CD" w:rsidRPr="006B2873" w:rsidRDefault="001F74CD" w:rsidP="006B2873">
      <w:pPr>
        <w:pStyle w:val="ListParagraph"/>
        <w:widowControl w:val="0"/>
        <w:numPr>
          <w:ilvl w:val="0"/>
          <w:numId w:val="18"/>
        </w:numPr>
        <w:autoSpaceDE w:val="0"/>
        <w:autoSpaceDN w:val="0"/>
        <w:adjustRightInd w:val="0"/>
        <w:spacing w:after="0" w:line="240" w:lineRule="auto"/>
        <w:rPr>
          <w:rFonts w:ascii="Times New Roman" w:hAnsi="Times New Roman" w:cs="Times New Roman"/>
          <w:b/>
          <w:bCs/>
          <w:u w:val="single"/>
        </w:rPr>
      </w:pPr>
      <w:r>
        <w:rPr>
          <w:rFonts w:ascii="Times New Roman" w:hAnsi="Times New Roman" w:cs="Times New Roman"/>
          <w:b/>
          <w:bCs/>
          <w:u w:val="single"/>
        </w:rPr>
        <w:t>EXPECTED LEVEL OF EFFORT</w:t>
      </w:r>
    </w:p>
    <w:p w14:paraId="5CD0952A" w14:textId="77777777" w:rsidR="00B3190F" w:rsidRDefault="00B3190F" w:rsidP="009948E8">
      <w:pPr>
        <w:widowControl w:val="0"/>
        <w:autoSpaceDE w:val="0"/>
        <w:autoSpaceDN w:val="0"/>
        <w:adjustRightInd w:val="0"/>
        <w:spacing w:after="0" w:line="240" w:lineRule="auto"/>
        <w:rPr>
          <w:rFonts w:ascii="Times New Roman" w:hAnsi="Times New Roman" w:cs="Times New Roman"/>
        </w:rPr>
      </w:pPr>
    </w:p>
    <w:p w14:paraId="22A8C06B" w14:textId="77777777" w:rsidR="00184439" w:rsidRDefault="0094742C" w:rsidP="0066161D">
      <w:pPr>
        <w:jc w:val="both"/>
        <w:rPr>
          <w:rFonts w:ascii="Times New Roman" w:hAnsi="Times New Roman" w:cs="Times New Roman"/>
        </w:rPr>
        <w:sectPr w:rsidR="00184439" w:rsidSect="00794F6E">
          <w:pgSz w:w="12240" w:h="15840" w:code="1"/>
          <w:pgMar w:top="1440" w:right="1440" w:bottom="1440" w:left="1440" w:header="708" w:footer="708" w:gutter="0"/>
          <w:cols w:space="708"/>
          <w:docGrid w:linePitch="360"/>
        </w:sectPr>
      </w:pPr>
      <w:r>
        <w:rPr>
          <w:rFonts w:ascii="Times New Roman" w:hAnsi="Times New Roman" w:cs="Times New Roman"/>
        </w:rPr>
        <w:t xml:space="preserve">Proposing firms will be expected to specify a level of effort that deals adequately with the scope and lines of enquiry of this evaluation, providing good value for money.  Based on </w:t>
      </w:r>
      <w:proofErr w:type="gramStart"/>
      <w:r>
        <w:rPr>
          <w:rFonts w:ascii="Times New Roman" w:hAnsi="Times New Roman" w:cs="Times New Roman"/>
        </w:rPr>
        <w:t>past experience</w:t>
      </w:r>
      <w:proofErr w:type="gramEnd"/>
      <w:r>
        <w:rPr>
          <w:rFonts w:ascii="Times New Roman" w:hAnsi="Times New Roman" w:cs="Times New Roman"/>
        </w:rPr>
        <w:t xml:space="preserve"> OIE would not expect this assignment to require more than 1</w:t>
      </w:r>
      <w:r w:rsidR="004F6B80">
        <w:rPr>
          <w:rFonts w:ascii="Times New Roman" w:hAnsi="Times New Roman" w:cs="Times New Roman"/>
        </w:rPr>
        <w:t>1</w:t>
      </w:r>
      <w:r>
        <w:rPr>
          <w:rFonts w:ascii="Times New Roman" w:hAnsi="Times New Roman" w:cs="Times New Roman"/>
        </w:rPr>
        <w:t>0 days of consultant effort.</w:t>
      </w:r>
    </w:p>
    <w:p w14:paraId="172DA3D9" w14:textId="7E348CF5" w:rsidR="006C33B1" w:rsidRPr="005A21BB" w:rsidRDefault="006C33B1" w:rsidP="005A21BB">
      <w:pPr>
        <w:jc w:val="center"/>
        <w:rPr>
          <w:rFonts w:ascii="Times New Roman" w:hAnsi="Times New Roman" w:cs="Times New Roman"/>
          <w:b/>
          <w:u w:val="single"/>
        </w:rPr>
      </w:pPr>
      <w:r w:rsidRPr="005A21BB">
        <w:rPr>
          <w:rFonts w:ascii="Times New Roman" w:hAnsi="Times New Roman" w:cs="Times New Roman"/>
          <w:b/>
          <w:u w:val="single"/>
        </w:rPr>
        <w:lastRenderedPageBreak/>
        <w:t xml:space="preserve">PROJECT </w:t>
      </w:r>
      <w:r w:rsidR="00F32AE1">
        <w:rPr>
          <w:rFonts w:ascii="Times New Roman" w:hAnsi="Times New Roman" w:cs="Times New Roman"/>
          <w:b/>
          <w:u w:val="single"/>
        </w:rPr>
        <w:t>BRIEF</w:t>
      </w:r>
    </w:p>
    <w:p w14:paraId="4CF37F58" w14:textId="77777777" w:rsidR="006C33B1" w:rsidRDefault="00960D00" w:rsidP="006C33B1">
      <w:pPr>
        <w:widowControl w:val="0"/>
        <w:autoSpaceDE w:val="0"/>
        <w:autoSpaceDN w:val="0"/>
        <w:adjustRightInd w:val="0"/>
        <w:spacing w:after="0" w:line="240" w:lineRule="auto"/>
        <w:ind w:right="418"/>
        <w:jc w:val="both"/>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sidRPr="00960D00">
        <w:rPr>
          <w:rFonts w:ascii="Times New Roman" w:hAnsi="Times New Roman" w:cs="Times New Roman"/>
          <w:b/>
          <w:u w:val="single"/>
        </w:rPr>
        <w:t>BACKGROUND</w:t>
      </w:r>
    </w:p>
    <w:p w14:paraId="34691FB2" w14:textId="77777777" w:rsidR="00960D00" w:rsidRPr="00223439" w:rsidRDefault="00960D00" w:rsidP="006C33B1">
      <w:pPr>
        <w:widowControl w:val="0"/>
        <w:autoSpaceDE w:val="0"/>
        <w:autoSpaceDN w:val="0"/>
        <w:adjustRightInd w:val="0"/>
        <w:spacing w:after="0" w:line="240" w:lineRule="auto"/>
        <w:ind w:right="418"/>
        <w:jc w:val="both"/>
        <w:rPr>
          <w:rFonts w:ascii="Times New Roman" w:hAnsi="Times New Roman" w:cs="Times New Roman"/>
          <w:b/>
        </w:rPr>
      </w:pPr>
    </w:p>
    <w:p w14:paraId="1A4D0378" w14:textId="0CB98731" w:rsidR="002A110D" w:rsidRDefault="002A110D" w:rsidP="002A110D">
      <w:pPr>
        <w:ind w:right="-126"/>
        <w:jc w:val="both"/>
        <w:rPr>
          <w:rFonts w:ascii="Times New Roman" w:eastAsia="Calibri" w:hAnsi="Times New Roman"/>
          <w:color w:val="000000" w:themeColor="text1"/>
        </w:rPr>
      </w:pPr>
      <w:r>
        <w:rPr>
          <w:rFonts w:ascii="Times New Roman" w:eastAsia="Calibri" w:hAnsi="Times New Roman"/>
          <w:color w:val="000000" w:themeColor="text1"/>
        </w:rPr>
        <w:t>1</w:t>
      </w:r>
      <w:r w:rsidRPr="008A4FA0">
        <w:rPr>
          <w:rFonts w:ascii="Times New Roman" w:eastAsia="Calibri" w:hAnsi="Times New Roman"/>
          <w:color w:val="000000" w:themeColor="text1"/>
        </w:rPr>
        <w:t>.01</w:t>
      </w:r>
      <w:r w:rsidRPr="008A4FA0">
        <w:rPr>
          <w:rFonts w:ascii="Times New Roman" w:eastAsia="Calibri" w:hAnsi="Times New Roman"/>
          <w:color w:val="000000" w:themeColor="text1"/>
        </w:rPr>
        <w:tab/>
        <w:t xml:space="preserve">The </w:t>
      </w:r>
      <w:r w:rsidRPr="008C19A5">
        <w:rPr>
          <w:rFonts w:ascii="Times New Roman" w:eastAsia="Calibri" w:hAnsi="Times New Roman"/>
          <w:color w:val="000000" w:themeColor="text1"/>
        </w:rPr>
        <w:t>Community Disaster Risk Reduction Fund (CDRRF)</w:t>
      </w:r>
      <w:r w:rsidRPr="008A4FA0">
        <w:rPr>
          <w:rFonts w:ascii="Times New Roman" w:eastAsia="Calibri" w:hAnsi="Times New Roman"/>
          <w:color w:val="000000" w:themeColor="text1"/>
        </w:rPr>
        <w:t xml:space="preserve"> </w:t>
      </w:r>
      <w:r>
        <w:rPr>
          <w:rFonts w:ascii="Times New Roman" w:eastAsia="Calibri" w:hAnsi="Times New Roman"/>
          <w:color w:val="000000" w:themeColor="text1"/>
        </w:rPr>
        <w:t xml:space="preserve">was </w:t>
      </w:r>
      <w:r w:rsidRPr="008A4FA0">
        <w:rPr>
          <w:rFonts w:ascii="Times New Roman" w:eastAsia="Calibri" w:hAnsi="Times New Roman"/>
          <w:color w:val="000000" w:themeColor="text1"/>
        </w:rPr>
        <w:t xml:space="preserve">established by the Caribbean </w:t>
      </w:r>
      <w:r w:rsidRPr="00794BC5">
        <w:rPr>
          <w:rFonts w:ascii="Times New Roman" w:eastAsia="Calibri" w:hAnsi="Times New Roman"/>
          <w:color w:val="000000" w:themeColor="text1"/>
        </w:rPr>
        <w:t>Development Bank (CDB) in March 2012 with resources being provided by the Government of Canada acting through its Department of Foreign Affairs, Trade and Development</w:t>
      </w:r>
      <w:r>
        <w:rPr>
          <w:rFonts w:ascii="Times New Roman" w:eastAsia="Calibri" w:hAnsi="Times New Roman"/>
          <w:color w:val="000000" w:themeColor="text1"/>
        </w:rPr>
        <w:t xml:space="preserve"> (DFATD)</w:t>
      </w:r>
      <w:r w:rsidRPr="008A4FA0">
        <w:rPr>
          <w:rFonts w:ascii="Times New Roman" w:eastAsia="Calibri" w:hAnsi="Times New Roman"/>
          <w:color w:val="000000" w:themeColor="text1"/>
        </w:rPr>
        <w:t xml:space="preserve">.  The Trust Fund Administrative Agreement was amended </w:t>
      </w:r>
      <w:r>
        <w:rPr>
          <w:rFonts w:ascii="Times New Roman" w:eastAsia="Calibri" w:hAnsi="Times New Roman"/>
          <w:color w:val="000000" w:themeColor="text1"/>
        </w:rPr>
        <w:t xml:space="preserve">in December 2012 </w:t>
      </w:r>
      <w:r w:rsidRPr="008A4FA0">
        <w:rPr>
          <w:rFonts w:ascii="Times New Roman" w:eastAsia="Calibri" w:hAnsi="Times New Roman"/>
          <w:color w:val="000000" w:themeColor="text1"/>
        </w:rPr>
        <w:t xml:space="preserve">to facilitate operations as a multi-donor trust fund </w:t>
      </w:r>
      <w:r>
        <w:rPr>
          <w:rFonts w:ascii="Times New Roman" w:eastAsia="Calibri" w:hAnsi="Times New Roman"/>
          <w:color w:val="000000" w:themeColor="text1"/>
        </w:rPr>
        <w:t xml:space="preserve">to allow </w:t>
      </w:r>
      <w:r w:rsidRPr="008A4FA0">
        <w:rPr>
          <w:rFonts w:ascii="Times New Roman" w:eastAsia="Calibri" w:hAnsi="Times New Roman"/>
          <w:color w:val="000000" w:themeColor="text1"/>
        </w:rPr>
        <w:t>other bilateral donor</w:t>
      </w:r>
      <w:r>
        <w:rPr>
          <w:rFonts w:ascii="Times New Roman" w:eastAsia="Calibri" w:hAnsi="Times New Roman"/>
          <w:color w:val="000000" w:themeColor="text1"/>
        </w:rPr>
        <w:t>s</w:t>
      </w:r>
      <w:r w:rsidRPr="008A4FA0">
        <w:rPr>
          <w:rFonts w:ascii="Times New Roman" w:eastAsia="Calibri" w:hAnsi="Times New Roman"/>
          <w:color w:val="000000" w:themeColor="text1"/>
        </w:rPr>
        <w:t xml:space="preserve"> </w:t>
      </w:r>
      <w:r>
        <w:rPr>
          <w:rFonts w:ascii="Times New Roman" w:eastAsia="Calibri" w:hAnsi="Times New Roman"/>
          <w:color w:val="000000" w:themeColor="text1"/>
        </w:rPr>
        <w:t xml:space="preserve">to </w:t>
      </w:r>
      <w:r w:rsidRPr="008A4FA0">
        <w:rPr>
          <w:rFonts w:ascii="Times New Roman" w:eastAsia="Calibri" w:hAnsi="Times New Roman"/>
          <w:color w:val="000000" w:themeColor="text1"/>
        </w:rPr>
        <w:t xml:space="preserve">join and contribute to the </w:t>
      </w:r>
      <w:r>
        <w:rPr>
          <w:rFonts w:ascii="Times New Roman" w:eastAsia="Calibri" w:hAnsi="Times New Roman"/>
          <w:color w:val="000000" w:themeColor="text1"/>
        </w:rPr>
        <w:t>project</w:t>
      </w:r>
      <w:r w:rsidRPr="008A4FA0">
        <w:rPr>
          <w:rFonts w:ascii="Times New Roman" w:eastAsia="Calibri" w:hAnsi="Times New Roman"/>
          <w:color w:val="000000" w:themeColor="text1"/>
        </w:rPr>
        <w:t xml:space="preserve">.  Following the change, </w:t>
      </w:r>
      <w:r>
        <w:rPr>
          <w:rFonts w:ascii="Times New Roman" w:eastAsia="Calibri" w:hAnsi="Times New Roman"/>
          <w:color w:val="000000" w:themeColor="text1"/>
        </w:rPr>
        <w:t xml:space="preserve">in December 2012, </w:t>
      </w:r>
      <w:r w:rsidRPr="008A4FA0">
        <w:rPr>
          <w:rFonts w:ascii="Times New Roman" w:eastAsia="Calibri" w:hAnsi="Times New Roman"/>
          <w:color w:val="000000" w:themeColor="text1"/>
        </w:rPr>
        <w:t xml:space="preserve">the Government of the United Kingdom of Great Britain and Northern </w:t>
      </w:r>
      <w:r>
        <w:rPr>
          <w:rFonts w:ascii="Times New Roman" w:eastAsia="Calibri" w:hAnsi="Times New Roman"/>
          <w:color w:val="000000" w:themeColor="text1"/>
        </w:rPr>
        <w:t>Ireland</w:t>
      </w:r>
      <w:r w:rsidRPr="008A4FA0">
        <w:rPr>
          <w:rFonts w:ascii="Times New Roman" w:eastAsia="Calibri" w:hAnsi="Times New Roman"/>
          <w:color w:val="000000" w:themeColor="text1"/>
        </w:rPr>
        <w:t xml:space="preserve"> </w:t>
      </w:r>
      <w:r w:rsidRPr="00794BC5">
        <w:rPr>
          <w:rFonts w:ascii="Times New Roman" w:eastAsia="Calibri" w:hAnsi="Times New Roman"/>
          <w:color w:val="000000" w:themeColor="text1"/>
        </w:rPr>
        <w:t>acting through its Department for International Development (DFID), joined</w:t>
      </w:r>
      <w:r>
        <w:rPr>
          <w:rFonts w:ascii="Times New Roman" w:eastAsia="Calibri" w:hAnsi="Times New Roman"/>
          <w:color w:val="000000" w:themeColor="text1"/>
        </w:rPr>
        <w:t xml:space="preserve"> CDRRF as a donor.</w:t>
      </w:r>
      <w:r w:rsidRPr="006A636A">
        <w:rPr>
          <w:rFonts w:ascii="Times New Roman" w:eastAsia="Calibri" w:hAnsi="Times New Roman"/>
          <w:color w:val="000000" w:themeColor="text1"/>
        </w:rPr>
        <w:t xml:space="preserve">   </w:t>
      </w:r>
      <w:r>
        <w:rPr>
          <w:rFonts w:ascii="Times New Roman" w:eastAsia="Calibri" w:hAnsi="Times New Roman"/>
          <w:color w:val="000000" w:themeColor="text1"/>
        </w:rPr>
        <w:t xml:space="preserve">The European Union’s (EU) funding for the CDRRF was subsequently provided in July 2014 </w:t>
      </w:r>
      <w:r w:rsidRPr="006A636A">
        <w:rPr>
          <w:rFonts w:ascii="Times New Roman" w:eastAsia="Calibri" w:hAnsi="Times New Roman"/>
          <w:color w:val="000000" w:themeColor="text1"/>
        </w:rPr>
        <w:t xml:space="preserve">via </w:t>
      </w:r>
      <w:r>
        <w:rPr>
          <w:rFonts w:ascii="Times New Roman" w:eastAsia="Calibri" w:hAnsi="Times New Roman"/>
          <w:color w:val="000000" w:themeColor="text1"/>
        </w:rPr>
        <w:t xml:space="preserve">the </w:t>
      </w:r>
      <w:r w:rsidRPr="006A636A">
        <w:rPr>
          <w:rFonts w:ascii="Times New Roman" w:eastAsia="Calibri" w:hAnsi="Times New Roman"/>
          <w:color w:val="000000" w:themeColor="text1"/>
        </w:rPr>
        <w:t>African Caribbean Pacific</w:t>
      </w:r>
      <w:r>
        <w:rPr>
          <w:rFonts w:ascii="Times New Roman" w:eastAsia="Calibri" w:hAnsi="Times New Roman"/>
          <w:color w:val="000000" w:themeColor="text1"/>
        </w:rPr>
        <w:t xml:space="preserve"> (ACP) </w:t>
      </w:r>
      <w:r w:rsidRPr="006A636A">
        <w:rPr>
          <w:rFonts w:ascii="Times New Roman" w:eastAsia="Calibri" w:hAnsi="Times New Roman"/>
          <w:color w:val="000000" w:themeColor="text1"/>
        </w:rPr>
        <w:t xml:space="preserve">– </w:t>
      </w:r>
      <w:r>
        <w:rPr>
          <w:rFonts w:ascii="Times New Roman" w:eastAsia="Calibri" w:hAnsi="Times New Roman"/>
          <w:color w:val="000000" w:themeColor="text1"/>
        </w:rPr>
        <w:t>EU/CDB</w:t>
      </w:r>
      <w:r w:rsidRPr="006A636A">
        <w:rPr>
          <w:rFonts w:ascii="Times New Roman" w:eastAsia="Calibri" w:hAnsi="Times New Roman"/>
          <w:color w:val="000000" w:themeColor="text1"/>
        </w:rPr>
        <w:t xml:space="preserve"> (ACP-EU</w:t>
      </w:r>
      <w:r>
        <w:rPr>
          <w:rFonts w:ascii="Times New Roman" w:eastAsia="Calibri" w:hAnsi="Times New Roman"/>
          <w:color w:val="000000" w:themeColor="text1"/>
        </w:rPr>
        <w:t>-</w:t>
      </w:r>
      <w:r w:rsidRPr="006A636A">
        <w:rPr>
          <w:rFonts w:ascii="Times New Roman" w:eastAsia="Calibri" w:hAnsi="Times New Roman"/>
          <w:color w:val="000000" w:themeColor="text1"/>
        </w:rPr>
        <w:t xml:space="preserve">CDB) </w:t>
      </w:r>
      <w:r w:rsidRPr="00DA7ED3">
        <w:rPr>
          <w:rFonts w:ascii="Times New Roman" w:eastAsia="Calibri" w:hAnsi="Times New Roman"/>
          <w:color w:val="000000" w:themeColor="text1"/>
        </w:rPr>
        <w:t>Natural Disaster Risk Management (NDRM)</w:t>
      </w:r>
      <w:r w:rsidRPr="006A636A">
        <w:rPr>
          <w:rFonts w:ascii="Times New Roman" w:eastAsia="Calibri" w:hAnsi="Times New Roman"/>
          <w:color w:val="000000" w:themeColor="text1"/>
        </w:rPr>
        <w:t xml:space="preserve"> in CARIFORUM Countries programme</w:t>
      </w:r>
      <w:r>
        <w:rPr>
          <w:rFonts w:ascii="Times New Roman" w:eastAsia="Calibri" w:hAnsi="Times New Roman"/>
          <w:color w:val="000000" w:themeColor="text1"/>
        </w:rPr>
        <w:t xml:space="preserve">. </w:t>
      </w:r>
      <w:r w:rsidRPr="006A636A">
        <w:rPr>
          <w:rFonts w:ascii="Times New Roman" w:eastAsia="Calibri" w:hAnsi="Times New Roman"/>
          <w:color w:val="000000" w:themeColor="text1"/>
        </w:rPr>
        <w:t xml:space="preserve"> </w:t>
      </w:r>
      <w:r>
        <w:rPr>
          <w:rFonts w:ascii="Times New Roman" w:eastAsia="Calibri" w:hAnsi="Times New Roman"/>
          <w:color w:val="000000" w:themeColor="text1"/>
        </w:rPr>
        <w:t xml:space="preserve">  DFID subsequently exited the Fund in 2017</w:t>
      </w:r>
      <w:r w:rsidR="00511FE2">
        <w:rPr>
          <w:rFonts w:ascii="Times New Roman" w:eastAsia="Calibri" w:hAnsi="Times New Roman"/>
          <w:color w:val="000000" w:themeColor="text1"/>
        </w:rPr>
        <w:t>.</w:t>
      </w:r>
    </w:p>
    <w:p w14:paraId="7A4409DC" w14:textId="72D44423" w:rsidR="00511FE2" w:rsidRPr="00892C55" w:rsidRDefault="00511FE2" w:rsidP="00511FE2">
      <w:pPr>
        <w:tabs>
          <w:tab w:val="left" w:pos="720"/>
        </w:tabs>
        <w:spacing w:after="0" w:line="240" w:lineRule="auto"/>
        <w:jc w:val="both"/>
        <w:rPr>
          <w:rFonts w:ascii="Times New Roman" w:hAnsi="Times New Roman" w:cs="Times New Roman"/>
        </w:rPr>
      </w:pPr>
      <w:r w:rsidRPr="00892C55">
        <w:rPr>
          <w:rFonts w:ascii="Times New Roman" w:hAnsi="Times New Roman" w:cs="Times New Roman"/>
        </w:rPr>
        <w:t xml:space="preserve">1.02 The Fund (CDRRF) is a 24 million United States Dollars (USD) programme, to which Canada’s Department of Foreign Affairs, Trade and Development (DFATD), now Global Affairs Canada contributed  twenty million (20mn) Canadian dollars; the United Kingdom’s Department for International </w:t>
      </w:r>
      <w:r w:rsidR="00184439">
        <w:rPr>
          <w:rFonts w:ascii="Times New Roman" w:hAnsi="Times New Roman" w:cs="Times New Roman"/>
        </w:rPr>
        <w:t xml:space="preserve">               </w:t>
      </w:r>
      <w:r w:rsidRPr="00892C55">
        <w:rPr>
          <w:rFonts w:ascii="Times New Roman" w:hAnsi="Times New Roman" w:cs="Times New Roman"/>
        </w:rPr>
        <w:t xml:space="preserve">Development (DFID)  contributed  two million pounds sterling (GBP 2mn) ; and </w:t>
      </w:r>
      <w:r w:rsidRPr="00892C55">
        <w:rPr>
          <w:rFonts w:ascii="Times New Roman" w:eastAsia="Calibri" w:hAnsi="Times New Roman"/>
          <w:color w:val="000000" w:themeColor="text1"/>
        </w:rPr>
        <w:t xml:space="preserve">the </w:t>
      </w:r>
      <w:r w:rsidRPr="00892C55">
        <w:rPr>
          <w:rFonts w:ascii="Times New Roman" w:hAnsi="Times New Roman" w:cs="Times New Roman"/>
        </w:rPr>
        <w:t>European</w:t>
      </w:r>
      <w:r w:rsidRPr="00892C55">
        <w:rPr>
          <w:rFonts w:ascii="Times New Roman" w:eastAsia="Calibri" w:hAnsi="Times New Roman"/>
          <w:color w:val="000000" w:themeColor="text1"/>
        </w:rPr>
        <w:t xml:space="preserve"> Union (EU) allocated 1.59 million Euros under the African Caribbean Pacific- European Union-Caribbean Development Bank (ACP-EU-CDB) Natural Disaster Risk Management in CARIFORUM Countries programme.</w:t>
      </w:r>
    </w:p>
    <w:p w14:paraId="1F3B340F" w14:textId="77777777" w:rsidR="00511FE2" w:rsidRPr="00892C55" w:rsidRDefault="00511FE2" w:rsidP="00511FE2">
      <w:pPr>
        <w:tabs>
          <w:tab w:val="left" w:pos="720"/>
        </w:tabs>
        <w:spacing w:after="0" w:line="240" w:lineRule="auto"/>
        <w:jc w:val="both"/>
        <w:rPr>
          <w:rFonts w:ascii="Times New Roman" w:hAnsi="Times New Roman" w:cs="Times New Roman"/>
        </w:rPr>
      </w:pPr>
    </w:p>
    <w:p w14:paraId="338BF2D7" w14:textId="3950205C" w:rsidR="00511FE2" w:rsidRPr="00892C55" w:rsidRDefault="00511FE2" w:rsidP="00511FE2">
      <w:pPr>
        <w:spacing w:after="0" w:line="240" w:lineRule="auto"/>
        <w:jc w:val="both"/>
        <w:rPr>
          <w:rFonts w:ascii="Times New Roman" w:eastAsia="Calibri" w:hAnsi="Times New Roman"/>
          <w:color w:val="000000" w:themeColor="text1"/>
        </w:rPr>
      </w:pPr>
      <w:r w:rsidRPr="00892C55">
        <w:rPr>
          <w:rFonts w:ascii="Times New Roman" w:hAnsi="Times New Roman" w:cs="Times New Roman"/>
        </w:rPr>
        <w:t>1.03 The purpose of the Fund is to finance, by non-reimbursable resources, disaster risk reduction (DRR) and climate change adaptation (CCA) initiatives at the community level across CDB Borrowing Member Countries (BMCs) with the exception of Haiti.</w:t>
      </w:r>
      <w:r w:rsidRPr="00892C55">
        <w:rPr>
          <w:rFonts w:ascii="Times New Roman" w:hAnsi="Times New Roman" w:cs="Times New Roman"/>
          <w:vertAlign w:val="superscript"/>
        </w:rPr>
        <w:footnoteReference w:id="2"/>
      </w:r>
      <w:r w:rsidRPr="00892C55">
        <w:rPr>
          <w:rFonts w:ascii="Times New Roman" w:hAnsi="Times New Roman" w:cs="Times New Roman"/>
        </w:rPr>
        <w:t xml:space="preserve">  </w:t>
      </w:r>
      <w:r w:rsidRPr="00892C55">
        <w:rPr>
          <w:rFonts w:ascii="Times New Roman" w:eastAsia="Calibri" w:hAnsi="Times New Roman"/>
          <w:color w:val="000000" w:themeColor="text1"/>
        </w:rPr>
        <w:t xml:space="preserve">CDRRF provides technical assistance and grant funding that ranges from USD400,000 up to a maximum of USD650,000 for gender-responsive community-based sub-projects.   </w:t>
      </w:r>
    </w:p>
    <w:p w14:paraId="3C196162" w14:textId="34B9BF53" w:rsidR="00511FE2" w:rsidRDefault="00511FE2" w:rsidP="00511FE2">
      <w:pPr>
        <w:spacing w:after="0" w:line="240" w:lineRule="auto"/>
        <w:jc w:val="both"/>
        <w:rPr>
          <w:rFonts w:ascii="Times New Roman" w:eastAsia="Calibri" w:hAnsi="Times New Roman"/>
          <w:color w:val="000000" w:themeColor="text1"/>
          <w:highlight w:val="yellow"/>
        </w:rPr>
      </w:pPr>
    </w:p>
    <w:p w14:paraId="781927FA" w14:textId="77777777" w:rsidR="00511FE2" w:rsidRPr="008A4FA0" w:rsidRDefault="00511FE2" w:rsidP="00511FE2">
      <w:pPr>
        <w:spacing w:after="0" w:line="240" w:lineRule="auto"/>
        <w:ind w:left="1440"/>
        <w:jc w:val="both"/>
        <w:rPr>
          <w:rFonts w:ascii="Times New Roman" w:eastAsia="Calibri" w:hAnsi="Times New Roman"/>
          <w:color w:val="000000" w:themeColor="text1"/>
        </w:rPr>
      </w:pPr>
    </w:p>
    <w:p w14:paraId="0C1BCE57" w14:textId="77777777" w:rsidR="002A110D" w:rsidRPr="00223439" w:rsidRDefault="002A110D" w:rsidP="002A110D">
      <w:pPr>
        <w:widowControl w:val="0"/>
        <w:autoSpaceDE w:val="0"/>
        <w:autoSpaceDN w:val="0"/>
        <w:adjustRightInd w:val="0"/>
        <w:spacing w:after="0" w:line="240" w:lineRule="auto"/>
        <w:ind w:firstLine="720"/>
        <w:jc w:val="both"/>
        <w:rPr>
          <w:rFonts w:ascii="Times New Roman" w:hAnsi="Times New Roman" w:cs="Times New Roman"/>
          <w:b/>
        </w:rPr>
      </w:pPr>
      <w:r w:rsidRPr="00223439">
        <w:rPr>
          <w:rFonts w:ascii="Times New Roman" w:hAnsi="Times New Roman" w:cs="Times New Roman"/>
          <w:b/>
        </w:rPr>
        <w:t>Project Proposed Outcomes (Developmental Results)</w:t>
      </w:r>
    </w:p>
    <w:p w14:paraId="21C7AA29" w14:textId="77777777" w:rsidR="002A110D" w:rsidRDefault="002A110D" w:rsidP="002A110D">
      <w:pPr>
        <w:widowControl w:val="0"/>
        <w:autoSpaceDE w:val="0"/>
        <w:autoSpaceDN w:val="0"/>
        <w:adjustRightInd w:val="0"/>
        <w:spacing w:after="0" w:line="240" w:lineRule="auto"/>
        <w:jc w:val="both"/>
        <w:rPr>
          <w:rFonts w:ascii="Times New Roman" w:hAnsi="Times New Roman" w:cs="Times New Roman"/>
        </w:rPr>
      </w:pPr>
    </w:p>
    <w:p w14:paraId="03D7B679" w14:textId="53E178E1" w:rsidR="002A110D" w:rsidRDefault="002A110D" w:rsidP="002A110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511FE2">
        <w:rPr>
          <w:rFonts w:ascii="Times New Roman" w:hAnsi="Times New Roman" w:cs="Times New Roman"/>
        </w:rPr>
        <w:t>6</w:t>
      </w:r>
      <w:r>
        <w:rPr>
          <w:rFonts w:ascii="Times New Roman" w:hAnsi="Times New Roman" w:cs="Times New Roman"/>
        </w:rPr>
        <w:tab/>
      </w:r>
      <w:r w:rsidRPr="00223439">
        <w:rPr>
          <w:rFonts w:ascii="Times New Roman" w:hAnsi="Times New Roman" w:cs="Times New Roman"/>
        </w:rPr>
        <w:t xml:space="preserve">The </w:t>
      </w:r>
      <w:r>
        <w:rPr>
          <w:rFonts w:ascii="Times New Roman" w:hAnsi="Times New Roman" w:cs="Times New Roman"/>
        </w:rPr>
        <w:t>CDRRF was designed</w:t>
      </w:r>
      <w:r w:rsidRPr="00223439">
        <w:rPr>
          <w:rFonts w:ascii="Times New Roman" w:hAnsi="Times New Roman" w:cs="Times New Roman"/>
        </w:rPr>
        <w:t xml:space="preserve"> to achieve intended outcomes in the immediate, intermediate and long term, as outlined in its </w:t>
      </w:r>
      <w:r>
        <w:rPr>
          <w:rFonts w:ascii="Times New Roman" w:hAnsi="Times New Roman" w:cs="Times New Roman"/>
        </w:rPr>
        <w:t>revised (2019) p</w:t>
      </w:r>
      <w:r w:rsidRPr="00223439">
        <w:rPr>
          <w:rFonts w:ascii="Times New Roman" w:hAnsi="Times New Roman" w:cs="Times New Roman"/>
        </w:rPr>
        <w:t>roject’s Performance Measurement Framework (PMF)</w:t>
      </w:r>
      <w:r>
        <w:rPr>
          <w:rFonts w:ascii="Times New Roman" w:hAnsi="Times New Roman" w:cs="Times New Roman"/>
        </w:rPr>
        <w:t>.  These are:</w:t>
      </w:r>
    </w:p>
    <w:p w14:paraId="057FEFB1" w14:textId="77777777" w:rsidR="002A110D" w:rsidRPr="00223439" w:rsidRDefault="002A110D" w:rsidP="002A110D">
      <w:pPr>
        <w:widowControl w:val="0"/>
        <w:autoSpaceDE w:val="0"/>
        <w:autoSpaceDN w:val="0"/>
        <w:adjustRightInd w:val="0"/>
        <w:spacing w:after="0" w:line="240" w:lineRule="auto"/>
        <w:jc w:val="both"/>
        <w:rPr>
          <w:rFonts w:ascii="Times New Roman" w:hAnsi="Times New Roman" w:cs="Times New Roman"/>
        </w:rPr>
      </w:pPr>
    </w:p>
    <w:p w14:paraId="181B0177" w14:textId="77777777" w:rsidR="002A110D" w:rsidRDefault="002A110D" w:rsidP="00AD1B2B">
      <w:pPr>
        <w:pStyle w:val="ListParagraph"/>
        <w:widowControl w:val="0"/>
        <w:numPr>
          <w:ilvl w:val="0"/>
          <w:numId w:val="6"/>
        </w:numPr>
        <w:autoSpaceDE w:val="0"/>
        <w:autoSpaceDN w:val="0"/>
        <w:adjustRightInd w:val="0"/>
        <w:spacing w:after="0" w:line="240" w:lineRule="auto"/>
        <w:ind w:left="1440" w:hanging="720"/>
        <w:jc w:val="both"/>
        <w:rPr>
          <w:rFonts w:ascii="Times New Roman" w:hAnsi="Times New Roman" w:cs="Times New Roman"/>
        </w:rPr>
      </w:pPr>
      <w:r w:rsidRPr="005A21BB">
        <w:rPr>
          <w:rFonts w:ascii="Times New Roman" w:hAnsi="Times New Roman" w:cs="Times New Roman"/>
        </w:rPr>
        <w:t>Ultimate Outcome:</w:t>
      </w:r>
      <w:r w:rsidRPr="00B7124C">
        <w:rPr>
          <w:rFonts w:ascii="Times New Roman" w:hAnsi="Times New Roman" w:cs="Times New Roman"/>
        </w:rPr>
        <w:t xml:space="preserve"> Improved community-based security for men, women</w:t>
      </w:r>
      <w:r>
        <w:rPr>
          <w:rFonts w:ascii="Times New Roman" w:hAnsi="Times New Roman" w:cs="Times New Roman"/>
        </w:rPr>
        <w:t>,</w:t>
      </w:r>
      <w:r w:rsidRPr="00B7124C">
        <w:rPr>
          <w:rFonts w:ascii="Times New Roman" w:hAnsi="Times New Roman" w:cs="Times New Roman"/>
        </w:rPr>
        <w:t xml:space="preserve"> and children across the Caribbean region in the advent of natural disasters and climate change</w:t>
      </w:r>
      <w:r>
        <w:rPr>
          <w:rFonts w:ascii="Times New Roman" w:hAnsi="Times New Roman" w:cs="Times New Roman"/>
        </w:rPr>
        <w:t xml:space="preserve"> (CC)</w:t>
      </w:r>
      <w:r w:rsidRPr="00B7124C">
        <w:rPr>
          <w:rFonts w:ascii="Times New Roman" w:hAnsi="Times New Roman" w:cs="Times New Roman"/>
        </w:rPr>
        <w:t>.</w:t>
      </w:r>
    </w:p>
    <w:p w14:paraId="5F13F37E" w14:textId="77777777" w:rsidR="002A110D" w:rsidRPr="00B7124C" w:rsidRDefault="002A110D" w:rsidP="002A110D">
      <w:pPr>
        <w:pStyle w:val="ListParagraph"/>
        <w:widowControl w:val="0"/>
        <w:autoSpaceDE w:val="0"/>
        <w:autoSpaceDN w:val="0"/>
        <w:adjustRightInd w:val="0"/>
        <w:spacing w:after="0" w:line="240" w:lineRule="auto"/>
        <w:ind w:left="1440"/>
        <w:jc w:val="both"/>
        <w:rPr>
          <w:rFonts w:ascii="Times New Roman" w:hAnsi="Times New Roman" w:cs="Times New Roman"/>
        </w:rPr>
      </w:pPr>
    </w:p>
    <w:p w14:paraId="1B710AA2" w14:textId="77777777" w:rsidR="002A110D" w:rsidRPr="00C04E6F" w:rsidRDefault="002A110D" w:rsidP="00AD1B2B">
      <w:pPr>
        <w:pStyle w:val="ListParagraph"/>
        <w:widowControl w:val="0"/>
        <w:numPr>
          <w:ilvl w:val="0"/>
          <w:numId w:val="6"/>
        </w:numPr>
        <w:autoSpaceDE w:val="0"/>
        <w:autoSpaceDN w:val="0"/>
        <w:adjustRightInd w:val="0"/>
        <w:spacing w:after="0" w:line="240" w:lineRule="auto"/>
        <w:ind w:left="1440" w:hanging="720"/>
        <w:jc w:val="both"/>
        <w:rPr>
          <w:rFonts w:ascii="Times New Roman" w:hAnsi="Times New Roman" w:cs="Times New Roman"/>
          <w:b/>
          <w:bCs/>
        </w:rPr>
      </w:pPr>
      <w:r w:rsidRPr="00C04E6F">
        <w:rPr>
          <w:rFonts w:ascii="Times New Roman" w:hAnsi="Times New Roman" w:cs="Times New Roman"/>
          <w:b/>
          <w:bCs/>
        </w:rPr>
        <w:t xml:space="preserve">Intermediate Outcome: </w:t>
      </w:r>
    </w:p>
    <w:p w14:paraId="5AB1A4DE" w14:textId="77777777" w:rsidR="002A110D" w:rsidRPr="005A21BB" w:rsidRDefault="002A110D" w:rsidP="002A110D">
      <w:pPr>
        <w:pStyle w:val="ListParagraph"/>
        <w:rPr>
          <w:rFonts w:ascii="Times New Roman" w:hAnsi="Times New Roman" w:cs="Times New Roman"/>
        </w:rPr>
      </w:pPr>
    </w:p>
    <w:p w14:paraId="6C0EC571" w14:textId="77777777" w:rsidR="002A110D" w:rsidRPr="00C04E6F" w:rsidRDefault="002A110D" w:rsidP="00AD1B2B">
      <w:pPr>
        <w:pStyle w:val="ListParagraph"/>
        <w:widowControl w:val="0"/>
        <w:numPr>
          <w:ilvl w:val="0"/>
          <w:numId w:val="2"/>
        </w:numPr>
        <w:autoSpaceDE w:val="0"/>
        <w:autoSpaceDN w:val="0"/>
        <w:adjustRightInd w:val="0"/>
        <w:spacing w:after="240" w:line="240" w:lineRule="auto"/>
        <w:ind w:left="2160" w:hanging="720"/>
        <w:jc w:val="both"/>
        <w:rPr>
          <w:rFonts w:ascii="Times New Roman" w:hAnsi="Times New Roman" w:cs="Times New Roman"/>
        </w:rPr>
      </w:pPr>
      <w:r w:rsidRPr="00C04E6F">
        <w:rPr>
          <w:rFonts w:ascii="Times New Roman" w:hAnsi="Times New Roman" w:cs="Times New Roman"/>
        </w:rPr>
        <w:t xml:space="preserve">Enhanced implementation of gender-responsive community level interventions to reduce natural disaster risk and climate change impacts in four Caribbean Development Bank Borrowing Member Countries </w:t>
      </w:r>
    </w:p>
    <w:p w14:paraId="0DB9765E" w14:textId="77777777" w:rsidR="002A110D" w:rsidRDefault="002A110D" w:rsidP="00AD1B2B">
      <w:pPr>
        <w:pStyle w:val="ListParagraph"/>
        <w:widowControl w:val="0"/>
        <w:numPr>
          <w:ilvl w:val="0"/>
          <w:numId w:val="2"/>
        </w:numPr>
        <w:autoSpaceDE w:val="0"/>
        <w:autoSpaceDN w:val="0"/>
        <w:adjustRightInd w:val="0"/>
        <w:spacing w:after="240" w:line="240" w:lineRule="auto"/>
        <w:ind w:left="2160" w:hanging="720"/>
        <w:jc w:val="both"/>
        <w:rPr>
          <w:rFonts w:ascii="Times New Roman" w:hAnsi="Times New Roman" w:cs="Times New Roman"/>
        </w:rPr>
      </w:pPr>
      <w:r w:rsidRPr="00C04E6F">
        <w:rPr>
          <w:rFonts w:ascii="Times New Roman" w:hAnsi="Times New Roman" w:cs="Times New Roman"/>
        </w:rPr>
        <w:t>Improved integration of disaster risk and climate change impacts in Country Poverty Assessment and related support to BMCs</w:t>
      </w:r>
    </w:p>
    <w:p w14:paraId="1EFEA06F" w14:textId="77777777" w:rsidR="002A110D" w:rsidRPr="00C04E6F" w:rsidRDefault="002A110D" w:rsidP="002A110D">
      <w:pPr>
        <w:pStyle w:val="ListParagraph"/>
        <w:widowControl w:val="0"/>
        <w:autoSpaceDE w:val="0"/>
        <w:autoSpaceDN w:val="0"/>
        <w:adjustRightInd w:val="0"/>
        <w:spacing w:after="240" w:line="240" w:lineRule="auto"/>
        <w:ind w:left="2160"/>
        <w:jc w:val="both"/>
        <w:rPr>
          <w:rFonts w:ascii="Times New Roman" w:hAnsi="Times New Roman" w:cs="Times New Roman"/>
        </w:rPr>
      </w:pPr>
    </w:p>
    <w:p w14:paraId="295D8337" w14:textId="77777777" w:rsidR="002A110D" w:rsidRPr="00C04E6F" w:rsidRDefault="002A110D" w:rsidP="00AD1B2B">
      <w:pPr>
        <w:pStyle w:val="ListParagraph"/>
        <w:widowControl w:val="0"/>
        <w:numPr>
          <w:ilvl w:val="0"/>
          <w:numId w:val="6"/>
        </w:numPr>
        <w:autoSpaceDE w:val="0"/>
        <w:autoSpaceDN w:val="0"/>
        <w:adjustRightInd w:val="0"/>
        <w:spacing w:after="0" w:line="240" w:lineRule="auto"/>
        <w:ind w:left="1440" w:hanging="720"/>
        <w:jc w:val="both"/>
        <w:rPr>
          <w:rFonts w:ascii="Times New Roman" w:hAnsi="Times New Roman" w:cs="Times New Roman"/>
          <w:b/>
          <w:bCs/>
        </w:rPr>
      </w:pPr>
      <w:r w:rsidRPr="00C04E6F">
        <w:rPr>
          <w:rFonts w:ascii="Times New Roman" w:hAnsi="Times New Roman" w:cs="Times New Roman"/>
          <w:b/>
          <w:bCs/>
        </w:rPr>
        <w:lastRenderedPageBreak/>
        <w:t>Immediate Outcomes:</w:t>
      </w:r>
    </w:p>
    <w:p w14:paraId="037F9400" w14:textId="77777777" w:rsidR="002A110D" w:rsidRPr="005A21BB" w:rsidRDefault="002A110D" w:rsidP="002A110D">
      <w:pPr>
        <w:pStyle w:val="ListParagraph"/>
        <w:widowControl w:val="0"/>
        <w:autoSpaceDE w:val="0"/>
        <w:autoSpaceDN w:val="0"/>
        <w:adjustRightInd w:val="0"/>
        <w:spacing w:after="0" w:line="240" w:lineRule="auto"/>
        <w:ind w:left="1440"/>
        <w:jc w:val="both"/>
        <w:rPr>
          <w:rFonts w:ascii="Times New Roman" w:hAnsi="Times New Roman" w:cs="Times New Roman"/>
        </w:rPr>
      </w:pPr>
    </w:p>
    <w:p w14:paraId="505D6E42" w14:textId="3C21B07B" w:rsidR="002A110D" w:rsidRPr="00E30095" w:rsidRDefault="002A110D" w:rsidP="00AD1B2B">
      <w:pPr>
        <w:pStyle w:val="ListParagraph"/>
        <w:numPr>
          <w:ilvl w:val="0"/>
          <w:numId w:val="20"/>
        </w:numPr>
        <w:jc w:val="both"/>
        <w:rPr>
          <w:rFonts w:ascii="Times New Roman" w:hAnsi="Times New Roman" w:cs="Times New Roman"/>
        </w:rPr>
      </w:pPr>
      <w:r w:rsidRPr="00E30095">
        <w:rPr>
          <w:rFonts w:ascii="Times New Roman" w:hAnsi="Times New Roman" w:cs="Times New Roman"/>
          <w:lang w:val="en-CA"/>
        </w:rPr>
        <w:t xml:space="preserve">Gender sensitive </w:t>
      </w:r>
      <w:r w:rsidRPr="00E30095">
        <w:rPr>
          <w:rFonts w:ascii="Times New Roman" w:hAnsi="Times New Roman" w:cs="Times New Roman"/>
          <w:u w:val="single"/>
          <w:lang w:val="en-CA"/>
        </w:rPr>
        <w:t>resilience</w:t>
      </w:r>
      <w:r w:rsidRPr="00E30095">
        <w:rPr>
          <w:rFonts w:ascii="Times New Roman" w:hAnsi="Times New Roman" w:cs="Times New Roman"/>
          <w:lang w:val="en-CA"/>
        </w:rPr>
        <w:t xml:space="preserve"> to natural hazards and climate change in 12 </w:t>
      </w:r>
      <w:proofErr w:type="gramStart"/>
      <w:r w:rsidRPr="00E30095">
        <w:rPr>
          <w:rFonts w:ascii="Times New Roman" w:hAnsi="Times New Roman" w:cs="Times New Roman"/>
          <w:lang w:val="en-CA"/>
        </w:rPr>
        <w:t>beneficiaries</w:t>
      </w:r>
      <w:proofErr w:type="gramEnd"/>
      <w:r w:rsidRPr="00E30095">
        <w:rPr>
          <w:rFonts w:ascii="Times New Roman" w:hAnsi="Times New Roman" w:cs="Times New Roman"/>
          <w:lang w:val="en-CA"/>
        </w:rPr>
        <w:t xml:space="preserve"> communities </w:t>
      </w:r>
      <w:r w:rsidRPr="00E30095">
        <w:rPr>
          <w:rFonts w:ascii="Times New Roman" w:hAnsi="Times New Roman" w:cs="Times New Roman"/>
          <w:u w:val="single"/>
          <w:lang w:val="en-CA"/>
        </w:rPr>
        <w:t>increased</w:t>
      </w:r>
      <w:r w:rsidRPr="00E30095" w:rsidDel="00C002AA">
        <w:rPr>
          <w:rFonts w:ascii="Times New Roman" w:hAnsi="Times New Roman" w:cs="Times New Roman"/>
        </w:rPr>
        <w:t xml:space="preserve"> </w:t>
      </w:r>
      <w:r w:rsidRPr="00E30095">
        <w:rPr>
          <w:rFonts w:ascii="Times New Roman" w:hAnsi="Times New Roman" w:cs="Times New Roman"/>
          <w:lang w:val="en-CA"/>
        </w:rPr>
        <w:t xml:space="preserve">Regional gender sensitive </w:t>
      </w:r>
      <w:r w:rsidRPr="00E30095">
        <w:rPr>
          <w:rFonts w:ascii="Times New Roman" w:hAnsi="Times New Roman" w:cs="Times New Roman"/>
          <w:u w:val="single"/>
          <w:lang w:val="en-CA"/>
        </w:rPr>
        <w:t>knowledge</w:t>
      </w:r>
      <w:r w:rsidRPr="00E30095">
        <w:rPr>
          <w:rFonts w:ascii="Times New Roman" w:hAnsi="Times New Roman" w:cs="Times New Roman"/>
          <w:lang w:val="en-CA"/>
        </w:rPr>
        <w:t xml:space="preserve"> of reducing risk to natural disaster and climate change at community level </w:t>
      </w:r>
      <w:r w:rsidRPr="00E30095">
        <w:rPr>
          <w:rFonts w:ascii="Times New Roman" w:hAnsi="Times New Roman" w:cs="Times New Roman"/>
          <w:u w:val="single"/>
          <w:lang w:val="en-CA"/>
        </w:rPr>
        <w:t>improved</w:t>
      </w:r>
      <w:r w:rsidRPr="00E30095">
        <w:rPr>
          <w:rFonts w:ascii="Times New Roman" w:hAnsi="Times New Roman" w:cs="Times New Roman"/>
          <w:lang w:val="en-CA"/>
        </w:rPr>
        <w:t xml:space="preserve"> amongst DRM, environment and, social sector practitioners, public sector agencies</w:t>
      </w:r>
    </w:p>
    <w:p w14:paraId="2B5BC4E7" w14:textId="77777777" w:rsidR="002A110D" w:rsidRPr="00E30095" w:rsidRDefault="002A110D" w:rsidP="002A110D">
      <w:pPr>
        <w:pStyle w:val="ListParagraph"/>
        <w:ind w:left="1440"/>
        <w:jc w:val="both"/>
        <w:rPr>
          <w:rFonts w:ascii="Times New Roman" w:hAnsi="Times New Roman" w:cs="Times New Roman"/>
        </w:rPr>
      </w:pPr>
    </w:p>
    <w:p w14:paraId="7A9D8D1C" w14:textId="77777777" w:rsidR="002A110D" w:rsidRPr="002A110D" w:rsidRDefault="002A110D" w:rsidP="00AD1B2B">
      <w:pPr>
        <w:pStyle w:val="ListParagraph"/>
        <w:numPr>
          <w:ilvl w:val="0"/>
          <w:numId w:val="20"/>
        </w:numPr>
        <w:jc w:val="both"/>
        <w:rPr>
          <w:rFonts w:ascii="Times New Roman" w:hAnsi="Times New Roman" w:cs="Times New Roman"/>
        </w:rPr>
      </w:pPr>
      <w:r w:rsidRPr="00E30095">
        <w:rPr>
          <w:rFonts w:ascii="Times New Roman" w:hAnsi="Times New Roman" w:cs="Times New Roman"/>
          <w:lang w:val="en-CA"/>
        </w:rPr>
        <w:t xml:space="preserve">Focused and </w:t>
      </w:r>
      <w:r w:rsidRPr="00E30095">
        <w:rPr>
          <w:rFonts w:ascii="Times New Roman" w:hAnsi="Times New Roman" w:cs="Times New Roman"/>
          <w:u w:val="single"/>
          <w:lang w:val="en-CA"/>
        </w:rPr>
        <w:t>up-scaled/enhanced</w:t>
      </w:r>
      <w:r w:rsidRPr="00E30095">
        <w:rPr>
          <w:rFonts w:ascii="Times New Roman" w:hAnsi="Times New Roman" w:cs="Times New Roman"/>
          <w:lang w:val="en-CA"/>
        </w:rPr>
        <w:t xml:space="preserve"> regional level </w:t>
      </w:r>
      <w:r w:rsidRPr="00E30095">
        <w:rPr>
          <w:rFonts w:ascii="Times New Roman" w:hAnsi="Times New Roman" w:cs="Times New Roman"/>
          <w:u w:val="single"/>
          <w:lang w:val="en-CA"/>
        </w:rPr>
        <w:t>resourcing</w:t>
      </w:r>
      <w:r w:rsidRPr="00E30095">
        <w:rPr>
          <w:rFonts w:ascii="Times New Roman" w:hAnsi="Times New Roman" w:cs="Times New Roman"/>
          <w:lang w:val="en-CA"/>
        </w:rPr>
        <w:t xml:space="preserve"> for building gender sensitive community level resilience to natural hazards and climate change impacts</w:t>
      </w:r>
      <w:r w:rsidRPr="00E30095" w:rsidDel="00C002AA">
        <w:rPr>
          <w:rFonts w:ascii="Times New Roman" w:hAnsi="Times New Roman" w:cs="Times New Roman"/>
        </w:rPr>
        <w:t xml:space="preserve"> </w:t>
      </w:r>
      <w:r w:rsidRPr="00E30095">
        <w:rPr>
          <w:rFonts w:ascii="Times New Roman" w:hAnsi="Times New Roman" w:cs="Times New Roman"/>
          <w:lang w:val="en-CA"/>
        </w:rPr>
        <w:t xml:space="preserve">National </w:t>
      </w:r>
      <w:r w:rsidRPr="00E30095">
        <w:rPr>
          <w:rFonts w:ascii="Times New Roman" w:hAnsi="Times New Roman" w:cs="Times New Roman"/>
          <w:u w:val="single"/>
          <w:lang w:val="en-CA"/>
        </w:rPr>
        <w:t xml:space="preserve">skills and capacities </w:t>
      </w:r>
      <w:r w:rsidRPr="00E30095">
        <w:rPr>
          <w:rFonts w:ascii="Times New Roman" w:hAnsi="Times New Roman" w:cs="Times New Roman"/>
          <w:lang w:val="en-CA"/>
        </w:rPr>
        <w:t xml:space="preserve">to monitor and reduce natural hazard risk and climate change impact at community and household levels </w:t>
      </w:r>
      <w:r w:rsidRPr="00E30095">
        <w:rPr>
          <w:rFonts w:ascii="Times New Roman" w:hAnsi="Times New Roman" w:cs="Times New Roman"/>
          <w:u w:val="single"/>
          <w:lang w:val="en-CA"/>
        </w:rPr>
        <w:t>increased</w:t>
      </w:r>
      <w:r w:rsidRPr="00E30095">
        <w:rPr>
          <w:rFonts w:ascii="Times New Roman" w:hAnsi="Times New Roman" w:cs="Times New Roman"/>
          <w:lang w:val="en-CA"/>
        </w:rPr>
        <w:t xml:space="preserve"> amongst social sector, environment and DRM practitioners, public sector representatives.</w:t>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r w:rsidRPr="00E30095">
        <w:rPr>
          <w:rFonts w:ascii="Times New Roman" w:hAnsi="Times New Roman" w:cs="Times New Roman"/>
          <w:b/>
        </w:rPr>
        <w:tab/>
      </w:r>
    </w:p>
    <w:p w14:paraId="44AD74FD" w14:textId="77777777" w:rsidR="002A110D" w:rsidRDefault="002A110D" w:rsidP="002A110D">
      <w:pPr>
        <w:widowControl w:val="0"/>
        <w:autoSpaceDE w:val="0"/>
        <w:autoSpaceDN w:val="0"/>
        <w:adjustRightInd w:val="0"/>
        <w:spacing w:after="0" w:line="240" w:lineRule="auto"/>
        <w:ind w:firstLine="720"/>
        <w:rPr>
          <w:rFonts w:ascii="Times New Roman" w:hAnsi="Times New Roman" w:cs="Times New Roman"/>
          <w:b/>
        </w:rPr>
      </w:pPr>
      <w:r w:rsidRPr="00B7124C">
        <w:rPr>
          <w:rFonts w:ascii="Times New Roman" w:hAnsi="Times New Roman" w:cs="Times New Roman"/>
          <w:b/>
        </w:rPr>
        <w:t>Project Scope</w:t>
      </w:r>
    </w:p>
    <w:p w14:paraId="4D6DE354" w14:textId="77777777" w:rsidR="002A110D" w:rsidRPr="00B7124C" w:rsidRDefault="002A110D" w:rsidP="002A110D">
      <w:pPr>
        <w:widowControl w:val="0"/>
        <w:autoSpaceDE w:val="0"/>
        <w:autoSpaceDN w:val="0"/>
        <w:adjustRightInd w:val="0"/>
        <w:spacing w:after="0" w:line="240" w:lineRule="auto"/>
        <w:ind w:firstLine="720"/>
        <w:rPr>
          <w:rFonts w:ascii="Times New Roman" w:hAnsi="Times New Roman" w:cs="Times New Roman"/>
          <w:b/>
        </w:rPr>
      </w:pPr>
    </w:p>
    <w:p w14:paraId="0BB6EA0E" w14:textId="3FF07064" w:rsidR="002A110D" w:rsidRDefault="002A110D" w:rsidP="002A110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w:t>
      </w:r>
      <w:r w:rsidR="00511FE2">
        <w:rPr>
          <w:rFonts w:ascii="Times New Roman" w:hAnsi="Times New Roman" w:cs="Times New Roman"/>
        </w:rPr>
        <w:t>7</w:t>
      </w:r>
      <w:r>
        <w:rPr>
          <w:rFonts w:ascii="Times New Roman" w:hAnsi="Times New Roman" w:cs="Times New Roman"/>
        </w:rPr>
        <w:tab/>
      </w:r>
      <w:r w:rsidRPr="00223439">
        <w:rPr>
          <w:rFonts w:ascii="Times New Roman" w:hAnsi="Times New Roman" w:cs="Times New Roman"/>
        </w:rPr>
        <w:t xml:space="preserve">The CDRRF Project comprises the following components: </w:t>
      </w:r>
    </w:p>
    <w:p w14:paraId="033DDB14" w14:textId="77777777" w:rsidR="002A110D" w:rsidRPr="00223439" w:rsidRDefault="002A110D" w:rsidP="002A110D">
      <w:pPr>
        <w:widowControl w:val="0"/>
        <w:autoSpaceDE w:val="0"/>
        <w:autoSpaceDN w:val="0"/>
        <w:adjustRightInd w:val="0"/>
        <w:spacing w:after="0" w:line="240" w:lineRule="auto"/>
        <w:rPr>
          <w:rFonts w:ascii="Times New Roman" w:hAnsi="Times New Roman" w:cs="Times New Roman"/>
        </w:rPr>
      </w:pPr>
    </w:p>
    <w:p w14:paraId="770A4662" w14:textId="77777777" w:rsidR="002A110D" w:rsidRPr="00223439" w:rsidRDefault="002A110D" w:rsidP="00AD1B2B">
      <w:pPr>
        <w:pStyle w:val="ListParagraph"/>
        <w:widowControl w:val="0"/>
        <w:numPr>
          <w:ilvl w:val="0"/>
          <w:numId w:val="5"/>
        </w:numPr>
        <w:autoSpaceDE w:val="0"/>
        <w:autoSpaceDN w:val="0"/>
        <w:adjustRightInd w:val="0"/>
        <w:spacing w:after="0" w:line="240" w:lineRule="auto"/>
        <w:ind w:left="1440" w:hanging="720"/>
        <w:jc w:val="both"/>
        <w:rPr>
          <w:rFonts w:ascii="Times New Roman" w:hAnsi="Times New Roman" w:cs="Times New Roman"/>
        </w:rPr>
      </w:pPr>
      <w:r w:rsidRPr="00223439">
        <w:rPr>
          <w:rFonts w:ascii="Times New Roman" w:hAnsi="Times New Roman" w:cs="Times New Roman"/>
        </w:rPr>
        <w:t>Community DRR/CCA Sub-Projects;</w:t>
      </w:r>
    </w:p>
    <w:p w14:paraId="603B1FAE" w14:textId="77777777" w:rsidR="002A110D" w:rsidRPr="00223439" w:rsidRDefault="002A110D" w:rsidP="00AD1B2B">
      <w:pPr>
        <w:pStyle w:val="ListParagraph"/>
        <w:widowControl w:val="0"/>
        <w:numPr>
          <w:ilvl w:val="0"/>
          <w:numId w:val="5"/>
        </w:numPr>
        <w:autoSpaceDE w:val="0"/>
        <w:autoSpaceDN w:val="0"/>
        <w:adjustRightInd w:val="0"/>
        <w:spacing w:after="0" w:line="240" w:lineRule="auto"/>
        <w:ind w:left="1440" w:hanging="720"/>
        <w:jc w:val="both"/>
        <w:rPr>
          <w:rFonts w:ascii="Times New Roman" w:hAnsi="Times New Roman" w:cs="Times New Roman"/>
        </w:rPr>
      </w:pPr>
      <w:r w:rsidRPr="00223439">
        <w:rPr>
          <w:rFonts w:ascii="Times New Roman" w:hAnsi="Times New Roman" w:cs="Times New Roman"/>
        </w:rPr>
        <w:t>Knowledge Management/Public Education;</w:t>
      </w:r>
    </w:p>
    <w:p w14:paraId="573B2D5A" w14:textId="77777777" w:rsidR="002A110D" w:rsidRPr="00223439" w:rsidRDefault="002A110D" w:rsidP="00AD1B2B">
      <w:pPr>
        <w:pStyle w:val="ListParagraph"/>
        <w:widowControl w:val="0"/>
        <w:numPr>
          <w:ilvl w:val="0"/>
          <w:numId w:val="5"/>
        </w:numPr>
        <w:autoSpaceDE w:val="0"/>
        <w:autoSpaceDN w:val="0"/>
        <w:adjustRightInd w:val="0"/>
        <w:spacing w:after="0" w:line="240" w:lineRule="auto"/>
        <w:ind w:left="1440" w:hanging="720"/>
        <w:jc w:val="both"/>
        <w:rPr>
          <w:rFonts w:ascii="Times New Roman" w:hAnsi="Times New Roman" w:cs="Times New Roman"/>
        </w:rPr>
      </w:pPr>
      <w:r w:rsidRPr="00223439">
        <w:rPr>
          <w:rFonts w:ascii="Times New Roman" w:hAnsi="Times New Roman" w:cs="Times New Roman"/>
        </w:rPr>
        <w:t>Pro</w:t>
      </w:r>
      <w:r>
        <w:rPr>
          <w:rFonts w:ascii="Times New Roman" w:hAnsi="Times New Roman" w:cs="Times New Roman"/>
        </w:rPr>
        <w:t>ject Monitoring and Evaluation (M&amp;E)</w:t>
      </w:r>
    </w:p>
    <w:p w14:paraId="1447B90E" w14:textId="77777777" w:rsidR="002A110D" w:rsidRPr="00223439" w:rsidRDefault="002A110D" w:rsidP="00AD1B2B">
      <w:pPr>
        <w:pStyle w:val="ListParagraph"/>
        <w:widowControl w:val="0"/>
        <w:numPr>
          <w:ilvl w:val="0"/>
          <w:numId w:val="5"/>
        </w:numPr>
        <w:autoSpaceDE w:val="0"/>
        <w:autoSpaceDN w:val="0"/>
        <w:adjustRightInd w:val="0"/>
        <w:spacing w:after="0" w:line="240" w:lineRule="auto"/>
        <w:ind w:left="1440" w:hanging="720"/>
        <w:jc w:val="both"/>
        <w:rPr>
          <w:rFonts w:ascii="Times New Roman" w:hAnsi="Times New Roman" w:cs="Times New Roman"/>
        </w:rPr>
      </w:pPr>
      <w:r w:rsidRPr="00223439">
        <w:rPr>
          <w:rFonts w:ascii="Times New Roman" w:hAnsi="Times New Roman" w:cs="Times New Roman"/>
        </w:rPr>
        <w:t>Mainstreaming DRR/CCA considerations into Country Poverty Assessment (CPA) processes</w:t>
      </w:r>
      <w:r>
        <w:rPr>
          <w:rFonts w:ascii="Times New Roman" w:hAnsi="Times New Roman" w:cs="Times New Roman"/>
        </w:rPr>
        <w:t xml:space="preserve">; and </w:t>
      </w:r>
      <w:r w:rsidRPr="00223439">
        <w:rPr>
          <w:rFonts w:ascii="Times New Roman" w:hAnsi="Times New Roman" w:cs="Times New Roman"/>
        </w:rPr>
        <w:t xml:space="preserve"> </w:t>
      </w:r>
    </w:p>
    <w:p w14:paraId="1E92FC05" w14:textId="77777777" w:rsidR="002A110D" w:rsidRPr="00223439" w:rsidRDefault="002A110D" w:rsidP="00AD1B2B">
      <w:pPr>
        <w:pStyle w:val="ListParagraph"/>
        <w:widowControl w:val="0"/>
        <w:numPr>
          <w:ilvl w:val="0"/>
          <w:numId w:val="5"/>
        </w:numPr>
        <w:autoSpaceDE w:val="0"/>
        <w:autoSpaceDN w:val="0"/>
        <w:adjustRightInd w:val="0"/>
        <w:spacing w:after="0" w:line="240" w:lineRule="auto"/>
        <w:ind w:left="1440" w:hanging="720"/>
        <w:jc w:val="both"/>
        <w:rPr>
          <w:rFonts w:ascii="Times New Roman" w:hAnsi="Times New Roman" w:cs="Times New Roman"/>
        </w:rPr>
      </w:pPr>
      <w:r w:rsidRPr="00223439">
        <w:rPr>
          <w:rFonts w:ascii="Times New Roman" w:hAnsi="Times New Roman" w:cs="Times New Roman"/>
        </w:rPr>
        <w:t>Project Management Unit</w:t>
      </w:r>
      <w:r>
        <w:rPr>
          <w:rFonts w:ascii="Times New Roman" w:hAnsi="Times New Roman" w:cs="Times New Roman"/>
        </w:rPr>
        <w:t>.</w:t>
      </w:r>
    </w:p>
    <w:p w14:paraId="07DB0C8F" w14:textId="77777777" w:rsidR="002A110D" w:rsidRDefault="002A110D" w:rsidP="002A110D">
      <w:pPr>
        <w:widowControl w:val="0"/>
        <w:autoSpaceDE w:val="0"/>
        <w:autoSpaceDN w:val="0"/>
        <w:adjustRightInd w:val="0"/>
        <w:spacing w:after="0" w:line="240" w:lineRule="auto"/>
        <w:ind w:left="360" w:firstLine="360"/>
        <w:jc w:val="both"/>
        <w:rPr>
          <w:rFonts w:ascii="Times New Roman" w:hAnsi="Times New Roman" w:cs="Times New Roman"/>
          <w:b/>
          <w:bCs/>
        </w:rPr>
      </w:pPr>
    </w:p>
    <w:p w14:paraId="797D7B06" w14:textId="77777777" w:rsidR="002A110D" w:rsidRPr="00BD3192" w:rsidRDefault="002A110D" w:rsidP="002A110D">
      <w:pPr>
        <w:widowControl w:val="0"/>
        <w:autoSpaceDE w:val="0"/>
        <w:autoSpaceDN w:val="0"/>
        <w:adjustRightInd w:val="0"/>
        <w:spacing w:after="0" w:line="240" w:lineRule="auto"/>
        <w:ind w:left="360" w:firstLine="360"/>
        <w:jc w:val="both"/>
        <w:rPr>
          <w:rFonts w:ascii="Times New Roman" w:hAnsi="Times New Roman" w:cs="Times New Roman"/>
          <w:b/>
          <w:bCs/>
        </w:rPr>
      </w:pPr>
      <w:r w:rsidRPr="00BD3192">
        <w:rPr>
          <w:rFonts w:ascii="Times New Roman" w:hAnsi="Times New Roman" w:cs="Times New Roman"/>
          <w:b/>
          <w:bCs/>
        </w:rPr>
        <w:t>Thematic Scope</w:t>
      </w:r>
    </w:p>
    <w:p w14:paraId="5DE59468" w14:textId="77777777" w:rsidR="002A110D" w:rsidRPr="00BD3192" w:rsidRDefault="002A110D" w:rsidP="002A110D">
      <w:pPr>
        <w:widowControl w:val="0"/>
        <w:autoSpaceDE w:val="0"/>
        <w:autoSpaceDN w:val="0"/>
        <w:adjustRightInd w:val="0"/>
        <w:spacing w:after="0" w:line="240" w:lineRule="auto"/>
        <w:ind w:left="360" w:firstLine="360"/>
        <w:jc w:val="both"/>
        <w:rPr>
          <w:rFonts w:ascii="Times New Roman" w:hAnsi="Times New Roman" w:cs="Times New Roman"/>
          <w:b/>
          <w:bCs/>
        </w:rPr>
      </w:pPr>
    </w:p>
    <w:p w14:paraId="4B7B441B" w14:textId="5168A585" w:rsidR="002A110D" w:rsidRDefault="002A110D" w:rsidP="002A110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511FE2">
        <w:rPr>
          <w:rFonts w:ascii="Times New Roman" w:hAnsi="Times New Roman" w:cs="Times New Roman"/>
        </w:rPr>
        <w:t>8</w:t>
      </w:r>
      <w:r>
        <w:rPr>
          <w:rFonts w:ascii="Times New Roman" w:hAnsi="Times New Roman" w:cs="Times New Roman"/>
        </w:rPr>
        <w:tab/>
      </w:r>
      <w:r w:rsidRPr="00223439">
        <w:rPr>
          <w:rFonts w:ascii="Times New Roman" w:hAnsi="Times New Roman" w:cs="Times New Roman"/>
        </w:rPr>
        <w:t xml:space="preserve">The CDRRF is designed to address DRR and CCA community issues, as well as </w:t>
      </w:r>
      <w:proofErr w:type="gramStart"/>
      <w:r w:rsidRPr="00223439">
        <w:rPr>
          <w:rFonts w:ascii="Times New Roman" w:hAnsi="Times New Roman" w:cs="Times New Roman"/>
        </w:rPr>
        <w:t>a number of</w:t>
      </w:r>
      <w:proofErr w:type="gramEnd"/>
      <w:r w:rsidRPr="00223439">
        <w:rPr>
          <w:rFonts w:ascii="Times New Roman" w:hAnsi="Times New Roman" w:cs="Times New Roman"/>
        </w:rPr>
        <w:t xml:space="preserve"> cross-cutting thematic </w:t>
      </w:r>
      <w:r>
        <w:rPr>
          <w:rFonts w:ascii="Times New Roman" w:hAnsi="Times New Roman" w:cs="Times New Roman"/>
        </w:rPr>
        <w:t>such as</w:t>
      </w:r>
      <w:r w:rsidRPr="00223439">
        <w:rPr>
          <w:rFonts w:ascii="Times New Roman" w:hAnsi="Times New Roman" w:cs="Times New Roman"/>
        </w:rPr>
        <w:t xml:space="preserve"> gender responsiveness, environmental sustainability, broad-based participation and sustainable livelihoods. </w:t>
      </w:r>
      <w:r>
        <w:rPr>
          <w:rFonts w:ascii="Times New Roman" w:hAnsi="Times New Roman" w:cs="Times New Roman"/>
        </w:rPr>
        <w:t xml:space="preserve"> </w:t>
      </w:r>
      <w:r w:rsidRPr="00223439">
        <w:rPr>
          <w:rFonts w:ascii="Times New Roman" w:hAnsi="Times New Roman" w:cs="Times New Roman"/>
        </w:rPr>
        <w:t>This is intended to be achieved via the implementation of</w:t>
      </w:r>
      <w:r>
        <w:rPr>
          <w:rFonts w:ascii="Times New Roman" w:hAnsi="Times New Roman" w:cs="Times New Roman"/>
        </w:rPr>
        <w:t xml:space="preserve"> CDRR</w:t>
      </w:r>
      <w:r w:rsidRPr="00223439">
        <w:rPr>
          <w:rFonts w:ascii="Times New Roman" w:hAnsi="Times New Roman" w:cs="Times New Roman"/>
        </w:rPr>
        <w:t xml:space="preserve"> sub-projects in </w:t>
      </w:r>
      <w:r>
        <w:rPr>
          <w:rFonts w:ascii="Times New Roman" w:hAnsi="Times New Roman" w:cs="Times New Roman"/>
        </w:rPr>
        <w:t xml:space="preserve">the eligible </w:t>
      </w:r>
      <w:r w:rsidRPr="00223439">
        <w:rPr>
          <w:rFonts w:ascii="Times New Roman" w:hAnsi="Times New Roman" w:cs="Times New Roman"/>
        </w:rPr>
        <w:t>BMCs</w:t>
      </w:r>
      <w:r>
        <w:rPr>
          <w:rFonts w:ascii="Times New Roman" w:hAnsi="Times New Roman" w:cs="Times New Roman"/>
        </w:rPr>
        <w:t xml:space="preserve">. </w:t>
      </w:r>
    </w:p>
    <w:p w14:paraId="52F08FFB" w14:textId="77777777" w:rsidR="002A110D" w:rsidRPr="00223439" w:rsidRDefault="002A110D" w:rsidP="002A110D">
      <w:pPr>
        <w:widowControl w:val="0"/>
        <w:autoSpaceDE w:val="0"/>
        <w:autoSpaceDN w:val="0"/>
        <w:adjustRightInd w:val="0"/>
        <w:spacing w:after="0" w:line="240" w:lineRule="auto"/>
        <w:jc w:val="both"/>
        <w:rPr>
          <w:rFonts w:ascii="Times New Roman" w:hAnsi="Times New Roman" w:cs="Times New Roman"/>
        </w:rPr>
      </w:pPr>
    </w:p>
    <w:p w14:paraId="71D077A8" w14:textId="77777777" w:rsidR="002A110D" w:rsidRDefault="002A110D" w:rsidP="002A110D">
      <w:pPr>
        <w:pStyle w:val="ListParagraph"/>
        <w:widowControl w:val="0"/>
        <w:autoSpaceDE w:val="0"/>
        <w:autoSpaceDN w:val="0"/>
        <w:adjustRightInd w:val="0"/>
        <w:spacing w:after="0" w:line="240" w:lineRule="auto"/>
        <w:ind w:left="0" w:firstLine="720"/>
        <w:contextualSpacing w:val="0"/>
        <w:jc w:val="both"/>
        <w:rPr>
          <w:rFonts w:ascii="Times New Roman" w:hAnsi="Times New Roman" w:cs="Times New Roman"/>
          <w:b/>
          <w:bCs/>
        </w:rPr>
      </w:pPr>
      <w:r w:rsidRPr="00BD3192">
        <w:rPr>
          <w:rFonts w:ascii="Times New Roman" w:hAnsi="Times New Roman" w:cs="Times New Roman"/>
          <w:b/>
          <w:bCs/>
        </w:rPr>
        <w:t>Spatial Scope</w:t>
      </w:r>
    </w:p>
    <w:p w14:paraId="658B6250" w14:textId="77777777" w:rsidR="002A110D" w:rsidRPr="00BD3192" w:rsidRDefault="002A110D" w:rsidP="002A110D">
      <w:pPr>
        <w:pStyle w:val="ListParagraph"/>
        <w:widowControl w:val="0"/>
        <w:autoSpaceDE w:val="0"/>
        <w:autoSpaceDN w:val="0"/>
        <w:adjustRightInd w:val="0"/>
        <w:spacing w:after="0" w:line="240" w:lineRule="auto"/>
        <w:ind w:left="0" w:firstLine="720"/>
        <w:contextualSpacing w:val="0"/>
        <w:jc w:val="both"/>
        <w:rPr>
          <w:rFonts w:ascii="Times New Roman" w:hAnsi="Times New Roman" w:cs="Times New Roman"/>
          <w:b/>
        </w:rPr>
      </w:pPr>
    </w:p>
    <w:p w14:paraId="2F4781B0" w14:textId="1A38F5A1" w:rsidR="002A110D" w:rsidRDefault="002A110D" w:rsidP="002A110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511FE2">
        <w:rPr>
          <w:rFonts w:ascii="Times New Roman" w:hAnsi="Times New Roman" w:cs="Times New Roman"/>
        </w:rPr>
        <w:t>9</w:t>
      </w:r>
      <w:r>
        <w:rPr>
          <w:rFonts w:ascii="Times New Roman" w:hAnsi="Times New Roman" w:cs="Times New Roman"/>
        </w:rPr>
        <w:tab/>
        <w:t>The CDRRF p</w:t>
      </w:r>
      <w:r w:rsidRPr="00223439">
        <w:rPr>
          <w:rFonts w:ascii="Times New Roman" w:hAnsi="Times New Roman" w:cs="Times New Roman"/>
        </w:rPr>
        <w:t>roject has regional scope</w:t>
      </w:r>
      <w:r>
        <w:rPr>
          <w:rFonts w:ascii="Times New Roman" w:hAnsi="Times New Roman" w:cs="Times New Roman"/>
        </w:rPr>
        <w:t xml:space="preserve"> as it </w:t>
      </w:r>
      <w:r w:rsidRPr="00223439">
        <w:rPr>
          <w:rFonts w:ascii="Times New Roman" w:hAnsi="Times New Roman" w:cs="Times New Roman"/>
        </w:rPr>
        <w:t>is intended to develop experience-based knowledge from the pursuit of CDRR sub-projects to fill national and regional knowledge deficits on community DRR; and to develop DRM and CCA enhanced guidelines for country poverty assessments.</w:t>
      </w:r>
    </w:p>
    <w:p w14:paraId="6547029E" w14:textId="77777777" w:rsidR="002A110D" w:rsidRPr="00223439" w:rsidRDefault="002A110D" w:rsidP="002A110D">
      <w:pPr>
        <w:widowControl w:val="0"/>
        <w:autoSpaceDE w:val="0"/>
        <w:autoSpaceDN w:val="0"/>
        <w:adjustRightInd w:val="0"/>
        <w:spacing w:after="0" w:line="240" w:lineRule="auto"/>
        <w:ind w:right="418"/>
        <w:jc w:val="both"/>
        <w:rPr>
          <w:rFonts w:ascii="Times New Roman" w:hAnsi="Times New Roman" w:cs="Times New Roman"/>
        </w:rPr>
      </w:pPr>
    </w:p>
    <w:p w14:paraId="6C2A0DD0" w14:textId="77777777" w:rsidR="002A110D" w:rsidRDefault="002A110D" w:rsidP="002A110D">
      <w:pPr>
        <w:spacing w:after="0" w:line="240" w:lineRule="auto"/>
        <w:jc w:val="both"/>
        <w:rPr>
          <w:rFonts w:ascii="Times New Roman" w:eastAsia="Calibri" w:hAnsi="Times New Roman"/>
          <w:color w:val="000000" w:themeColor="text1"/>
        </w:rPr>
      </w:pPr>
    </w:p>
    <w:p w14:paraId="2460D4CF" w14:textId="77777777" w:rsidR="002A110D" w:rsidRPr="006B7689" w:rsidRDefault="002A110D" w:rsidP="002A110D">
      <w:pPr>
        <w:spacing w:after="0" w:line="240" w:lineRule="auto"/>
        <w:jc w:val="both"/>
        <w:rPr>
          <w:rFonts w:ascii="Times New Roman" w:eastAsia="Calibri" w:hAnsi="Times New Roman" w:cs="Times New Roman"/>
          <w:b/>
          <w:color w:val="0F243E" w:themeColor="text2" w:themeShade="80"/>
        </w:rPr>
      </w:pPr>
      <w:r w:rsidRPr="006B7689">
        <w:rPr>
          <w:rFonts w:ascii="Times New Roman" w:hAnsi="Times New Roman" w:cs="Times New Roman"/>
          <w:b/>
          <w:bCs/>
          <w:color w:val="000000" w:themeColor="text1"/>
        </w:rPr>
        <w:t xml:space="preserve">2. </w:t>
      </w:r>
      <w:r w:rsidRPr="006B7689">
        <w:rPr>
          <w:rFonts w:ascii="Times New Roman" w:hAnsi="Times New Roman" w:cs="Times New Roman"/>
          <w:b/>
          <w:bCs/>
          <w:color w:val="000000" w:themeColor="text1"/>
        </w:rPr>
        <w:tab/>
      </w:r>
      <w:r w:rsidRPr="00EB49B9">
        <w:rPr>
          <w:rFonts w:ascii="Times New Roman" w:eastAsia="Calibri" w:hAnsi="Times New Roman" w:cs="Times New Roman"/>
          <w:b/>
          <w:color w:val="000000" w:themeColor="text1"/>
          <w:u w:val="single"/>
        </w:rPr>
        <w:t>BUILDING COMMUNITY RESILIENCE</w:t>
      </w:r>
      <w:r w:rsidRPr="00EB49B9">
        <w:rPr>
          <w:rFonts w:ascii="Times New Roman" w:eastAsia="Calibri" w:hAnsi="Times New Roman" w:cs="Times New Roman"/>
          <w:b/>
          <w:color w:val="000000" w:themeColor="text1"/>
        </w:rPr>
        <w:t xml:space="preserve">  </w:t>
      </w:r>
    </w:p>
    <w:p w14:paraId="31D0C093" w14:textId="77777777" w:rsidR="002A110D" w:rsidRPr="00453C20" w:rsidRDefault="002A110D" w:rsidP="002A110D">
      <w:pPr>
        <w:spacing w:after="0" w:line="240" w:lineRule="auto"/>
        <w:jc w:val="both"/>
        <w:rPr>
          <w:rFonts w:ascii="Times New Roman" w:eastAsia="Calibri" w:hAnsi="Times New Roman"/>
          <w:b/>
          <w:color w:val="0F243E" w:themeColor="text2" w:themeShade="80"/>
        </w:rPr>
      </w:pPr>
    </w:p>
    <w:p w14:paraId="307883CC" w14:textId="77777777" w:rsidR="002A110D" w:rsidRPr="00C47C25" w:rsidRDefault="002A110D" w:rsidP="002A110D">
      <w:pPr>
        <w:spacing w:after="0" w:line="240" w:lineRule="auto"/>
        <w:jc w:val="both"/>
        <w:rPr>
          <w:rFonts w:ascii="Times New Roman" w:eastAsia="Calibri" w:hAnsi="Times New Roman" w:cs="Times New Roman"/>
          <w:color w:val="000000" w:themeColor="text1"/>
        </w:rPr>
      </w:pPr>
      <w:r>
        <w:rPr>
          <w:rFonts w:ascii="Times New Roman" w:eastAsia="Calibri" w:hAnsi="Times New Roman"/>
          <w:color w:val="000000" w:themeColor="text1"/>
        </w:rPr>
        <w:t>2.01</w:t>
      </w:r>
      <w:r>
        <w:rPr>
          <w:rFonts w:ascii="Times New Roman" w:eastAsia="Calibri" w:hAnsi="Times New Roman"/>
          <w:color w:val="000000" w:themeColor="text1"/>
        </w:rPr>
        <w:tab/>
        <w:t xml:space="preserve">Building community resilience is an important approach to helping communities address new and existing risks presented by natural hazards and </w:t>
      </w:r>
      <w:r w:rsidRPr="00EB49B9">
        <w:rPr>
          <w:rFonts w:ascii="Times New Roman" w:eastAsia="Calibri" w:hAnsi="Times New Roman"/>
          <w:color w:val="000000" w:themeColor="text1"/>
        </w:rPr>
        <w:t>climate change (CC)</w:t>
      </w:r>
      <w:r>
        <w:rPr>
          <w:rFonts w:ascii="Times New Roman" w:eastAsia="Calibri" w:hAnsi="Times New Roman"/>
          <w:color w:val="000000" w:themeColor="text1"/>
        </w:rPr>
        <w:t xml:space="preserve"> impacts.  One component of the CDRRF project focuses on improving infrastructure, enhancing livelihoods and increasing </w:t>
      </w:r>
      <w:r w:rsidRPr="00B62BB9">
        <w:rPr>
          <w:rFonts w:ascii="Times New Roman" w:eastAsia="Calibri" w:hAnsi="Times New Roman"/>
          <w:color w:val="000000" w:themeColor="text1"/>
        </w:rPr>
        <w:t>disaster risk management</w:t>
      </w:r>
      <w:r>
        <w:rPr>
          <w:rFonts w:ascii="Times New Roman" w:eastAsia="Calibri" w:hAnsi="Times New Roman"/>
          <w:color w:val="000000" w:themeColor="text1"/>
        </w:rPr>
        <w:t xml:space="preserve"> (DRM) and CCA capacity through the implementation of community-based resilience projects.   </w:t>
      </w:r>
    </w:p>
    <w:p w14:paraId="1A64EC06" w14:textId="095F0CDD" w:rsidR="002A110D" w:rsidRDefault="002A110D" w:rsidP="002A110D">
      <w:pPr>
        <w:spacing w:after="0" w:line="240" w:lineRule="auto"/>
        <w:jc w:val="both"/>
        <w:rPr>
          <w:rFonts w:ascii="Times New Roman" w:eastAsia="Calibri" w:hAnsi="Times New Roman" w:cs="Times New Roman"/>
          <w:color w:val="000000" w:themeColor="text1"/>
        </w:rPr>
      </w:pPr>
    </w:p>
    <w:p w14:paraId="1E7D2AC4" w14:textId="6EEAF99A" w:rsidR="00511FE2" w:rsidRDefault="00511FE2" w:rsidP="006C4130">
      <w:pPr>
        <w:spacing w:after="0" w:line="240" w:lineRule="auto"/>
        <w:jc w:val="both"/>
        <w:rPr>
          <w:rFonts w:ascii="Times New Roman" w:eastAsia="Calibri" w:hAnsi="Times New Roman"/>
          <w:color w:val="000000" w:themeColor="text1"/>
        </w:rPr>
      </w:pPr>
      <w:r>
        <w:rPr>
          <w:rFonts w:ascii="Times New Roman" w:eastAsia="Calibri" w:hAnsi="Times New Roman"/>
          <w:color w:val="000000" w:themeColor="text1"/>
        </w:rPr>
        <w:t>2</w:t>
      </w:r>
      <w:r w:rsidRPr="00511FE2">
        <w:rPr>
          <w:rFonts w:ascii="Times New Roman" w:eastAsia="Calibri" w:hAnsi="Times New Roman"/>
          <w:color w:val="000000" w:themeColor="text1"/>
        </w:rPr>
        <w:t xml:space="preserve">.02 The DRR/CCA initiatives undertaken at the community level seek to enhance livelihoods, resilience and sustainability within the community.  </w:t>
      </w:r>
    </w:p>
    <w:p w14:paraId="38C3B62A" w14:textId="77777777" w:rsidR="006C4130" w:rsidRDefault="006C4130" w:rsidP="006C4130">
      <w:pPr>
        <w:spacing w:after="0" w:line="240" w:lineRule="auto"/>
        <w:jc w:val="both"/>
        <w:rPr>
          <w:rFonts w:ascii="Times New Roman" w:eastAsia="Calibri" w:hAnsi="Times New Roman" w:cs="Times New Roman"/>
          <w:color w:val="000000" w:themeColor="text1"/>
        </w:rPr>
      </w:pPr>
    </w:p>
    <w:p w14:paraId="2CBF5D86" w14:textId="77777777" w:rsidR="002A110D" w:rsidRPr="00EB49B9" w:rsidRDefault="002A110D" w:rsidP="002A110D">
      <w:pPr>
        <w:spacing w:after="0" w:line="240" w:lineRule="auto"/>
        <w:jc w:val="both"/>
        <w:rPr>
          <w:rFonts w:ascii="Times New Roman" w:eastAsia="Calibri" w:hAnsi="Times New Roman"/>
          <w:b/>
          <w:color w:val="000000" w:themeColor="text1"/>
        </w:rPr>
      </w:pPr>
      <w:r w:rsidRPr="00EB49B9">
        <w:rPr>
          <w:rFonts w:ascii="Times New Roman" w:eastAsia="Calibri" w:hAnsi="Times New Roman"/>
          <w:b/>
          <w:color w:val="000000" w:themeColor="text1"/>
        </w:rPr>
        <w:lastRenderedPageBreak/>
        <w:tab/>
        <w:t xml:space="preserve">Sub-project Pipeline  </w:t>
      </w:r>
    </w:p>
    <w:p w14:paraId="4473B220" w14:textId="77777777" w:rsidR="002A110D" w:rsidRPr="00200C5A" w:rsidRDefault="002A110D" w:rsidP="002A110D">
      <w:pPr>
        <w:spacing w:after="0" w:line="240" w:lineRule="auto"/>
        <w:jc w:val="both"/>
        <w:rPr>
          <w:rFonts w:ascii="Times New Roman" w:hAnsi="Times New Roman"/>
          <w:b/>
          <w:color w:val="0D0D0D" w:themeColor="text1" w:themeTint="F2"/>
          <w:u w:val="single"/>
        </w:rPr>
      </w:pPr>
    </w:p>
    <w:p w14:paraId="2585444D" w14:textId="0645E99F" w:rsidR="002A110D" w:rsidRDefault="002A110D" w:rsidP="002A110D">
      <w:pPr>
        <w:tabs>
          <w:tab w:val="left" w:pos="360"/>
        </w:tabs>
        <w:spacing w:after="0" w:line="240" w:lineRule="auto"/>
        <w:jc w:val="both"/>
        <w:rPr>
          <w:rFonts w:ascii="Times New Roman" w:hAnsi="Times New Roman"/>
          <w:color w:val="0D0D0D" w:themeColor="text1" w:themeTint="F2"/>
        </w:rPr>
      </w:pPr>
      <w:r>
        <w:rPr>
          <w:rFonts w:ascii="Times New Roman" w:hAnsi="Times New Roman"/>
          <w:color w:val="0D0D0D" w:themeColor="text1" w:themeTint="F2"/>
        </w:rPr>
        <w:t>2.0</w:t>
      </w:r>
      <w:r w:rsidR="00511FE2">
        <w:rPr>
          <w:rFonts w:ascii="Times New Roman" w:hAnsi="Times New Roman"/>
          <w:color w:val="0D0D0D" w:themeColor="text1" w:themeTint="F2"/>
        </w:rPr>
        <w:t>3</w:t>
      </w:r>
      <w:r>
        <w:rPr>
          <w:rFonts w:ascii="Times New Roman" w:hAnsi="Times New Roman"/>
          <w:color w:val="0D0D0D" w:themeColor="text1" w:themeTint="F2"/>
        </w:rPr>
        <w:t xml:space="preserve"> </w:t>
      </w:r>
      <w:r>
        <w:rPr>
          <w:rFonts w:ascii="Times New Roman" w:hAnsi="Times New Roman"/>
          <w:color w:val="0D0D0D" w:themeColor="text1" w:themeTint="F2"/>
        </w:rPr>
        <w:tab/>
        <w:t xml:space="preserve">One expected CDRRF project output is the development of a pipeline of community-based sub-projects.  This was accomplished by the end of March 2017 as the DRR and CC sub-project pipeline consisted of 14 community-based initiatives distributed across seven CDB member countries.  The Project Application Documents submitted by </w:t>
      </w:r>
      <w:r w:rsidRPr="00B62BB9">
        <w:rPr>
          <w:rFonts w:ascii="Times New Roman" w:hAnsi="Times New Roman"/>
          <w:color w:val="0D0D0D" w:themeColor="text1" w:themeTint="F2"/>
        </w:rPr>
        <w:t xml:space="preserve">CBOs, non-governmental </w:t>
      </w:r>
      <w:proofErr w:type="spellStart"/>
      <w:r w:rsidRPr="00B62BB9">
        <w:rPr>
          <w:rFonts w:ascii="Times New Roman" w:hAnsi="Times New Roman"/>
          <w:color w:val="0D0D0D" w:themeColor="text1" w:themeTint="F2"/>
        </w:rPr>
        <w:t>organisations</w:t>
      </w:r>
      <w:proofErr w:type="spellEnd"/>
      <w:r>
        <w:rPr>
          <w:rFonts w:ascii="Times New Roman" w:hAnsi="Times New Roman"/>
          <w:color w:val="0D0D0D" w:themeColor="text1" w:themeTint="F2"/>
        </w:rPr>
        <w:t xml:space="preserve"> (NGO) and public sector agencies were approved for appraisal by the Project Technical Review Committee (PTRC)</w:t>
      </w:r>
      <w:r>
        <w:rPr>
          <w:rStyle w:val="FootnoteReference"/>
          <w:rFonts w:ascii="Times New Roman" w:hAnsi="Times New Roman"/>
          <w:color w:val="0D0D0D" w:themeColor="text1" w:themeTint="F2"/>
        </w:rPr>
        <w:footnoteReference w:id="3"/>
      </w:r>
      <w:r>
        <w:rPr>
          <w:rFonts w:ascii="Times New Roman" w:hAnsi="Times New Roman"/>
          <w:color w:val="0D0D0D" w:themeColor="text1" w:themeTint="F2"/>
        </w:rPr>
        <w:t xml:space="preserve"> and eight of these sub-projects were appraised by the end of July 2017.     </w:t>
      </w:r>
    </w:p>
    <w:p w14:paraId="049A0D2D" w14:textId="77777777" w:rsidR="002A110D" w:rsidRDefault="002A110D" w:rsidP="002A110D">
      <w:pPr>
        <w:spacing w:after="0" w:line="240" w:lineRule="auto"/>
        <w:jc w:val="both"/>
        <w:rPr>
          <w:rFonts w:ascii="Times New Roman" w:hAnsi="Times New Roman"/>
          <w:color w:val="0D0D0D" w:themeColor="text1" w:themeTint="F2"/>
        </w:rPr>
      </w:pPr>
    </w:p>
    <w:p w14:paraId="24F82A9A" w14:textId="42C7036C" w:rsidR="002A110D" w:rsidRDefault="002A110D" w:rsidP="002A110D">
      <w:pPr>
        <w:spacing w:after="0" w:line="240" w:lineRule="auto"/>
        <w:jc w:val="both"/>
        <w:rPr>
          <w:rFonts w:ascii="Times New Roman" w:eastAsia="Calibri" w:hAnsi="Times New Roman"/>
          <w:color w:val="000000" w:themeColor="text1"/>
        </w:rPr>
      </w:pPr>
      <w:r>
        <w:rPr>
          <w:rFonts w:ascii="Times New Roman" w:hAnsi="Times New Roman"/>
          <w:color w:val="0D0D0D" w:themeColor="text1" w:themeTint="F2"/>
        </w:rPr>
        <w:t>2.0</w:t>
      </w:r>
      <w:r w:rsidR="00511FE2">
        <w:rPr>
          <w:rFonts w:ascii="Times New Roman" w:hAnsi="Times New Roman"/>
          <w:color w:val="0D0D0D" w:themeColor="text1" w:themeTint="F2"/>
        </w:rPr>
        <w:t>4</w:t>
      </w:r>
      <w:r>
        <w:rPr>
          <w:rFonts w:ascii="Times New Roman" w:hAnsi="Times New Roman"/>
          <w:color w:val="0D0D0D" w:themeColor="text1" w:themeTint="F2"/>
        </w:rPr>
        <w:tab/>
        <w:t xml:space="preserve">In November 2017, the </w:t>
      </w:r>
      <w:r w:rsidRPr="00EB49B9">
        <w:rPr>
          <w:rFonts w:ascii="Times New Roman" w:hAnsi="Times New Roman"/>
          <w:color w:val="0D0D0D" w:themeColor="text1" w:themeTint="F2"/>
        </w:rPr>
        <w:t>Trust Fund Steering Committee (TFSC)</w:t>
      </w:r>
      <w:r>
        <w:rPr>
          <w:rFonts w:ascii="Times New Roman" w:hAnsi="Times New Roman"/>
          <w:color w:val="0D0D0D" w:themeColor="text1" w:themeTint="F2"/>
        </w:rPr>
        <w:t xml:space="preserve"> decided that the appraisal of six sub-projects in the pipeline which were </w:t>
      </w:r>
      <w:r>
        <w:rPr>
          <w:rFonts w:ascii="Times New Roman" w:eastAsia="Calibri" w:hAnsi="Times New Roman"/>
          <w:color w:val="000000" w:themeColor="text1"/>
        </w:rPr>
        <w:t>spread across the following CDB BMCs should be cancelled:</w:t>
      </w:r>
    </w:p>
    <w:p w14:paraId="5F8712B6" w14:textId="77777777" w:rsidR="002A110D" w:rsidRDefault="002A110D" w:rsidP="002A110D">
      <w:pPr>
        <w:spacing w:after="0" w:line="240" w:lineRule="auto"/>
        <w:jc w:val="both"/>
        <w:rPr>
          <w:rFonts w:ascii="Times New Roman" w:eastAsia="Calibri" w:hAnsi="Times New Roman"/>
          <w:color w:val="000000" w:themeColor="text1"/>
        </w:rPr>
      </w:pPr>
    </w:p>
    <w:p w14:paraId="5BE5B5DE" w14:textId="77777777" w:rsidR="002A110D" w:rsidRDefault="002A110D" w:rsidP="002A110D">
      <w:pPr>
        <w:spacing w:after="0" w:line="240" w:lineRule="auto"/>
        <w:ind w:left="1440" w:hanging="720"/>
        <w:jc w:val="both"/>
        <w:rPr>
          <w:rFonts w:ascii="Times New Roman" w:eastAsia="Calibri" w:hAnsi="Times New Roman"/>
          <w:color w:val="000000" w:themeColor="text1"/>
        </w:rPr>
      </w:pPr>
      <w:r>
        <w:rPr>
          <w:rFonts w:ascii="Times New Roman" w:eastAsia="Calibri" w:hAnsi="Times New Roman"/>
          <w:color w:val="000000" w:themeColor="text1"/>
        </w:rPr>
        <w:t xml:space="preserve">(a) </w:t>
      </w:r>
      <w:r>
        <w:rPr>
          <w:rFonts w:ascii="Times New Roman" w:eastAsia="Calibri" w:hAnsi="Times New Roman"/>
          <w:color w:val="000000" w:themeColor="text1"/>
        </w:rPr>
        <w:tab/>
        <w:t xml:space="preserve">Belize.  </w:t>
      </w:r>
    </w:p>
    <w:p w14:paraId="167EF91E" w14:textId="77777777" w:rsidR="002A110D" w:rsidRDefault="002A110D" w:rsidP="00AD1B2B">
      <w:pPr>
        <w:pStyle w:val="ListParagraph"/>
        <w:numPr>
          <w:ilvl w:val="0"/>
          <w:numId w:val="22"/>
        </w:numPr>
        <w:spacing w:after="0" w:line="240" w:lineRule="auto"/>
        <w:ind w:hanging="720"/>
        <w:contextualSpacing w:val="0"/>
        <w:jc w:val="both"/>
        <w:rPr>
          <w:rFonts w:ascii="Times New Roman" w:eastAsia="Calibri" w:hAnsi="Times New Roman"/>
          <w:color w:val="000000" w:themeColor="text1"/>
        </w:rPr>
      </w:pPr>
      <w:r w:rsidRPr="000B2D5F">
        <w:rPr>
          <w:rFonts w:ascii="Times New Roman" w:eastAsia="Calibri" w:hAnsi="Times New Roman"/>
          <w:color w:val="000000" w:themeColor="text1"/>
        </w:rPr>
        <w:t>Dominica</w:t>
      </w:r>
      <w:r>
        <w:rPr>
          <w:rFonts w:ascii="Times New Roman" w:eastAsia="Calibri" w:hAnsi="Times New Roman"/>
          <w:color w:val="000000" w:themeColor="text1"/>
        </w:rPr>
        <w:t>.</w:t>
      </w:r>
      <w:r w:rsidRPr="000B2D5F">
        <w:rPr>
          <w:rFonts w:ascii="Times New Roman" w:eastAsia="Calibri" w:hAnsi="Times New Roman"/>
          <w:color w:val="000000" w:themeColor="text1"/>
        </w:rPr>
        <w:t xml:space="preserve"> </w:t>
      </w:r>
      <w:r>
        <w:rPr>
          <w:rFonts w:ascii="Times New Roman" w:eastAsia="Calibri" w:hAnsi="Times New Roman"/>
          <w:color w:val="000000" w:themeColor="text1"/>
        </w:rPr>
        <w:t xml:space="preserve"> </w:t>
      </w:r>
    </w:p>
    <w:p w14:paraId="2027A3DB" w14:textId="77777777" w:rsidR="002A110D" w:rsidRPr="000B2D5F" w:rsidRDefault="002A110D" w:rsidP="00AD1B2B">
      <w:pPr>
        <w:pStyle w:val="ListParagraph"/>
        <w:numPr>
          <w:ilvl w:val="0"/>
          <w:numId w:val="22"/>
        </w:numPr>
        <w:spacing w:after="0" w:line="240" w:lineRule="auto"/>
        <w:ind w:hanging="720"/>
        <w:contextualSpacing w:val="0"/>
        <w:jc w:val="both"/>
        <w:rPr>
          <w:rFonts w:ascii="Times New Roman" w:eastAsia="Calibri" w:hAnsi="Times New Roman"/>
          <w:color w:val="000000" w:themeColor="text1"/>
        </w:rPr>
      </w:pPr>
      <w:r w:rsidRPr="000B2D5F">
        <w:rPr>
          <w:rFonts w:ascii="Times New Roman" w:eastAsia="Calibri" w:hAnsi="Times New Roman"/>
          <w:color w:val="000000" w:themeColor="text1"/>
        </w:rPr>
        <w:t>Grenada</w:t>
      </w:r>
      <w:r>
        <w:rPr>
          <w:rFonts w:ascii="Times New Roman" w:eastAsia="Calibri" w:hAnsi="Times New Roman"/>
          <w:color w:val="000000" w:themeColor="text1"/>
        </w:rPr>
        <w:t xml:space="preserve">. </w:t>
      </w:r>
    </w:p>
    <w:p w14:paraId="2BC5C5A0" w14:textId="77777777" w:rsidR="002A110D" w:rsidRDefault="002A110D" w:rsidP="00AD1B2B">
      <w:pPr>
        <w:pStyle w:val="ListParagraph"/>
        <w:numPr>
          <w:ilvl w:val="0"/>
          <w:numId w:val="22"/>
        </w:numPr>
        <w:spacing w:after="0" w:line="240" w:lineRule="auto"/>
        <w:ind w:hanging="720"/>
        <w:contextualSpacing w:val="0"/>
        <w:jc w:val="both"/>
        <w:rPr>
          <w:rFonts w:ascii="Times New Roman" w:eastAsia="Calibri" w:hAnsi="Times New Roman"/>
          <w:color w:val="000000" w:themeColor="text1"/>
        </w:rPr>
      </w:pPr>
      <w:r w:rsidRPr="000B2D5F">
        <w:rPr>
          <w:rFonts w:ascii="Times New Roman" w:eastAsia="Calibri" w:hAnsi="Times New Roman"/>
          <w:color w:val="000000" w:themeColor="text1"/>
        </w:rPr>
        <w:t>Jamaica</w:t>
      </w:r>
      <w:r>
        <w:rPr>
          <w:rFonts w:ascii="Times New Roman" w:eastAsia="Calibri" w:hAnsi="Times New Roman"/>
          <w:color w:val="000000" w:themeColor="text1"/>
        </w:rPr>
        <w:t xml:space="preserve">. </w:t>
      </w:r>
      <w:r w:rsidRPr="000B2D5F">
        <w:rPr>
          <w:rFonts w:ascii="Times New Roman" w:eastAsia="Calibri" w:hAnsi="Times New Roman"/>
          <w:color w:val="000000" w:themeColor="text1"/>
        </w:rPr>
        <w:t xml:space="preserve"> </w:t>
      </w:r>
    </w:p>
    <w:p w14:paraId="5D3B6663" w14:textId="77777777" w:rsidR="002A110D" w:rsidRDefault="002A110D" w:rsidP="00AD1B2B">
      <w:pPr>
        <w:pStyle w:val="ListParagraph"/>
        <w:numPr>
          <w:ilvl w:val="0"/>
          <w:numId w:val="22"/>
        </w:numPr>
        <w:spacing w:after="0" w:line="240" w:lineRule="auto"/>
        <w:ind w:hanging="720"/>
        <w:contextualSpacing w:val="0"/>
        <w:jc w:val="both"/>
        <w:rPr>
          <w:rFonts w:ascii="Times New Roman" w:eastAsia="Calibri" w:hAnsi="Times New Roman"/>
          <w:color w:val="000000" w:themeColor="text1"/>
        </w:rPr>
      </w:pPr>
      <w:r>
        <w:rPr>
          <w:rFonts w:ascii="Times New Roman" w:eastAsia="Calibri" w:hAnsi="Times New Roman"/>
          <w:color w:val="000000" w:themeColor="text1"/>
        </w:rPr>
        <w:t>Saint</w:t>
      </w:r>
      <w:r w:rsidRPr="000B2D5F">
        <w:rPr>
          <w:rFonts w:ascii="Times New Roman" w:eastAsia="Calibri" w:hAnsi="Times New Roman"/>
          <w:color w:val="000000" w:themeColor="text1"/>
        </w:rPr>
        <w:t xml:space="preserve"> </w:t>
      </w:r>
      <w:r>
        <w:rPr>
          <w:rFonts w:ascii="Times New Roman" w:eastAsia="Calibri" w:hAnsi="Times New Roman"/>
          <w:color w:val="000000" w:themeColor="text1"/>
        </w:rPr>
        <w:t xml:space="preserve">Lucia.  </w:t>
      </w:r>
    </w:p>
    <w:p w14:paraId="4AD3C6F2" w14:textId="77777777" w:rsidR="002A110D" w:rsidRPr="000B2D5F" w:rsidRDefault="002A110D" w:rsidP="00AD1B2B">
      <w:pPr>
        <w:pStyle w:val="ListParagraph"/>
        <w:numPr>
          <w:ilvl w:val="0"/>
          <w:numId w:val="22"/>
        </w:numPr>
        <w:spacing w:after="0" w:line="240" w:lineRule="auto"/>
        <w:ind w:hanging="720"/>
        <w:contextualSpacing w:val="0"/>
        <w:jc w:val="both"/>
        <w:rPr>
          <w:rFonts w:ascii="Times New Roman" w:eastAsia="Calibri" w:hAnsi="Times New Roman"/>
          <w:color w:val="000000" w:themeColor="text1"/>
        </w:rPr>
      </w:pPr>
      <w:r>
        <w:rPr>
          <w:rFonts w:ascii="Times New Roman" w:eastAsia="Calibri" w:hAnsi="Times New Roman"/>
          <w:color w:val="000000" w:themeColor="text1"/>
        </w:rPr>
        <w:t xml:space="preserve">St. </w:t>
      </w:r>
      <w:r w:rsidRPr="000B2D5F">
        <w:rPr>
          <w:rFonts w:ascii="Times New Roman" w:eastAsia="Calibri" w:hAnsi="Times New Roman"/>
          <w:color w:val="000000" w:themeColor="text1"/>
        </w:rPr>
        <w:t>Vincent and the Grenadines</w:t>
      </w:r>
      <w:r>
        <w:rPr>
          <w:rFonts w:ascii="Times New Roman" w:eastAsia="Calibri" w:hAnsi="Times New Roman"/>
          <w:color w:val="000000" w:themeColor="text1"/>
        </w:rPr>
        <w:t xml:space="preserve"> (SVG).</w:t>
      </w:r>
    </w:p>
    <w:p w14:paraId="398409BB" w14:textId="77777777" w:rsidR="002A110D" w:rsidRDefault="002A110D" w:rsidP="002A110D">
      <w:pPr>
        <w:spacing w:after="0" w:line="240" w:lineRule="auto"/>
        <w:jc w:val="both"/>
        <w:rPr>
          <w:rFonts w:ascii="Times New Roman" w:hAnsi="Times New Roman"/>
          <w:color w:val="0D0D0D" w:themeColor="text1" w:themeTint="F2"/>
        </w:rPr>
      </w:pPr>
    </w:p>
    <w:p w14:paraId="19762048" w14:textId="5A1A2537" w:rsidR="002A110D" w:rsidRDefault="002A110D" w:rsidP="002A110D">
      <w:pPr>
        <w:spacing w:after="0" w:line="240" w:lineRule="auto"/>
        <w:jc w:val="both"/>
        <w:rPr>
          <w:rFonts w:ascii="Times New Roman" w:eastAsia="Calibri" w:hAnsi="Times New Roman"/>
          <w:color w:val="000000" w:themeColor="text1"/>
        </w:rPr>
      </w:pPr>
      <w:r>
        <w:rPr>
          <w:rFonts w:ascii="Times New Roman" w:hAnsi="Times New Roman"/>
          <w:color w:val="0D0D0D" w:themeColor="text1" w:themeTint="F2"/>
        </w:rPr>
        <w:t>2.0</w:t>
      </w:r>
      <w:r w:rsidR="00511FE2">
        <w:rPr>
          <w:rFonts w:ascii="Times New Roman" w:hAnsi="Times New Roman"/>
          <w:color w:val="0D0D0D" w:themeColor="text1" w:themeTint="F2"/>
        </w:rPr>
        <w:t>5</w:t>
      </w:r>
      <w:r>
        <w:rPr>
          <w:rFonts w:ascii="Times New Roman" w:hAnsi="Times New Roman"/>
          <w:color w:val="0D0D0D" w:themeColor="text1" w:themeTint="F2"/>
        </w:rPr>
        <w:tab/>
        <w:t xml:space="preserve">The TFSC’s decision was based on </w:t>
      </w:r>
      <w:r>
        <w:rPr>
          <w:rFonts w:ascii="Times New Roman" w:eastAsia="Calibri" w:hAnsi="Times New Roman"/>
          <w:color w:val="000000" w:themeColor="text1"/>
        </w:rPr>
        <w:t xml:space="preserve">Global Affairs Canada’s </w:t>
      </w:r>
      <w:r w:rsidRPr="0036408B">
        <w:rPr>
          <w:rFonts w:ascii="Times New Roman" w:eastAsia="Calibri" w:hAnsi="Times New Roman"/>
          <w:color w:val="000000" w:themeColor="text1"/>
        </w:rPr>
        <w:t>pr</w:t>
      </w:r>
      <w:r>
        <w:rPr>
          <w:rFonts w:ascii="Times New Roman" w:eastAsia="Calibri" w:hAnsi="Times New Roman"/>
          <w:color w:val="000000" w:themeColor="text1"/>
        </w:rPr>
        <w:t xml:space="preserve">oposed </w:t>
      </w:r>
      <w:r w:rsidRPr="0036408B">
        <w:rPr>
          <w:rFonts w:ascii="Times New Roman" w:eastAsia="Calibri" w:hAnsi="Times New Roman"/>
          <w:color w:val="000000" w:themeColor="text1"/>
        </w:rPr>
        <w:t xml:space="preserve">re-purposing of </w:t>
      </w:r>
      <w:r>
        <w:rPr>
          <w:rFonts w:ascii="Times New Roman" w:eastAsia="Calibri" w:hAnsi="Times New Roman"/>
          <w:color w:val="000000" w:themeColor="text1"/>
        </w:rPr>
        <w:t xml:space="preserve">the financing </w:t>
      </w:r>
      <w:r w:rsidRPr="0036408B">
        <w:rPr>
          <w:rFonts w:ascii="Times New Roman" w:eastAsia="Calibri" w:hAnsi="Times New Roman"/>
          <w:color w:val="000000" w:themeColor="text1"/>
        </w:rPr>
        <w:t xml:space="preserve">allocated </w:t>
      </w:r>
      <w:r>
        <w:rPr>
          <w:rFonts w:ascii="Times New Roman" w:eastAsia="Calibri" w:hAnsi="Times New Roman"/>
          <w:color w:val="000000" w:themeColor="text1"/>
        </w:rPr>
        <w:t>for the six sub-</w:t>
      </w:r>
      <w:r w:rsidRPr="0036408B">
        <w:rPr>
          <w:rFonts w:ascii="Times New Roman" w:eastAsia="Calibri" w:hAnsi="Times New Roman"/>
          <w:color w:val="000000" w:themeColor="text1"/>
        </w:rPr>
        <w:t xml:space="preserve">projects </w:t>
      </w:r>
      <w:r>
        <w:rPr>
          <w:rFonts w:ascii="Times New Roman" w:eastAsia="Calibri" w:hAnsi="Times New Roman"/>
          <w:color w:val="000000" w:themeColor="text1"/>
        </w:rPr>
        <w:t xml:space="preserve">to support the reconstruction efforts, aimed at addressing the widespread damage arising from the passage of Hurricanes Irma and Maria in Antigua and Barbuda and Dominica during September 2017.  </w:t>
      </w:r>
    </w:p>
    <w:p w14:paraId="63C1195C" w14:textId="77777777" w:rsidR="002A110D" w:rsidRDefault="002A110D" w:rsidP="002A110D">
      <w:pPr>
        <w:spacing w:after="0" w:line="240" w:lineRule="auto"/>
        <w:jc w:val="both"/>
        <w:rPr>
          <w:rFonts w:ascii="Times New Roman" w:eastAsia="Calibri" w:hAnsi="Times New Roman"/>
          <w:color w:val="000000" w:themeColor="text1"/>
        </w:rPr>
      </w:pPr>
    </w:p>
    <w:p w14:paraId="7F59D0EC" w14:textId="77777777" w:rsidR="002A110D" w:rsidRDefault="002A110D" w:rsidP="002A110D">
      <w:pPr>
        <w:spacing w:after="0" w:line="240" w:lineRule="auto"/>
        <w:jc w:val="both"/>
        <w:rPr>
          <w:rFonts w:ascii="Times New Roman" w:eastAsia="Calibri" w:hAnsi="Times New Roman"/>
          <w:color w:val="000000" w:themeColor="text1"/>
        </w:rPr>
      </w:pPr>
    </w:p>
    <w:p w14:paraId="33B0EEB0" w14:textId="77777777" w:rsidR="002A110D" w:rsidRPr="00EB49B9" w:rsidRDefault="002A110D" w:rsidP="002A110D">
      <w:pPr>
        <w:spacing w:after="0" w:line="240" w:lineRule="auto"/>
        <w:ind w:firstLine="720"/>
        <w:contextualSpacing/>
        <w:jc w:val="both"/>
        <w:rPr>
          <w:rFonts w:ascii="Times New Roman" w:eastAsia="Calibri" w:hAnsi="Times New Roman" w:cs="Times New Roman"/>
          <w:b/>
          <w:color w:val="0D0D0D" w:themeColor="text1" w:themeTint="F2"/>
        </w:rPr>
      </w:pPr>
      <w:r w:rsidRPr="00EB49B9">
        <w:rPr>
          <w:rFonts w:ascii="Times New Roman" w:eastAsia="Calibri" w:hAnsi="Times New Roman" w:cs="Times New Roman"/>
          <w:b/>
          <w:color w:val="0D0D0D" w:themeColor="text1" w:themeTint="F2"/>
        </w:rPr>
        <w:t>Sub-Project Commitments</w:t>
      </w:r>
    </w:p>
    <w:p w14:paraId="25C1A0A5" w14:textId="77777777" w:rsidR="002A110D" w:rsidRDefault="002A110D" w:rsidP="002A110D">
      <w:pPr>
        <w:spacing w:after="0" w:line="240" w:lineRule="auto"/>
        <w:jc w:val="both"/>
        <w:rPr>
          <w:rFonts w:ascii="Times New Roman" w:eastAsia="Calibri" w:hAnsi="Times New Roman" w:cs="Times New Roman"/>
          <w:color w:val="0D0D0D" w:themeColor="text1" w:themeTint="F2"/>
        </w:rPr>
      </w:pPr>
    </w:p>
    <w:p w14:paraId="7D5000C4" w14:textId="0FC91FCE" w:rsidR="002A110D" w:rsidRPr="002A110D" w:rsidRDefault="002A110D" w:rsidP="002A110D">
      <w:pPr>
        <w:spacing w:after="0" w:line="240" w:lineRule="auto"/>
        <w:jc w:val="both"/>
        <w:rPr>
          <w:rFonts w:ascii="Times New Roman" w:eastAsia="Calibri" w:hAnsi="Times New Roman"/>
          <w:color w:val="000000" w:themeColor="text1"/>
        </w:rPr>
      </w:pPr>
      <w:r>
        <w:rPr>
          <w:rFonts w:ascii="Times New Roman" w:eastAsia="Calibri" w:hAnsi="Times New Roman" w:cs="Times New Roman"/>
          <w:color w:val="0D0D0D" w:themeColor="text1" w:themeTint="F2"/>
        </w:rPr>
        <w:t xml:space="preserve">2.06 </w:t>
      </w:r>
      <w:r>
        <w:rPr>
          <w:rFonts w:ascii="Times New Roman" w:eastAsia="Calibri" w:hAnsi="Times New Roman" w:cs="Times New Roman"/>
          <w:color w:val="0D0D0D" w:themeColor="text1" w:themeTint="F2"/>
        </w:rPr>
        <w:tab/>
      </w:r>
      <w:r>
        <w:rPr>
          <w:rFonts w:ascii="Times New Roman" w:hAnsi="Times New Roman"/>
        </w:rPr>
        <w:t xml:space="preserve">Commitments to sub-projects in Jamaica account for the largest share of sub-project commitments - 62 percent (%) followed by Belize and the British Virgin </w:t>
      </w:r>
      <w:r w:rsidRPr="00AC35F3">
        <w:rPr>
          <w:rFonts w:ascii="Times New Roman" w:hAnsi="Times New Roman"/>
        </w:rPr>
        <w:t>Islands (BVI)</w:t>
      </w:r>
      <w:r>
        <w:rPr>
          <w:rFonts w:ascii="Times New Roman" w:hAnsi="Times New Roman"/>
        </w:rPr>
        <w:t xml:space="preserve"> which represented 13</w:t>
      </w:r>
      <w:proofErr w:type="gramStart"/>
      <w:r>
        <w:rPr>
          <w:rFonts w:ascii="Times New Roman" w:hAnsi="Times New Roman"/>
        </w:rPr>
        <w:t>%  and</w:t>
      </w:r>
      <w:proofErr w:type="gramEnd"/>
      <w:r>
        <w:rPr>
          <w:rFonts w:ascii="Times New Roman" w:hAnsi="Times New Roman"/>
        </w:rPr>
        <w:t xml:space="preserve"> SVG 12%.  </w:t>
      </w:r>
    </w:p>
    <w:p w14:paraId="36261938" w14:textId="77777777" w:rsidR="002A110D" w:rsidRDefault="002A110D" w:rsidP="002A110D">
      <w:pPr>
        <w:spacing w:after="0" w:line="240" w:lineRule="auto"/>
        <w:jc w:val="both"/>
        <w:rPr>
          <w:rFonts w:ascii="Times New Roman" w:eastAsia="Calibri" w:hAnsi="Times New Roman" w:cs="Times New Roman"/>
          <w:b/>
          <w:color w:val="000000" w:themeColor="text1"/>
        </w:rPr>
      </w:pPr>
    </w:p>
    <w:p w14:paraId="6EA23FA0" w14:textId="79F9B383" w:rsidR="002A110D" w:rsidRPr="00C47C25" w:rsidRDefault="002A110D" w:rsidP="002A110D">
      <w:pPr>
        <w:spacing w:after="0" w:line="240" w:lineRule="auto"/>
        <w:jc w:val="both"/>
        <w:rPr>
          <w:rFonts w:ascii="Times New Roman" w:eastAsia="Calibri" w:hAnsi="Times New Roman" w:cs="Times New Roman"/>
          <w:color w:val="000000" w:themeColor="text1"/>
        </w:rPr>
      </w:pPr>
      <w:r>
        <w:rPr>
          <w:rFonts w:ascii="Times New Roman" w:eastAsia="Calibri" w:hAnsi="Times New Roman"/>
          <w:color w:val="000000" w:themeColor="text1"/>
        </w:rPr>
        <w:t>2.07</w:t>
      </w:r>
      <w:r>
        <w:rPr>
          <w:rFonts w:ascii="Times New Roman" w:eastAsia="Calibri" w:hAnsi="Times New Roman"/>
          <w:color w:val="000000" w:themeColor="text1"/>
        </w:rPr>
        <w:tab/>
        <w:t>At the end of March 2018, eight gender-responsive sub-projects with a combined value of       USD5.</w:t>
      </w:r>
      <w:r w:rsidR="0078271F">
        <w:rPr>
          <w:rFonts w:ascii="Times New Roman" w:eastAsia="Calibri" w:hAnsi="Times New Roman"/>
          <w:color w:val="000000" w:themeColor="text1"/>
        </w:rPr>
        <w:t>12</w:t>
      </w:r>
      <w:r>
        <w:rPr>
          <w:rFonts w:ascii="Times New Roman" w:eastAsia="Calibri" w:hAnsi="Times New Roman"/>
          <w:color w:val="000000" w:themeColor="text1"/>
        </w:rPr>
        <w:t xml:space="preserve"> </w:t>
      </w:r>
      <w:proofErr w:type="spellStart"/>
      <w:r>
        <w:rPr>
          <w:rFonts w:ascii="Times New Roman" w:eastAsia="Calibri" w:hAnsi="Times New Roman"/>
          <w:color w:val="000000" w:themeColor="text1"/>
        </w:rPr>
        <w:t>mn</w:t>
      </w:r>
      <w:proofErr w:type="spellEnd"/>
      <w:r>
        <w:rPr>
          <w:rFonts w:ascii="Times New Roman" w:eastAsia="Calibri" w:hAnsi="Times New Roman"/>
          <w:color w:val="000000" w:themeColor="text1"/>
        </w:rPr>
        <w:t xml:space="preserve"> were </w:t>
      </w:r>
      <w:r w:rsidRPr="0035188F">
        <w:rPr>
          <w:rFonts w:ascii="Times New Roman" w:eastAsia="Calibri" w:hAnsi="Times New Roman"/>
          <w:color w:val="000000" w:themeColor="text1"/>
        </w:rPr>
        <w:t xml:space="preserve">under implementation </w:t>
      </w:r>
      <w:r>
        <w:rPr>
          <w:rFonts w:ascii="Times New Roman" w:eastAsia="Calibri" w:hAnsi="Times New Roman"/>
          <w:color w:val="000000" w:themeColor="text1"/>
        </w:rPr>
        <w:t xml:space="preserve">in four </w:t>
      </w:r>
      <w:r w:rsidRPr="0035188F">
        <w:rPr>
          <w:rFonts w:ascii="Times New Roman" w:eastAsia="Calibri" w:hAnsi="Times New Roman"/>
          <w:color w:val="000000" w:themeColor="text1"/>
        </w:rPr>
        <w:t>CDB member countries</w:t>
      </w:r>
      <w:r>
        <w:rPr>
          <w:rFonts w:ascii="Times New Roman" w:eastAsia="Calibri" w:hAnsi="Times New Roman"/>
          <w:color w:val="000000" w:themeColor="text1"/>
        </w:rPr>
        <w:t xml:space="preserve">.  Table 1 provides a list of the sub-projects, their components, location, and implementing agencies. </w:t>
      </w:r>
    </w:p>
    <w:p w14:paraId="616FD0F6" w14:textId="77777777" w:rsidR="002A110D" w:rsidRDefault="002A110D" w:rsidP="002A110D">
      <w:pPr>
        <w:spacing w:after="0" w:line="240" w:lineRule="auto"/>
        <w:jc w:val="both"/>
        <w:rPr>
          <w:rFonts w:ascii="Times New Roman" w:eastAsia="Calibri" w:hAnsi="Times New Roman" w:cs="Times New Roman"/>
          <w:b/>
          <w:color w:val="000000" w:themeColor="text1"/>
        </w:rPr>
      </w:pPr>
    </w:p>
    <w:p w14:paraId="19B066AE" w14:textId="77777777" w:rsidR="002A110D" w:rsidRDefault="002A110D" w:rsidP="002A110D">
      <w:pPr>
        <w:spacing w:after="0" w:line="240" w:lineRule="auto"/>
        <w:jc w:val="both"/>
        <w:rPr>
          <w:rFonts w:ascii="Times New Roman" w:eastAsia="Calibri" w:hAnsi="Times New Roman" w:cs="Times New Roman"/>
          <w:b/>
          <w:color w:val="000000" w:themeColor="text1"/>
        </w:rPr>
      </w:pPr>
    </w:p>
    <w:p w14:paraId="1F5FD79C" w14:textId="77777777" w:rsidR="002A110D" w:rsidRDefault="002A110D" w:rsidP="002A110D">
      <w:pPr>
        <w:spacing w:after="0" w:line="240" w:lineRule="auto"/>
        <w:jc w:val="both"/>
        <w:rPr>
          <w:rFonts w:ascii="Times New Roman" w:eastAsia="Calibri" w:hAnsi="Times New Roman" w:cs="Times New Roman"/>
          <w:b/>
          <w:color w:val="000000" w:themeColor="text1"/>
        </w:rPr>
      </w:pPr>
    </w:p>
    <w:p w14:paraId="3ADF5091" w14:textId="77777777" w:rsidR="002A110D" w:rsidRDefault="002A110D" w:rsidP="002A110D">
      <w:pPr>
        <w:spacing w:after="0" w:line="240" w:lineRule="auto"/>
        <w:jc w:val="both"/>
        <w:rPr>
          <w:rFonts w:ascii="Times New Roman" w:eastAsia="Calibri" w:hAnsi="Times New Roman" w:cs="Times New Roman"/>
          <w:b/>
          <w:color w:val="000000" w:themeColor="text1"/>
        </w:rPr>
      </w:pPr>
    </w:p>
    <w:p w14:paraId="10794D4C" w14:textId="31D5C906" w:rsidR="002A110D" w:rsidRDefault="002A110D" w:rsidP="002A110D">
      <w:pPr>
        <w:spacing w:after="0" w:line="240" w:lineRule="auto"/>
        <w:jc w:val="both"/>
        <w:rPr>
          <w:rFonts w:ascii="Times New Roman" w:eastAsia="Calibri" w:hAnsi="Times New Roman" w:cs="Times New Roman"/>
          <w:b/>
          <w:color w:val="000000" w:themeColor="text1"/>
        </w:rPr>
      </w:pPr>
    </w:p>
    <w:p w14:paraId="718DC4F1" w14:textId="66C9429E" w:rsidR="009D71C6" w:rsidRDefault="009D71C6" w:rsidP="002A110D">
      <w:pPr>
        <w:spacing w:after="0" w:line="240" w:lineRule="auto"/>
        <w:jc w:val="both"/>
        <w:rPr>
          <w:rFonts w:ascii="Times New Roman" w:eastAsia="Calibri" w:hAnsi="Times New Roman" w:cs="Times New Roman"/>
          <w:b/>
          <w:color w:val="000000" w:themeColor="text1"/>
        </w:rPr>
      </w:pPr>
    </w:p>
    <w:p w14:paraId="520D84FC" w14:textId="6BB38C5D" w:rsidR="009D71C6" w:rsidRDefault="009D71C6" w:rsidP="002A110D">
      <w:pPr>
        <w:spacing w:after="0" w:line="240" w:lineRule="auto"/>
        <w:jc w:val="both"/>
        <w:rPr>
          <w:rFonts w:ascii="Times New Roman" w:eastAsia="Calibri" w:hAnsi="Times New Roman" w:cs="Times New Roman"/>
          <w:b/>
          <w:color w:val="000000" w:themeColor="text1"/>
        </w:rPr>
      </w:pPr>
    </w:p>
    <w:p w14:paraId="621CBD4D" w14:textId="03971402" w:rsidR="009D71C6" w:rsidRDefault="009D71C6" w:rsidP="002A110D">
      <w:pPr>
        <w:spacing w:after="0" w:line="240" w:lineRule="auto"/>
        <w:jc w:val="both"/>
        <w:rPr>
          <w:rFonts w:ascii="Times New Roman" w:eastAsia="Calibri" w:hAnsi="Times New Roman" w:cs="Times New Roman"/>
          <w:b/>
          <w:color w:val="000000" w:themeColor="text1"/>
        </w:rPr>
      </w:pPr>
    </w:p>
    <w:p w14:paraId="55E74CD1" w14:textId="257AE1B1" w:rsidR="009D71C6" w:rsidRDefault="009D71C6" w:rsidP="002A110D">
      <w:pPr>
        <w:spacing w:after="0" w:line="240" w:lineRule="auto"/>
        <w:jc w:val="both"/>
        <w:rPr>
          <w:rFonts w:ascii="Times New Roman" w:eastAsia="Calibri" w:hAnsi="Times New Roman" w:cs="Times New Roman"/>
          <w:b/>
          <w:color w:val="000000" w:themeColor="text1"/>
        </w:rPr>
      </w:pPr>
    </w:p>
    <w:p w14:paraId="76310F20" w14:textId="531E37EF" w:rsidR="009D71C6" w:rsidRDefault="009D71C6" w:rsidP="002A110D">
      <w:pPr>
        <w:spacing w:after="0" w:line="240" w:lineRule="auto"/>
        <w:jc w:val="both"/>
        <w:rPr>
          <w:rFonts w:ascii="Times New Roman" w:eastAsia="Calibri" w:hAnsi="Times New Roman" w:cs="Times New Roman"/>
          <w:b/>
          <w:color w:val="000000" w:themeColor="text1"/>
        </w:rPr>
      </w:pPr>
    </w:p>
    <w:p w14:paraId="4954A8A9" w14:textId="4FD73742" w:rsidR="009D71C6" w:rsidRDefault="009D71C6" w:rsidP="002A110D">
      <w:pPr>
        <w:spacing w:after="0" w:line="240" w:lineRule="auto"/>
        <w:jc w:val="both"/>
        <w:rPr>
          <w:rFonts w:ascii="Times New Roman" w:eastAsia="Calibri" w:hAnsi="Times New Roman" w:cs="Times New Roman"/>
          <w:b/>
          <w:color w:val="000000" w:themeColor="text1"/>
        </w:rPr>
      </w:pPr>
    </w:p>
    <w:p w14:paraId="0E6FACFB" w14:textId="6D4BD007" w:rsidR="009D71C6" w:rsidRDefault="009D71C6" w:rsidP="002A110D">
      <w:pPr>
        <w:spacing w:after="0" w:line="240" w:lineRule="auto"/>
        <w:jc w:val="both"/>
        <w:rPr>
          <w:rFonts w:ascii="Times New Roman" w:eastAsia="Calibri" w:hAnsi="Times New Roman" w:cs="Times New Roman"/>
          <w:b/>
          <w:color w:val="000000" w:themeColor="text1"/>
        </w:rPr>
      </w:pPr>
    </w:p>
    <w:p w14:paraId="10789B40" w14:textId="77777777" w:rsidR="009D71C6" w:rsidRDefault="009D71C6" w:rsidP="002A110D">
      <w:pPr>
        <w:spacing w:after="0" w:line="240" w:lineRule="auto"/>
        <w:jc w:val="both"/>
        <w:rPr>
          <w:rFonts w:ascii="Times New Roman" w:eastAsia="Calibri" w:hAnsi="Times New Roman" w:cs="Times New Roman"/>
          <w:b/>
          <w:color w:val="000000" w:themeColor="text1"/>
        </w:rPr>
      </w:pPr>
    </w:p>
    <w:p w14:paraId="18971376" w14:textId="77777777" w:rsidR="002A110D" w:rsidRDefault="002A110D" w:rsidP="002A110D">
      <w:pPr>
        <w:spacing w:after="0" w:line="240" w:lineRule="auto"/>
        <w:jc w:val="both"/>
        <w:rPr>
          <w:rFonts w:ascii="Times New Roman" w:eastAsia="Calibri" w:hAnsi="Times New Roman" w:cs="Times New Roman"/>
          <w:b/>
          <w:color w:val="000000" w:themeColor="text1"/>
        </w:rPr>
      </w:pPr>
    </w:p>
    <w:p w14:paraId="76D247D7" w14:textId="77777777" w:rsidR="002A110D" w:rsidRPr="00716883" w:rsidRDefault="002A110D" w:rsidP="002A110D">
      <w:pPr>
        <w:spacing w:after="0" w:line="240" w:lineRule="auto"/>
        <w:jc w:val="both"/>
        <w:rPr>
          <w:rFonts w:ascii="Times New Roman" w:eastAsia="Calibri" w:hAnsi="Times New Roman" w:cs="Times New Roman"/>
          <w:b/>
          <w:color w:val="000000" w:themeColor="text1"/>
        </w:rPr>
      </w:pPr>
      <w:r w:rsidRPr="00716883">
        <w:rPr>
          <w:rFonts w:ascii="Times New Roman" w:eastAsia="Calibri" w:hAnsi="Times New Roman" w:cs="Times New Roman"/>
          <w:b/>
          <w:color w:val="000000" w:themeColor="text1"/>
        </w:rPr>
        <w:lastRenderedPageBreak/>
        <w:t>T</w:t>
      </w:r>
      <w:r>
        <w:rPr>
          <w:rFonts w:ascii="Times New Roman" w:eastAsia="Calibri" w:hAnsi="Times New Roman" w:cs="Times New Roman"/>
          <w:b/>
          <w:color w:val="000000" w:themeColor="text1"/>
        </w:rPr>
        <w:t>able</w:t>
      </w:r>
      <w:r w:rsidRPr="00716883">
        <w:rPr>
          <w:rFonts w:ascii="Times New Roman" w:eastAsia="Calibri" w:hAnsi="Times New Roman" w:cs="Times New Roman"/>
          <w:b/>
          <w:color w:val="000000" w:themeColor="text1"/>
        </w:rPr>
        <w:t xml:space="preserve"> 1:  </w:t>
      </w:r>
      <w:r w:rsidRPr="00AC35F3">
        <w:rPr>
          <w:rFonts w:ascii="Times New Roman" w:eastAsia="Calibri" w:hAnsi="Times New Roman" w:cs="Times New Roman"/>
          <w:b/>
          <w:color w:val="000000" w:themeColor="text1"/>
          <w:u w:val="single"/>
        </w:rPr>
        <w:t>LIST OF SUB-PROJECT IMPLEMENTING AGENCIES AND COMPONENTS</w:t>
      </w:r>
    </w:p>
    <w:p w14:paraId="7C1B0939" w14:textId="77777777" w:rsidR="002A110D" w:rsidRPr="00EE6353" w:rsidRDefault="002A110D" w:rsidP="002A110D">
      <w:pPr>
        <w:spacing w:after="0" w:line="240" w:lineRule="auto"/>
        <w:jc w:val="both"/>
        <w:rPr>
          <w:rFonts w:ascii="Times New Roman" w:eastAsia="Calibri" w:hAnsi="Times New Roman" w:cs="Times New Roman"/>
          <w:color w:val="000000" w:themeColor="text1"/>
        </w:rPr>
      </w:pPr>
    </w:p>
    <w:tbl>
      <w:tblPr>
        <w:tblStyle w:val="TableGrid"/>
        <w:tblW w:w="9265" w:type="dxa"/>
        <w:tblLook w:val="04A0" w:firstRow="1" w:lastRow="0" w:firstColumn="1" w:lastColumn="0" w:noHBand="0" w:noVBand="1"/>
      </w:tblPr>
      <w:tblGrid>
        <w:gridCol w:w="2160"/>
        <w:gridCol w:w="2785"/>
        <w:gridCol w:w="4320"/>
      </w:tblGrid>
      <w:tr w:rsidR="002A110D" w:rsidRPr="000B1F12" w14:paraId="4A984BA4" w14:textId="77777777" w:rsidTr="00D7264A">
        <w:trPr>
          <w:tblHeader/>
        </w:trPr>
        <w:tc>
          <w:tcPr>
            <w:tcW w:w="2160" w:type="dxa"/>
          </w:tcPr>
          <w:p w14:paraId="343DD54E" w14:textId="77777777" w:rsidR="002A110D" w:rsidRPr="0035188F" w:rsidRDefault="002A110D" w:rsidP="00D7264A">
            <w:pPr>
              <w:rPr>
                <w:rFonts w:ascii="Times New Roman" w:eastAsia="Calibri" w:hAnsi="Times New Roman" w:cs="Times New Roman"/>
                <w:b/>
                <w:color w:val="000000" w:themeColor="text1"/>
              </w:rPr>
            </w:pPr>
            <w:r w:rsidRPr="0035188F">
              <w:rPr>
                <w:rFonts w:ascii="Times New Roman" w:eastAsia="Calibri" w:hAnsi="Times New Roman" w:cs="Times New Roman"/>
                <w:b/>
                <w:color w:val="000000" w:themeColor="text1"/>
              </w:rPr>
              <w:t xml:space="preserve">BMC </w:t>
            </w:r>
          </w:p>
        </w:tc>
        <w:tc>
          <w:tcPr>
            <w:tcW w:w="2785" w:type="dxa"/>
          </w:tcPr>
          <w:p w14:paraId="432CE614" w14:textId="77777777" w:rsidR="002A110D" w:rsidRPr="0035188F" w:rsidRDefault="002A110D" w:rsidP="00D7264A">
            <w:pPr>
              <w:jc w:val="both"/>
              <w:rPr>
                <w:rFonts w:ascii="Times New Roman" w:eastAsia="Calibri" w:hAnsi="Times New Roman" w:cs="Times New Roman"/>
                <w:b/>
                <w:color w:val="000000" w:themeColor="text1"/>
              </w:rPr>
            </w:pPr>
            <w:r w:rsidRPr="0035188F">
              <w:rPr>
                <w:rFonts w:ascii="Times New Roman" w:eastAsia="Calibri" w:hAnsi="Times New Roman" w:cs="Times New Roman"/>
                <w:b/>
                <w:color w:val="000000" w:themeColor="text1"/>
              </w:rPr>
              <w:t>Implementing Agency</w:t>
            </w:r>
            <w:r>
              <w:rPr>
                <w:rFonts w:ascii="Times New Roman" w:eastAsia="Calibri" w:hAnsi="Times New Roman" w:cs="Times New Roman"/>
                <w:b/>
                <w:color w:val="000000" w:themeColor="text1"/>
              </w:rPr>
              <w:t xml:space="preserve"> and Project Name</w:t>
            </w:r>
          </w:p>
        </w:tc>
        <w:tc>
          <w:tcPr>
            <w:tcW w:w="4320" w:type="dxa"/>
          </w:tcPr>
          <w:p w14:paraId="2C8377D1" w14:textId="77777777" w:rsidR="002A110D" w:rsidRPr="0035188F" w:rsidRDefault="002A110D" w:rsidP="00D7264A">
            <w:pPr>
              <w:rPr>
                <w:rFonts w:ascii="Times New Roman" w:eastAsia="Calibri" w:hAnsi="Times New Roman" w:cs="Times New Roman"/>
                <w:b/>
                <w:color w:val="000000" w:themeColor="text1"/>
              </w:rPr>
            </w:pPr>
            <w:r w:rsidRPr="0035188F">
              <w:rPr>
                <w:rFonts w:ascii="Times New Roman" w:eastAsia="Calibri" w:hAnsi="Times New Roman" w:cs="Times New Roman"/>
                <w:b/>
                <w:color w:val="000000" w:themeColor="text1"/>
              </w:rPr>
              <w:t>Summary of Project Components</w:t>
            </w:r>
          </w:p>
        </w:tc>
      </w:tr>
      <w:tr w:rsidR="002A110D" w:rsidRPr="000B1F12" w14:paraId="469F2176" w14:textId="77777777" w:rsidTr="00D7264A">
        <w:tc>
          <w:tcPr>
            <w:tcW w:w="2160" w:type="dxa"/>
          </w:tcPr>
          <w:p w14:paraId="4F9AADB1" w14:textId="77777777" w:rsidR="002A110D" w:rsidRDefault="002A110D" w:rsidP="00D7264A">
            <w:pPr>
              <w:jc w:val="both"/>
              <w:rPr>
                <w:rFonts w:ascii="Times New Roman" w:eastAsia="Calibri" w:hAnsi="Times New Roman" w:cs="Times New Roman"/>
                <w:color w:val="000000" w:themeColor="text1"/>
              </w:rPr>
            </w:pPr>
            <w:r w:rsidRPr="0035188F">
              <w:rPr>
                <w:rFonts w:ascii="Times New Roman" w:eastAsia="Calibri" w:hAnsi="Times New Roman" w:cs="Times New Roman"/>
                <w:color w:val="000000" w:themeColor="text1"/>
              </w:rPr>
              <w:t xml:space="preserve">Belize </w:t>
            </w:r>
          </w:p>
          <w:p w14:paraId="7C063457" w14:textId="77777777" w:rsidR="002A110D" w:rsidRPr="0035188F" w:rsidRDefault="002A110D" w:rsidP="00D7264A">
            <w:pPr>
              <w:jc w:val="both"/>
              <w:rPr>
                <w:rFonts w:ascii="Times New Roman" w:eastAsia="Calibri" w:hAnsi="Times New Roman" w:cs="Times New Roman"/>
                <w:color w:val="000000" w:themeColor="text1"/>
              </w:rPr>
            </w:pPr>
          </w:p>
        </w:tc>
        <w:tc>
          <w:tcPr>
            <w:tcW w:w="2785" w:type="dxa"/>
          </w:tcPr>
          <w:p w14:paraId="1512F408" w14:textId="77777777" w:rsidR="002A110D" w:rsidRDefault="002A110D" w:rsidP="00D7264A">
            <w:pPr>
              <w:rPr>
                <w:rFonts w:ascii="Times New Roman" w:eastAsia="Calibri" w:hAnsi="Times New Roman" w:cs="Times New Roman"/>
                <w:color w:val="000000" w:themeColor="text1"/>
              </w:rPr>
            </w:pPr>
            <w:r w:rsidRPr="00A80417">
              <w:rPr>
                <w:rFonts w:ascii="Times New Roman" w:eastAsia="Calibri" w:hAnsi="Times New Roman" w:cs="Times New Roman"/>
                <w:color w:val="000000" w:themeColor="text1"/>
              </w:rPr>
              <w:t>Humana People to People Belize (HPPB)</w:t>
            </w:r>
            <w:r>
              <w:rPr>
                <w:rFonts w:ascii="Times New Roman" w:eastAsia="Calibri" w:hAnsi="Times New Roman" w:cs="Times New Roman"/>
                <w:color w:val="000000" w:themeColor="text1"/>
              </w:rPr>
              <w:t>.</w:t>
            </w:r>
          </w:p>
          <w:p w14:paraId="1328854A" w14:textId="77777777" w:rsidR="002A110D" w:rsidRDefault="002A110D" w:rsidP="00D7264A">
            <w:pPr>
              <w:rPr>
                <w:rFonts w:ascii="Times New Roman" w:eastAsia="Calibri" w:hAnsi="Times New Roman" w:cs="Times New Roman"/>
                <w:color w:val="000000" w:themeColor="text1"/>
              </w:rPr>
            </w:pPr>
          </w:p>
          <w:p w14:paraId="148E2C12" w14:textId="77777777" w:rsidR="002A110D" w:rsidRPr="005A7AFE" w:rsidRDefault="002A110D" w:rsidP="00D7264A">
            <w:pPr>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Building Adaptive Capacity and Resilience to Climate Change in Toledo, Southern Belize</w:t>
            </w:r>
            <w:r>
              <w:rPr>
                <w:rFonts w:ascii="Times New Roman" w:eastAsia="Calibri" w:hAnsi="Times New Roman" w:cs="Times New Roman"/>
                <w:color w:val="000000" w:themeColor="text1"/>
              </w:rPr>
              <w:t>.</w:t>
            </w:r>
            <w:r w:rsidRPr="005A7AFE">
              <w:rPr>
                <w:rFonts w:ascii="Times New Roman" w:eastAsia="Calibri" w:hAnsi="Times New Roman" w:cs="Times New Roman"/>
                <w:color w:val="000000" w:themeColor="text1"/>
              </w:rPr>
              <w:t xml:space="preserve"> </w:t>
            </w:r>
          </w:p>
        </w:tc>
        <w:tc>
          <w:tcPr>
            <w:tcW w:w="4320" w:type="dxa"/>
          </w:tcPr>
          <w:p w14:paraId="2D3D6D41" w14:textId="77777777" w:rsidR="002A110D" w:rsidRPr="00AC35F3" w:rsidRDefault="002A110D" w:rsidP="00AD1B2B">
            <w:pPr>
              <w:pStyle w:val="ListParagraph"/>
              <w:numPr>
                <w:ilvl w:val="0"/>
                <w:numId w:val="23"/>
              </w:numPr>
              <w:spacing w:after="0" w:line="240" w:lineRule="auto"/>
              <w:contextualSpacing w:val="0"/>
              <w:jc w:val="both"/>
              <w:rPr>
                <w:rFonts w:ascii="Times New Roman" w:eastAsia="Calibri" w:hAnsi="Times New Roman"/>
                <w:color w:val="000000" w:themeColor="text1"/>
              </w:rPr>
            </w:pPr>
            <w:r w:rsidRPr="00AC35F3">
              <w:rPr>
                <w:rFonts w:ascii="Times New Roman" w:eastAsia="Calibri" w:hAnsi="Times New Roman"/>
                <w:color w:val="000000" w:themeColor="text1"/>
              </w:rPr>
              <w:t xml:space="preserve">Rehabilitation of two emergency shelters. </w:t>
            </w:r>
          </w:p>
          <w:p w14:paraId="289531BA" w14:textId="77777777" w:rsidR="002A110D" w:rsidRPr="005A7AFE" w:rsidRDefault="002A110D" w:rsidP="00AD1B2B">
            <w:pPr>
              <w:pStyle w:val="ListParagraph"/>
              <w:numPr>
                <w:ilvl w:val="0"/>
                <w:numId w:val="23"/>
              </w:numPr>
              <w:spacing w:after="0" w:line="240" w:lineRule="auto"/>
              <w:contextualSpacing w:val="0"/>
              <w:jc w:val="both"/>
              <w:rPr>
                <w:rFonts w:ascii="Times New Roman" w:eastAsia="Calibri" w:hAnsi="Times New Roman"/>
                <w:color w:val="000000" w:themeColor="text1"/>
              </w:rPr>
            </w:pPr>
            <w:r w:rsidRPr="00AC35F3">
              <w:rPr>
                <w:rFonts w:ascii="Times New Roman" w:eastAsia="Calibri" w:hAnsi="Times New Roman"/>
                <w:color w:val="000000" w:themeColor="text1"/>
              </w:rPr>
              <w:t>Installation of early warning systems</w:t>
            </w:r>
            <w:r>
              <w:rPr>
                <w:rFonts w:ascii="Times New Roman" w:eastAsia="Calibri" w:hAnsi="Times New Roman"/>
                <w:color w:val="000000" w:themeColor="text1"/>
              </w:rPr>
              <w:t xml:space="preserve"> (EWS).</w:t>
            </w:r>
          </w:p>
          <w:p w14:paraId="7EA1819C" w14:textId="77777777" w:rsidR="002A110D" w:rsidRPr="00AC35F3" w:rsidRDefault="002A110D" w:rsidP="00AD1B2B">
            <w:pPr>
              <w:pStyle w:val="ListParagraph"/>
              <w:numPr>
                <w:ilvl w:val="0"/>
                <w:numId w:val="23"/>
              </w:numPr>
              <w:spacing w:after="0" w:line="240" w:lineRule="auto"/>
              <w:contextualSpacing w:val="0"/>
              <w:jc w:val="both"/>
              <w:rPr>
                <w:rFonts w:ascii="Times New Roman" w:eastAsia="Calibri" w:hAnsi="Times New Roman"/>
                <w:color w:val="000000" w:themeColor="text1"/>
              </w:rPr>
            </w:pPr>
            <w:r w:rsidRPr="00AC35F3">
              <w:rPr>
                <w:rFonts w:ascii="Times New Roman" w:eastAsia="Calibri" w:hAnsi="Times New Roman"/>
                <w:color w:val="000000" w:themeColor="text1"/>
              </w:rPr>
              <w:t xml:space="preserve">Improved farming systems through nine Farmers’ Clubs. </w:t>
            </w:r>
          </w:p>
          <w:p w14:paraId="14F64419" w14:textId="77777777" w:rsidR="002A110D" w:rsidRPr="00AC35F3" w:rsidRDefault="002A110D" w:rsidP="00AD1B2B">
            <w:pPr>
              <w:pStyle w:val="ListParagraph"/>
              <w:numPr>
                <w:ilvl w:val="0"/>
                <w:numId w:val="23"/>
              </w:numPr>
              <w:spacing w:after="0" w:line="240" w:lineRule="auto"/>
              <w:contextualSpacing w:val="0"/>
              <w:jc w:val="both"/>
              <w:rPr>
                <w:rFonts w:ascii="Times New Roman" w:eastAsia="Calibri" w:hAnsi="Times New Roman"/>
                <w:color w:val="000000" w:themeColor="text1"/>
              </w:rPr>
            </w:pPr>
            <w:r w:rsidRPr="00AC35F3">
              <w:rPr>
                <w:rFonts w:ascii="Times New Roman" w:eastAsia="Calibri" w:hAnsi="Times New Roman"/>
                <w:color w:val="000000" w:themeColor="text1"/>
              </w:rPr>
              <w:t xml:space="preserve">Improved DRR and CC public education and awareness.  </w:t>
            </w:r>
          </w:p>
        </w:tc>
      </w:tr>
      <w:tr w:rsidR="002A110D" w:rsidRPr="000B1F12" w14:paraId="4D494645" w14:textId="77777777" w:rsidTr="00D7264A">
        <w:tc>
          <w:tcPr>
            <w:tcW w:w="2160" w:type="dxa"/>
          </w:tcPr>
          <w:p w14:paraId="61D3966A" w14:textId="77777777" w:rsidR="002A110D" w:rsidRPr="005A7AFE" w:rsidRDefault="002A110D" w:rsidP="00D7264A">
            <w:pPr>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BVI</w:t>
            </w:r>
          </w:p>
          <w:p w14:paraId="0D3E4597" w14:textId="77777777" w:rsidR="002A110D" w:rsidRPr="005A7AFE" w:rsidRDefault="002A110D" w:rsidP="00D7264A">
            <w:pPr>
              <w:rPr>
                <w:rFonts w:ascii="Times New Roman" w:eastAsia="Calibri" w:hAnsi="Times New Roman" w:cs="Times New Roman"/>
                <w:color w:val="000000" w:themeColor="text1"/>
              </w:rPr>
            </w:pPr>
          </w:p>
        </w:tc>
        <w:tc>
          <w:tcPr>
            <w:tcW w:w="2785" w:type="dxa"/>
          </w:tcPr>
          <w:p w14:paraId="2900669B" w14:textId="77777777" w:rsidR="002A110D" w:rsidRDefault="002A110D" w:rsidP="00D7264A">
            <w:pPr>
              <w:jc w:val="both"/>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DDM</w:t>
            </w:r>
            <w:r>
              <w:rPr>
                <w:rFonts w:ascii="Times New Roman" w:eastAsia="Calibri" w:hAnsi="Times New Roman" w:cs="Times New Roman"/>
                <w:color w:val="000000" w:themeColor="text1"/>
              </w:rPr>
              <w:t xml:space="preserve"> </w:t>
            </w:r>
          </w:p>
          <w:p w14:paraId="0F6D1D5B" w14:textId="77777777" w:rsidR="002A110D" w:rsidRPr="005A7AFE" w:rsidRDefault="002A110D" w:rsidP="00D7264A">
            <w:pPr>
              <w:jc w:val="both"/>
              <w:rPr>
                <w:rFonts w:ascii="Times New Roman" w:eastAsia="Calibri" w:hAnsi="Times New Roman" w:cs="Times New Roman"/>
                <w:color w:val="000000" w:themeColor="text1"/>
              </w:rPr>
            </w:pPr>
          </w:p>
          <w:p w14:paraId="680BE5C0" w14:textId="77777777" w:rsidR="002A110D" w:rsidRPr="005A7AFE" w:rsidRDefault="002A110D" w:rsidP="00D7264A">
            <w:pPr>
              <w:jc w:val="both"/>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Establishing Flood-Resilient Smart Communities through NGO Partnerships</w:t>
            </w:r>
          </w:p>
        </w:tc>
        <w:tc>
          <w:tcPr>
            <w:tcW w:w="4320" w:type="dxa"/>
          </w:tcPr>
          <w:p w14:paraId="2B79F1B5" w14:textId="77777777" w:rsidR="002A110D" w:rsidRPr="005A7AFE" w:rsidRDefault="002A110D" w:rsidP="00AD1B2B">
            <w:pPr>
              <w:pStyle w:val="ListParagraph"/>
              <w:numPr>
                <w:ilvl w:val="0"/>
                <w:numId w:val="24"/>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Rehabilitation of two community buildings.</w:t>
            </w:r>
          </w:p>
          <w:p w14:paraId="003A895F" w14:textId="77777777" w:rsidR="002A110D" w:rsidRPr="005A7AFE" w:rsidRDefault="002A110D" w:rsidP="00AD1B2B">
            <w:pPr>
              <w:pStyle w:val="ListParagraph"/>
              <w:numPr>
                <w:ilvl w:val="0"/>
                <w:numId w:val="24"/>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 xml:space="preserve">Improvements in the </w:t>
            </w:r>
            <w:r>
              <w:rPr>
                <w:rFonts w:ascii="Times New Roman" w:eastAsia="Calibri" w:hAnsi="Times New Roman"/>
                <w:color w:val="000000" w:themeColor="text1"/>
              </w:rPr>
              <w:t>EWS</w:t>
            </w:r>
            <w:r w:rsidRPr="005A7AFE">
              <w:rPr>
                <w:rFonts w:ascii="Times New Roman" w:eastAsia="Calibri" w:hAnsi="Times New Roman"/>
                <w:color w:val="000000" w:themeColor="text1"/>
              </w:rPr>
              <w:t xml:space="preserve"> on two islands</w:t>
            </w:r>
            <w:r>
              <w:rPr>
                <w:rFonts w:ascii="Times New Roman" w:eastAsia="Calibri" w:hAnsi="Times New Roman"/>
                <w:color w:val="000000" w:themeColor="text1"/>
              </w:rPr>
              <w:t>.</w:t>
            </w:r>
          </w:p>
          <w:p w14:paraId="60B4A21B" w14:textId="77777777" w:rsidR="002A110D" w:rsidRPr="005A7AFE" w:rsidRDefault="002A110D" w:rsidP="00AD1B2B">
            <w:pPr>
              <w:pStyle w:val="ListParagraph"/>
              <w:numPr>
                <w:ilvl w:val="0"/>
                <w:numId w:val="24"/>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Business Continuity Planning training for small and medium-sized enterprises</w:t>
            </w:r>
            <w:r>
              <w:rPr>
                <w:rFonts w:ascii="Times New Roman" w:eastAsia="Calibri" w:hAnsi="Times New Roman"/>
                <w:color w:val="000000" w:themeColor="text1"/>
              </w:rPr>
              <w:t>.</w:t>
            </w:r>
          </w:p>
          <w:p w14:paraId="0CBBC02D" w14:textId="77777777" w:rsidR="002A110D" w:rsidRPr="005A7AFE" w:rsidRDefault="002A110D" w:rsidP="00AD1B2B">
            <w:pPr>
              <w:pStyle w:val="ListParagraph"/>
              <w:numPr>
                <w:ilvl w:val="0"/>
                <w:numId w:val="24"/>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Flood and CCA monitoring</w:t>
            </w:r>
            <w:r>
              <w:rPr>
                <w:rFonts w:ascii="Times New Roman" w:eastAsia="Calibri" w:hAnsi="Times New Roman"/>
                <w:color w:val="000000" w:themeColor="text1"/>
              </w:rPr>
              <w:t>.</w:t>
            </w:r>
            <w:r w:rsidRPr="005A7AFE">
              <w:rPr>
                <w:rFonts w:ascii="Times New Roman" w:eastAsia="Calibri" w:hAnsi="Times New Roman"/>
                <w:color w:val="000000" w:themeColor="text1"/>
              </w:rPr>
              <w:t xml:space="preserve"> </w:t>
            </w:r>
          </w:p>
          <w:p w14:paraId="19C84276" w14:textId="77777777" w:rsidR="002A110D" w:rsidRPr="005A7AFE" w:rsidRDefault="002A110D" w:rsidP="00AD1B2B">
            <w:pPr>
              <w:pStyle w:val="ListParagraph"/>
              <w:numPr>
                <w:ilvl w:val="0"/>
                <w:numId w:val="24"/>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Preparation of a management plan for mangroves</w:t>
            </w:r>
            <w:r>
              <w:rPr>
                <w:rFonts w:ascii="Times New Roman" w:eastAsia="Calibri" w:hAnsi="Times New Roman"/>
                <w:color w:val="000000" w:themeColor="text1"/>
              </w:rPr>
              <w:t>.</w:t>
            </w:r>
          </w:p>
          <w:p w14:paraId="32AA609D" w14:textId="77777777" w:rsidR="002A110D" w:rsidRPr="005A7AFE" w:rsidRDefault="002A110D" w:rsidP="00AD1B2B">
            <w:pPr>
              <w:pStyle w:val="ListParagraph"/>
              <w:numPr>
                <w:ilvl w:val="0"/>
                <w:numId w:val="24"/>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 xml:space="preserve">Design and construction of a drain on Tortola.    </w:t>
            </w:r>
          </w:p>
        </w:tc>
      </w:tr>
      <w:tr w:rsidR="002A110D" w:rsidRPr="000B1F12" w14:paraId="427C72E3" w14:textId="77777777" w:rsidTr="00D7264A">
        <w:tc>
          <w:tcPr>
            <w:tcW w:w="2160" w:type="dxa"/>
            <w:vMerge w:val="restart"/>
          </w:tcPr>
          <w:p w14:paraId="0F1999BD" w14:textId="77777777" w:rsidR="002A110D" w:rsidRPr="005A7AFE" w:rsidRDefault="002A110D" w:rsidP="00D7264A">
            <w:pPr>
              <w:jc w:val="both"/>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Jamaica</w:t>
            </w:r>
          </w:p>
          <w:p w14:paraId="642BA4E0" w14:textId="77777777" w:rsidR="002A110D" w:rsidRPr="005A7AFE" w:rsidRDefault="002A110D" w:rsidP="00D7264A">
            <w:pPr>
              <w:jc w:val="both"/>
              <w:rPr>
                <w:rFonts w:ascii="Times New Roman" w:eastAsia="Calibri" w:hAnsi="Times New Roman" w:cs="Times New Roman"/>
                <w:color w:val="000000" w:themeColor="text1"/>
              </w:rPr>
            </w:pPr>
          </w:p>
          <w:p w14:paraId="79610E92" w14:textId="77777777" w:rsidR="002A110D" w:rsidRPr="005A7AFE" w:rsidRDefault="002A110D" w:rsidP="00D7264A">
            <w:pPr>
              <w:jc w:val="both"/>
              <w:rPr>
                <w:rFonts w:ascii="Times New Roman" w:eastAsia="Calibri" w:hAnsi="Times New Roman" w:cs="Times New Roman"/>
                <w:color w:val="000000" w:themeColor="text1"/>
              </w:rPr>
            </w:pPr>
          </w:p>
          <w:p w14:paraId="1B78F825" w14:textId="77777777" w:rsidR="002A110D" w:rsidRPr="005A7AFE" w:rsidRDefault="002A110D" w:rsidP="00D7264A">
            <w:pPr>
              <w:jc w:val="both"/>
              <w:rPr>
                <w:rFonts w:ascii="Times New Roman" w:eastAsia="Calibri" w:hAnsi="Times New Roman" w:cs="Times New Roman"/>
                <w:color w:val="000000" w:themeColor="text1"/>
              </w:rPr>
            </w:pPr>
          </w:p>
          <w:p w14:paraId="0AD455B9" w14:textId="77777777" w:rsidR="002A110D" w:rsidRPr="005A7AFE" w:rsidRDefault="002A110D" w:rsidP="00D7264A">
            <w:pPr>
              <w:jc w:val="both"/>
              <w:rPr>
                <w:rFonts w:ascii="Times New Roman" w:eastAsia="Calibri" w:hAnsi="Times New Roman" w:cs="Times New Roman"/>
                <w:color w:val="000000" w:themeColor="text1"/>
              </w:rPr>
            </w:pPr>
          </w:p>
          <w:p w14:paraId="0EE9491E" w14:textId="77777777" w:rsidR="002A110D" w:rsidRPr="005A7AFE" w:rsidRDefault="002A110D" w:rsidP="00D7264A">
            <w:pPr>
              <w:jc w:val="both"/>
              <w:rPr>
                <w:rFonts w:ascii="Times New Roman" w:eastAsia="Calibri" w:hAnsi="Times New Roman" w:cs="Times New Roman"/>
                <w:color w:val="000000" w:themeColor="text1"/>
              </w:rPr>
            </w:pPr>
          </w:p>
          <w:p w14:paraId="26A6AC23" w14:textId="77777777" w:rsidR="002A110D" w:rsidRPr="005A7AFE" w:rsidRDefault="002A110D" w:rsidP="00D7264A">
            <w:pPr>
              <w:jc w:val="both"/>
              <w:rPr>
                <w:rFonts w:ascii="Times New Roman" w:eastAsia="Calibri" w:hAnsi="Times New Roman" w:cs="Times New Roman"/>
                <w:color w:val="000000" w:themeColor="text1"/>
              </w:rPr>
            </w:pPr>
          </w:p>
          <w:p w14:paraId="632682F2" w14:textId="77777777" w:rsidR="002A110D" w:rsidRPr="005A7AFE" w:rsidRDefault="002A110D" w:rsidP="00D7264A">
            <w:pPr>
              <w:jc w:val="both"/>
              <w:rPr>
                <w:rFonts w:ascii="Times New Roman" w:eastAsia="Calibri" w:hAnsi="Times New Roman" w:cs="Times New Roman"/>
                <w:color w:val="000000" w:themeColor="text1"/>
              </w:rPr>
            </w:pPr>
          </w:p>
          <w:p w14:paraId="577A5BA6" w14:textId="77777777" w:rsidR="002A110D" w:rsidRPr="005A7AFE" w:rsidRDefault="002A110D" w:rsidP="00D7264A">
            <w:pPr>
              <w:jc w:val="both"/>
              <w:rPr>
                <w:rFonts w:ascii="Times New Roman" w:eastAsia="Calibri" w:hAnsi="Times New Roman" w:cs="Times New Roman"/>
                <w:color w:val="000000" w:themeColor="text1"/>
              </w:rPr>
            </w:pPr>
          </w:p>
          <w:p w14:paraId="0C1AD210" w14:textId="77777777" w:rsidR="002A110D" w:rsidRPr="005A7AFE" w:rsidRDefault="002A110D" w:rsidP="00D7264A">
            <w:pPr>
              <w:jc w:val="both"/>
              <w:rPr>
                <w:rFonts w:ascii="Times New Roman" w:eastAsia="Calibri" w:hAnsi="Times New Roman" w:cs="Times New Roman"/>
                <w:color w:val="000000" w:themeColor="text1"/>
              </w:rPr>
            </w:pPr>
          </w:p>
          <w:p w14:paraId="7BF972B8" w14:textId="77777777" w:rsidR="002A110D" w:rsidRPr="005A7AFE" w:rsidRDefault="002A110D" w:rsidP="00D7264A">
            <w:pPr>
              <w:jc w:val="both"/>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 xml:space="preserve"> </w:t>
            </w:r>
          </w:p>
        </w:tc>
        <w:tc>
          <w:tcPr>
            <w:tcW w:w="2785" w:type="dxa"/>
          </w:tcPr>
          <w:p w14:paraId="2BB304EA" w14:textId="77777777" w:rsidR="002A110D" w:rsidRDefault="002A110D" w:rsidP="00D7264A">
            <w:pPr>
              <w:jc w:val="both"/>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EHF</w:t>
            </w:r>
            <w:r>
              <w:rPr>
                <w:rFonts w:ascii="Times New Roman" w:eastAsia="Calibri" w:hAnsi="Times New Roman" w:cs="Times New Roman"/>
                <w:color w:val="000000" w:themeColor="text1"/>
              </w:rPr>
              <w:t xml:space="preserve"> </w:t>
            </w:r>
          </w:p>
          <w:p w14:paraId="0DD05975" w14:textId="77777777" w:rsidR="002A110D" w:rsidRPr="005A7AFE" w:rsidRDefault="002A110D" w:rsidP="00D7264A">
            <w:pPr>
              <w:jc w:val="both"/>
              <w:rPr>
                <w:rFonts w:ascii="Times New Roman" w:eastAsia="Calibri" w:hAnsi="Times New Roman" w:cs="Times New Roman"/>
                <w:color w:val="000000" w:themeColor="text1"/>
              </w:rPr>
            </w:pPr>
          </w:p>
          <w:p w14:paraId="0D0485D2" w14:textId="77777777" w:rsidR="002A110D" w:rsidRPr="005A7AFE" w:rsidRDefault="002A110D" w:rsidP="00D7264A">
            <w:pPr>
              <w:rPr>
                <w:rFonts w:ascii="Times New Roman" w:eastAsia="Calibri" w:hAnsi="Times New Roman" w:cs="Times New Roman"/>
                <w:color w:val="000000" w:themeColor="text1"/>
              </w:rPr>
            </w:pPr>
            <w:r w:rsidRPr="005A7AFE">
              <w:rPr>
                <w:rFonts w:ascii="Times New Roman" w:eastAsia="Calibri" w:hAnsi="Times New Roman" w:cs="Times New Roman"/>
                <w:color w:val="000000" w:themeColor="text1"/>
              </w:rPr>
              <w:t>Building Resilience and Adaptation to Climate Change while Reducing Disaster Risk in Peckham and Surrounding Communities, Clarendon</w:t>
            </w:r>
            <w:r>
              <w:rPr>
                <w:rFonts w:ascii="Times New Roman" w:eastAsia="Calibri" w:hAnsi="Times New Roman" w:cs="Times New Roman"/>
                <w:color w:val="000000" w:themeColor="text1"/>
              </w:rPr>
              <w:t>.</w:t>
            </w:r>
          </w:p>
        </w:tc>
        <w:tc>
          <w:tcPr>
            <w:tcW w:w="4320" w:type="dxa"/>
          </w:tcPr>
          <w:p w14:paraId="018E7221" w14:textId="77777777" w:rsidR="002A110D" w:rsidRPr="005A7AFE" w:rsidRDefault="002A110D" w:rsidP="00AD1B2B">
            <w:pPr>
              <w:pStyle w:val="ListParagraph"/>
              <w:numPr>
                <w:ilvl w:val="0"/>
                <w:numId w:val="25"/>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Training of farmers in climate-smart agricultural practices and financial management</w:t>
            </w:r>
            <w:r>
              <w:rPr>
                <w:rFonts w:ascii="Times New Roman" w:eastAsia="Calibri" w:hAnsi="Times New Roman"/>
                <w:color w:val="000000" w:themeColor="text1"/>
              </w:rPr>
              <w:t>.</w:t>
            </w:r>
          </w:p>
          <w:p w14:paraId="50BD0F3D" w14:textId="77777777" w:rsidR="002A110D" w:rsidRPr="005A7AFE" w:rsidRDefault="002A110D" w:rsidP="00AD1B2B">
            <w:pPr>
              <w:pStyle w:val="ListParagraph"/>
              <w:numPr>
                <w:ilvl w:val="0"/>
                <w:numId w:val="25"/>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Establishment of climate-smart agricultural demonstration plots</w:t>
            </w:r>
            <w:r>
              <w:rPr>
                <w:rFonts w:ascii="Times New Roman" w:eastAsia="Calibri" w:hAnsi="Times New Roman"/>
                <w:color w:val="000000" w:themeColor="text1"/>
              </w:rPr>
              <w:t>.</w:t>
            </w:r>
          </w:p>
          <w:p w14:paraId="7FFE7A4A" w14:textId="77777777" w:rsidR="002A110D" w:rsidRPr="005A7AFE" w:rsidRDefault="002A110D" w:rsidP="00AD1B2B">
            <w:pPr>
              <w:pStyle w:val="ListParagraph"/>
              <w:numPr>
                <w:ilvl w:val="0"/>
                <w:numId w:val="25"/>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Capacity building to improve the management and operations of farmers’ groups/associations</w:t>
            </w:r>
            <w:r>
              <w:rPr>
                <w:rFonts w:ascii="Times New Roman" w:eastAsia="Calibri" w:hAnsi="Times New Roman"/>
                <w:color w:val="000000" w:themeColor="text1"/>
              </w:rPr>
              <w:t>.</w:t>
            </w:r>
          </w:p>
          <w:p w14:paraId="60A65A19" w14:textId="77777777" w:rsidR="002A110D" w:rsidRPr="005A7AFE" w:rsidRDefault="002A110D" w:rsidP="00AD1B2B">
            <w:pPr>
              <w:pStyle w:val="ListParagraph"/>
              <w:numPr>
                <w:ilvl w:val="0"/>
                <w:numId w:val="25"/>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Support for the reactivation of at least one female farmer’s group</w:t>
            </w:r>
            <w:r>
              <w:rPr>
                <w:rFonts w:ascii="Times New Roman" w:eastAsia="Calibri" w:hAnsi="Times New Roman"/>
                <w:color w:val="000000" w:themeColor="text1"/>
              </w:rPr>
              <w:t>.</w:t>
            </w:r>
          </w:p>
          <w:p w14:paraId="68DB5C9A" w14:textId="77777777" w:rsidR="002A110D" w:rsidRPr="005A7AFE" w:rsidRDefault="002A110D" w:rsidP="00AD1B2B">
            <w:pPr>
              <w:pStyle w:val="ListParagraph"/>
              <w:numPr>
                <w:ilvl w:val="0"/>
                <w:numId w:val="25"/>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DRR and CCA public education and awareness</w:t>
            </w:r>
            <w:r>
              <w:rPr>
                <w:rFonts w:ascii="Times New Roman" w:eastAsia="Calibri" w:hAnsi="Times New Roman"/>
                <w:color w:val="000000" w:themeColor="text1"/>
              </w:rPr>
              <w:t>.</w:t>
            </w:r>
            <w:r w:rsidRPr="005A7AFE">
              <w:rPr>
                <w:rFonts w:ascii="Times New Roman" w:eastAsia="Calibri" w:hAnsi="Times New Roman"/>
                <w:color w:val="000000" w:themeColor="text1"/>
              </w:rPr>
              <w:t xml:space="preserve">  </w:t>
            </w:r>
          </w:p>
        </w:tc>
      </w:tr>
      <w:tr w:rsidR="002A110D" w:rsidRPr="000B1F12" w14:paraId="5A29173B" w14:textId="77777777" w:rsidTr="00D7264A">
        <w:tc>
          <w:tcPr>
            <w:tcW w:w="2160" w:type="dxa"/>
            <w:vMerge/>
          </w:tcPr>
          <w:p w14:paraId="3B503A5E" w14:textId="77777777" w:rsidR="002A110D" w:rsidRPr="0035188F" w:rsidRDefault="002A110D" w:rsidP="00D7264A">
            <w:pPr>
              <w:jc w:val="both"/>
              <w:rPr>
                <w:rFonts w:ascii="Times New Roman" w:eastAsia="Calibri" w:hAnsi="Times New Roman" w:cs="Times New Roman"/>
                <w:color w:val="000000" w:themeColor="text1"/>
              </w:rPr>
            </w:pPr>
          </w:p>
        </w:tc>
        <w:tc>
          <w:tcPr>
            <w:tcW w:w="2785" w:type="dxa"/>
          </w:tcPr>
          <w:p w14:paraId="0FDC0211" w14:textId="77777777" w:rsidR="002A110D" w:rsidRDefault="002A110D" w:rsidP="00D7264A">
            <w:pPr>
              <w:jc w:val="both"/>
              <w:rPr>
                <w:rFonts w:ascii="Times New Roman" w:eastAsia="Calibri" w:hAnsi="Times New Roman" w:cs="Times New Roman"/>
                <w:color w:val="000000" w:themeColor="text1"/>
              </w:rPr>
            </w:pPr>
            <w:r w:rsidRPr="0035188F">
              <w:rPr>
                <w:rFonts w:ascii="Times New Roman" w:eastAsia="Calibri" w:hAnsi="Times New Roman" w:cs="Times New Roman"/>
                <w:color w:val="000000" w:themeColor="text1"/>
              </w:rPr>
              <w:t xml:space="preserve">Jeffrey Town Farmers Association </w:t>
            </w:r>
          </w:p>
          <w:p w14:paraId="0647F875" w14:textId="77777777" w:rsidR="002A110D" w:rsidRDefault="002A110D" w:rsidP="00D7264A">
            <w:pPr>
              <w:jc w:val="both"/>
              <w:rPr>
                <w:rFonts w:ascii="Times New Roman" w:eastAsia="Calibri" w:hAnsi="Times New Roman" w:cs="Times New Roman"/>
                <w:color w:val="000000" w:themeColor="text1"/>
              </w:rPr>
            </w:pPr>
          </w:p>
          <w:p w14:paraId="12134F6A" w14:textId="77777777" w:rsidR="002A110D" w:rsidRPr="0035188F" w:rsidRDefault="002A110D" w:rsidP="00D7264A">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Jeffrey Town Integrated Disaster Risk Reduction Project (JTIDRRP).</w:t>
            </w:r>
          </w:p>
        </w:tc>
        <w:tc>
          <w:tcPr>
            <w:tcW w:w="4320" w:type="dxa"/>
          </w:tcPr>
          <w:p w14:paraId="09DA3DBF" w14:textId="77777777" w:rsidR="002A110D" w:rsidRPr="005A7AFE" w:rsidRDefault="002A110D" w:rsidP="00AD1B2B">
            <w:pPr>
              <w:pStyle w:val="ListParagraph"/>
              <w:numPr>
                <w:ilvl w:val="0"/>
                <w:numId w:val="26"/>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Construction of climate resilient infrastructure</w:t>
            </w:r>
            <w:r>
              <w:rPr>
                <w:rFonts w:ascii="Times New Roman" w:eastAsia="Calibri" w:hAnsi="Times New Roman"/>
                <w:color w:val="000000" w:themeColor="text1"/>
              </w:rPr>
              <w:t>.</w:t>
            </w:r>
          </w:p>
          <w:p w14:paraId="147F909F" w14:textId="77777777" w:rsidR="002A110D" w:rsidRPr="005A7AFE" w:rsidRDefault="002A110D" w:rsidP="00AD1B2B">
            <w:pPr>
              <w:pStyle w:val="ListParagraph"/>
              <w:numPr>
                <w:ilvl w:val="0"/>
                <w:numId w:val="26"/>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Improved food security through the training of farmers and the planting of drought tolerant crops</w:t>
            </w:r>
            <w:r>
              <w:rPr>
                <w:rFonts w:ascii="Times New Roman" w:eastAsia="Calibri" w:hAnsi="Times New Roman"/>
                <w:color w:val="000000" w:themeColor="text1"/>
              </w:rPr>
              <w:t>.</w:t>
            </w:r>
          </w:p>
          <w:p w14:paraId="7CDBDB21" w14:textId="77777777" w:rsidR="002A110D" w:rsidRPr="005A7AFE" w:rsidRDefault="002A110D" w:rsidP="00AD1B2B">
            <w:pPr>
              <w:pStyle w:val="ListParagraph"/>
              <w:numPr>
                <w:ilvl w:val="0"/>
                <w:numId w:val="26"/>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 xml:space="preserve">Upgrading of the Association’s </w:t>
            </w:r>
            <w:proofErr w:type="spellStart"/>
            <w:r w:rsidRPr="005A7AFE">
              <w:rPr>
                <w:rFonts w:ascii="Times New Roman" w:eastAsia="Calibri" w:hAnsi="Times New Roman"/>
                <w:color w:val="000000" w:themeColor="text1"/>
              </w:rPr>
              <w:t>agro</w:t>
            </w:r>
            <w:proofErr w:type="spellEnd"/>
            <w:r w:rsidRPr="005A7AFE">
              <w:rPr>
                <w:rFonts w:ascii="Times New Roman" w:eastAsia="Calibri" w:hAnsi="Times New Roman"/>
                <w:color w:val="000000" w:themeColor="text1"/>
              </w:rPr>
              <w:t>-processing facility</w:t>
            </w:r>
            <w:r>
              <w:rPr>
                <w:rFonts w:ascii="Times New Roman" w:eastAsia="Calibri" w:hAnsi="Times New Roman"/>
                <w:color w:val="000000" w:themeColor="text1"/>
              </w:rPr>
              <w:t>.</w:t>
            </w:r>
          </w:p>
          <w:p w14:paraId="19728A1C" w14:textId="77777777" w:rsidR="002A110D" w:rsidRPr="005A7AFE" w:rsidRDefault="002A110D" w:rsidP="00AD1B2B">
            <w:pPr>
              <w:pStyle w:val="ListParagraph"/>
              <w:numPr>
                <w:ilvl w:val="0"/>
                <w:numId w:val="26"/>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DRR and CCA public education and awareness.</w:t>
            </w:r>
          </w:p>
        </w:tc>
      </w:tr>
      <w:tr w:rsidR="002A110D" w:rsidRPr="000B1F12" w14:paraId="12D9881F" w14:textId="77777777" w:rsidTr="00D7264A">
        <w:tc>
          <w:tcPr>
            <w:tcW w:w="2160" w:type="dxa"/>
            <w:vMerge/>
          </w:tcPr>
          <w:p w14:paraId="756D2213" w14:textId="77777777" w:rsidR="002A110D" w:rsidRPr="0035188F" w:rsidRDefault="002A110D" w:rsidP="00D7264A">
            <w:pPr>
              <w:jc w:val="both"/>
              <w:rPr>
                <w:rFonts w:ascii="Times New Roman" w:eastAsia="Calibri" w:hAnsi="Times New Roman" w:cs="Times New Roman"/>
                <w:color w:val="000000" w:themeColor="text1"/>
              </w:rPr>
            </w:pPr>
          </w:p>
        </w:tc>
        <w:tc>
          <w:tcPr>
            <w:tcW w:w="2785" w:type="dxa"/>
          </w:tcPr>
          <w:p w14:paraId="76C12577" w14:textId="77777777" w:rsidR="002A110D" w:rsidRDefault="002A110D" w:rsidP="00D7264A">
            <w:pPr>
              <w:jc w:val="both"/>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Llandewey</w:t>
            </w:r>
            <w:proofErr w:type="spellEnd"/>
            <w:r>
              <w:rPr>
                <w:rFonts w:ascii="Times New Roman" w:eastAsia="Calibri" w:hAnsi="Times New Roman" w:cs="Times New Roman"/>
                <w:color w:val="000000" w:themeColor="text1"/>
              </w:rPr>
              <w:t>/Ramble Community Development Committee Benevolent Society (LRCDCBS).</w:t>
            </w:r>
          </w:p>
          <w:p w14:paraId="6AC73C17" w14:textId="77777777" w:rsidR="002A110D" w:rsidRDefault="002A110D" w:rsidP="00D7264A">
            <w:pPr>
              <w:jc w:val="both"/>
              <w:rPr>
                <w:rFonts w:ascii="Times New Roman" w:eastAsia="Calibri" w:hAnsi="Times New Roman" w:cs="Times New Roman"/>
                <w:color w:val="000000" w:themeColor="text1"/>
              </w:rPr>
            </w:pPr>
          </w:p>
          <w:p w14:paraId="785933EA" w14:textId="77777777" w:rsidR="002A110D" w:rsidRPr="0035188F" w:rsidRDefault="002A110D" w:rsidP="00D7264A">
            <w:pPr>
              <w:jc w:val="both"/>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Llandewey</w:t>
            </w:r>
            <w:proofErr w:type="spellEnd"/>
            <w:r>
              <w:rPr>
                <w:rFonts w:ascii="Times New Roman" w:eastAsia="Calibri" w:hAnsi="Times New Roman" w:cs="Times New Roman"/>
                <w:color w:val="000000" w:themeColor="text1"/>
              </w:rPr>
              <w:t>/Ramble Community Environment and Disaster Mitigation Initiative.</w:t>
            </w:r>
          </w:p>
        </w:tc>
        <w:tc>
          <w:tcPr>
            <w:tcW w:w="4320" w:type="dxa"/>
          </w:tcPr>
          <w:p w14:paraId="11299810" w14:textId="77777777" w:rsidR="002A110D" w:rsidRPr="005A7AFE" w:rsidRDefault="002A110D" w:rsidP="00AD1B2B">
            <w:pPr>
              <w:pStyle w:val="ListParagraph"/>
              <w:numPr>
                <w:ilvl w:val="0"/>
                <w:numId w:val="27"/>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lastRenderedPageBreak/>
              <w:t>Rehabilitation of two community centres that serve as emergency shelters</w:t>
            </w:r>
            <w:r>
              <w:rPr>
                <w:rFonts w:ascii="Times New Roman" w:eastAsia="Calibri" w:hAnsi="Times New Roman"/>
                <w:color w:val="000000" w:themeColor="text1"/>
              </w:rPr>
              <w:t>.</w:t>
            </w:r>
          </w:p>
          <w:p w14:paraId="03BB61A0" w14:textId="77777777" w:rsidR="002A110D" w:rsidRPr="005A7AFE" w:rsidRDefault="002A110D" w:rsidP="00AD1B2B">
            <w:pPr>
              <w:pStyle w:val="ListParagraph"/>
              <w:numPr>
                <w:ilvl w:val="0"/>
                <w:numId w:val="27"/>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Installation of water harvesting facilities in six public buildings</w:t>
            </w:r>
            <w:r>
              <w:rPr>
                <w:rFonts w:ascii="Times New Roman" w:eastAsia="Calibri" w:hAnsi="Times New Roman"/>
                <w:color w:val="000000" w:themeColor="text1"/>
              </w:rPr>
              <w:t>.</w:t>
            </w:r>
            <w:r w:rsidRPr="005A7AFE">
              <w:rPr>
                <w:rFonts w:ascii="Times New Roman" w:eastAsia="Calibri" w:hAnsi="Times New Roman"/>
                <w:color w:val="000000" w:themeColor="text1"/>
              </w:rPr>
              <w:t xml:space="preserve"> </w:t>
            </w:r>
          </w:p>
          <w:p w14:paraId="469CF95D" w14:textId="77777777" w:rsidR="002A110D" w:rsidRPr="005A7AFE" w:rsidRDefault="002A110D" w:rsidP="00AD1B2B">
            <w:pPr>
              <w:pStyle w:val="ListParagraph"/>
              <w:numPr>
                <w:ilvl w:val="0"/>
                <w:numId w:val="27"/>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lastRenderedPageBreak/>
              <w:t>Improved livelihoods for the women’s group and training for local artisans</w:t>
            </w:r>
            <w:r>
              <w:rPr>
                <w:rFonts w:ascii="Times New Roman" w:eastAsia="Calibri" w:hAnsi="Times New Roman"/>
                <w:color w:val="000000" w:themeColor="text1"/>
              </w:rPr>
              <w:t>.</w:t>
            </w:r>
          </w:p>
          <w:p w14:paraId="0F172E25" w14:textId="77777777" w:rsidR="002A110D" w:rsidRDefault="002A110D" w:rsidP="00AD1B2B">
            <w:pPr>
              <w:pStyle w:val="ListParagraph"/>
              <w:numPr>
                <w:ilvl w:val="0"/>
                <w:numId w:val="27"/>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DRM training</w:t>
            </w:r>
            <w:r>
              <w:rPr>
                <w:rFonts w:ascii="Times New Roman" w:eastAsia="Calibri" w:hAnsi="Times New Roman"/>
                <w:color w:val="000000" w:themeColor="text1"/>
              </w:rPr>
              <w:t>.</w:t>
            </w:r>
          </w:p>
          <w:p w14:paraId="0751EE41" w14:textId="77777777" w:rsidR="002A110D" w:rsidRPr="005A7AFE" w:rsidRDefault="002A110D" w:rsidP="00AD1B2B">
            <w:pPr>
              <w:pStyle w:val="ListParagraph"/>
              <w:numPr>
                <w:ilvl w:val="0"/>
                <w:numId w:val="27"/>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DRR and CCA public education and awareness.</w:t>
            </w:r>
          </w:p>
          <w:p w14:paraId="6D2DD88D" w14:textId="77777777" w:rsidR="002A110D" w:rsidRPr="005A7AFE" w:rsidRDefault="002A110D" w:rsidP="00AD1B2B">
            <w:pPr>
              <w:pStyle w:val="ListParagraph"/>
              <w:numPr>
                <w:ilvl w:val="0"/>
                <w:numId w:val="27"/>
              </w:numPr>
              <w:spacing w:after="0" w:line="240" w:lineRule="auto"/>
              <w:contextualSpacing w:val="0"/>
              <w:jc w:val="both"/>
              <w:rPr>
                <w:rFonts w:ascii="Times New Roman" w:eastAsia="Calibri" w:hAnsi="Times New Roman"/>
                <w:color w:val="000000" w:themeColor="text1"/>
              </w:rPr>
            </w:pPr>
            <w:r w:rsidRPr="005A7AFE">
              <w:rPr>
                <w:rFonts w:ascii="Times New Roman" w:eastAsia="Calibri" w:hAnsi="Times New Roman"/>
                <w:color w:val="000000" w:themeColor="text1"/>
              </w:rPr>
              <w:t xml:space="preserve">Capacity building for the Benevolent Society’s executive committee.  </w:t>
            </w:r>
          </w:p>
        </w:tc>
      </w:tr>
      <w:tr w:rsidR="002A110D" w:rsidRPr="000B1F12" w14:paraId="28907515" w14:textId="77777777" w:rsidTr="00D7264A">
        <w:tc>
          <w:tcPr>
            <w:tcW w:w="2160" w:type="dxa"/>
            <w:vMerge/>
          </w:tcPr>
          <w:p w14:paraId="3E47BA25" w14:textId="77777777" w:rsidR="002A110D" w:rsidRPr="0035188F" w:rsidRDefault="002A110D" w:rsidP="00D7264A">
            <w:pPr>
              <w:jc w:val="both"/>
              <w:rPr>
                <w:rFonts w:ascii="Times New Roman" w:eastAsia="Calibri" w:hAnsi="Times New Roman" w:cs="Times New Roman"/>
                <w:color w:val="000000" w:themeColor="text1"/>
              </w:rPr>
            </w:pPr>
          </w:p>
        </w:tc>
        <w:tc>
          <w:tcPr>
            <w:tcW w:w="2785" w:type="dxa"/>
          </w:tcPr>
          <w:p w14:paraId="60BCEFB6" w14:textId="77777777" w:rsidR="002A110D" w:rsidRDefault="002A110D" w:rsidP="00D7264A">
            <w:pPr>
              <w:jc w:val="both"/>
              <w:rPr>
                <w:rFonts w:ascii="Times New Roman" w:eastAsia="Calibri" w:hAnsi="Times New Roman" w:cs="Times New Roman"/>
                <w:color w:val="000000" w:themeColor="text1"/>
              </w:rPr>
            </w:pPr>
            <w:proofErr w:type="spellStart"/>
            <w:r w:rsidRPr="0035188F">
              <w:rPr>
                <w:rFonts w:ascii="Times New Roman" w:eastAsia="Calibri" w:hAnsi="Times New Roman" w:cs="Times New Roman"/>
                <w:color w:val="000000" w:themeColor="text1"/>
              </w:rPr>
              <w:t>Trinityville</w:t>
            </w:r>
            <w:proofErr w:type="spellEnd"/>
            <w:r w:rsidRPr="0035188F">
              <w:rPr>
                <w:rFonts w:ascii="Times New Roman" w:eastAsia="Calibri" w:hAnsi="Times New Roman" w:cs="Times New Roman"/>
                <w:color w:val="000000" w:themeColor="text1"/>
              </w:rPr>
              <w:t xml:space="preserve"> Area Development Community Benevolent Society</w:t>
            </w:r>
            <w:r>
              <w:rPr>
                <w:rFonts w:ascii="Times New Roman" w:eastAsia="Calibri" w:hAnsi="Times New Roman" w:cs="Times New Roman"/>
                <w:color w:val="000000" w:themeColor="text1"/>
              </w:rPr>
              <w:t xml:space="preserve"> </w:t>
            </w:r>
            <w:r w:rsidRPr="002C1C2F">
              <w:rPr>
                <w:rFonts w:ascii="Times New Roman" w:eastAsia="Calibri" w:hAnsi="Times New Roman" w:cs="Times New Roman"/>
                <w:color w:val="000000" w:themeColor="text1"/>
              </w:rPr>
              <w:t>(TADCBS)</w:t>
            </w:r>
            <w:r>
              <w:rPr>
                <w:rFonts w:ascii="Times New Roman" w:eastAsia="Calibri" w:hAnsi="Times New Roman" w:cs="Times New Roman"/>
                <w:color w:val="000000" w:themeColor="text1"/>
              </w:rPr>
              <w:t>.</w:t>
            </w:r>
          </w:p>
          <w:p w14:paraId="4B4503E4" w14:textId="77777777" w:rsidR="002A110D" w:rsidRDefault="002A110D" w:rsidP="00D7264A">
            <w:pPr>
              <w:jc w:val="both"/>
              <w:rPr>
                <w:rFonts w:ascii="Times New Roman" w:eastAsia="Calibri" w:hAnsi="Times New Roman" w:cs="Times New Roman"/>
                <w:color w:val="000000" w:themeColor="text1"/>
              </w:rPr>
            </w:pPr>
          </w:p>
          <w:p w14:paraId="31B31573" w14:textId="77777777" w:rsidR="002A110D" w:rsidRPr="0035188F" w:rsidRDefault="002A110D" w:rsidP="00D7264A">
            <w:pPr>
              <w:jc w:val="both"/>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Trinityville</w:t>
            </w:r>
            <w:proofErr w:type="spellEnd"/>
            <w:r>
              <w:rPr>
                <w:rFonts w:ascii="Times New Roman" w:eastAsia="Calibri" w:hAnsi="Times New Roman" w:cs="Times New Roman"/>
                <w:color w:val="000000" w:themeColor="text1"/>
              </w:rPr>
              <w:t xml:space="preserve"> Area Integrated Land Management and Disaster Risk Reduction Project (TAILMDRRP).</w:t>
            </w:r>
          </w:p>
        </w:tc>
        <w:tc>
          <w:tcPr>
            <w:tcW w:w="4320" w:type="dxa"/>
          </w:tcPr>
          <w:p w14:paraId="3E4AAB87" w14:textId="77777777" w:rsidR="002A110D" w:rsidRPr="002C7799" w:rsidRDefault="002A110D" w:rsidP="00AD1B2B">
            <w:pPr>
              <w:pStyle w:val="ListParagraph"/>
              <w:numPr>
                <w:ilvl w:val="0"/>
                <w:numId w:val="28"/>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Training in and implementation of improved land management techniques</w:t>
            </w:r>
            <w:r>
              <w:rPr>
                <w:rFonts w:ascii="Times New Roman" w:eastAsia="Calibri" w:hAnsi="Times New Roman"/>
                <w:color w:val="000000" w:themeColor="text1"/>
              </w:rPr>
              <w:t>.</w:t>
            </w:r>
          </w:p>
          <w:p w14:paraId="51A33036" w14:textId="77777777" w:rsidR="002A110D" w:rsidRPr="002C7799" w:rsidRDefault="002A110D" w:rsidP="00AD1B2B">
            <w:pPr>
              <w:pStyle w:val="ListParagraph"/>
              <w:numPr>
                <w:ilvl w:val="0"/>
                <w:numId w:val="28"/>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Rehabilitation of one community centre to also function as an emergency shelter</w:t>
            </w:r>
            <w:r>
              <w:rPr>
                <w:rFonts w:ascii="Times New Roman" w:eastAsia="Calibri" w:hAnsi="Times New Roman"/>
                <w:color w:val="000000" w:themeColor="text1"/>
              </w:rPr>
              <w:t>.</w:t>
            </w:r>
          </w:p>
          <w:p w14:paraId="7C7D5D1B" w14:textId="77777777" w:rsidR="002A110D" w:rsidRPr="002C7799" w:rsidRDefault="002A110D" w:rsidP="00AD1B2B">
            <w:pPr>
              <w:pStyle w:val="ListParagraph"/>
              <w:numPr>
                <w:ilvl w:val="0"/>
                <w:numId w:val="28"/>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Reduced flood risk through improved drainage</w:t>
            </w:r>
            <w:r>
              <w:rPr>
                <w:rFonts w:ascii="Times New Roman" w:eastAsia="Calibri" w:hAnsi="Times New Roman"/>
                <w:color w:val="000000" w:themeColor="text1"/>
              </w:rPr>
              <w:t>.</w:t>
            </w:r>
          </w:p>
          <w:p w14:paraId="7069DEAD" w14:textId="77777777" w:rsidR="002A110D" w:rsidRPr="002C7799" w:rsidRDefault="002A110D" w:rsidP="00AD1B2B">
            <w:pPr>
              <w:pStyle w:val="ListParagraph"/>
              <w:numPr>
                <w:ilvl w:val="0"/>
                <w:numId w:val="28"/>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 xml:space="preserve">DRR and CC public education and awareness.   </w:t>
            </w:r>
          </w:p>
        </w:tc>
      </w:tr>
      <w:tr w:rsidR="002A110D" w:rsidRPr="000B1F12" w14:paraId="39DDAC30" w14:textId="77777777" w:rsidTr="00D7264A">
        <w:tc>
          <w:tcPr>
            <w:tcW w:w="2160" w:type="dxa"/>
            <w:vMerge/>
          </w:tcPr>
          <w:p w14:paraId="48E85F33" w14:textId="77777777" w:rsidR="002A110D" w:rsidRPr="0035188F" w:rsidRDefault="002A110D" w:rsidP="00D7264A">
            <w:pPr>
              <w:jc w:val="both"/>
              <w:rPr>
                <w:rFonts w:ascii="Times New Roman" w:eastAsia="Calibri" w:hAnsi="Times New Roman" w:cs="Times New Roman"/>
                <w:color w:val="000000" w:themeColor="text1"/>
              </w:rPr>
            </w:pPr>
          </w:p>
        </w:tc>
        <w:tc>
          <w:tcPr>
            <w:tcW w:w="2785" w:type="dxa"/>
          </w:tcPr>
          <w:p w14:paraId="159906B0" w14:textId="77777777" w:rsidR="002A110D" w:rsidRDefault="002A110D" w:rsidP="00D7264A">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WMC</w:t>
            </w:r>
          </w:p>
          <w:p w14:paraId="2AA25BA4" w14:textId="77777777" w:rsidR="002A110D" w:rsidRDefault="002A110D" w:rsidP="00D7264A">
            <w:pPr>
              <w:jc w:val="both"/>
              <w:rPr>
                <w:rFonts w:ascii="Times New Roman" w:eastAsia="Calibri" w:hAnsi="Times New Roman" w:cs="Times New Roman"/>
                <w:color w:val="000000" w:themeColor="text1"/>
              </w:rPr>
            </w:pPr>
          </w:p>
          <w:p w14:paraId="31A263EB" w14:textId="77777777" w:rsidR="002A110D" w:rsidRPr="0035188F" w:rsidRDefault="002A110D" w:rsidP="00D7264A">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Climate Change Adaptation and Risk Reduction Technology and Strategies to Improve Community Resilience Project.</w:t>
            </w:r>
          </w:p>
        </w:tc>
        <w:tc>
          <w:tcPr>
            <w:tcW w:w="4320" w:type="dxa"/>
          </w:tcPr>
          <w:p w14:paraId="3DDFF0D5" w14:textId="77777777" w:rsidR="002A110D" w:rsidRPr="002C7799" w:rsidRDefault="002A110D" w:rsidP="00AD1B2B">
            <w:pPr>
              <w:pStyle w:val="ListParagraph"/>
              <w:numPr>
                <w:ilvl w:val="0"/>
                <w:numId w:val="29"/>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Preparation of a Floodwater Control Master Plan</w:t>
            </w:r>
            <w:r>
              <w:rPr>
                <w:rFonts w:ascii="Times New Roman" w:eastAsia="Calibri" w:hAnsi="Times New Roman"/>
                <w:color w:val="000000" w:themeColor="text1"/>
              </w:rPr>
              <w:t>.</w:t>
            </w:r>
            <w:r w:rsidRPr="002C7799">
              <w:rPr>
                <w:rFonts w:ascii="Times New Roman" w:eastAsia="Calibri" w:hAnsi="Times New Roman"/>
                <w:color w:val="000000" w:themeColor="text1"/>
              </w:rPr>
              <w:t xml:space="preserve"> </w:t>
            </w:r>
          </w:p>
          <w:p w14:paraId="5326F9A3" w14:textId="77777777" w:rsidR="002A110D" w:rsidRPr="002C7799" w:rsidRDefault="002A110D" w:rsidP="00AD1B2B">
            <w:pPr>
              <w:pStyle w:val="ListParagraph"/>
              <w:numPr>
                <w:ilvl w:val="0"/>
                <w:numId w:val="29"/>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 xml:space="preserve">Installation of flood </w:t>
            </w:r>
            <w:r>
              <w:rPr>
                <w:rFonts w:ascii="Times New Roman" w:eastAsia="Calibri" w:hAnsi="Times New Roman"/>
                <w:color w:val="000000" w:themeColor="text1"/>
              </w:rPr>
              <w:t>EWS</w:t>
            </w:r>
            <w:r w:rsidRPr="002C7799">
              <w:rPr>
                <w:rFonts w:ascii="Times New Roman" w:eastAsia="Calibri" w:hAnsi="Times New Roman"/>
                <w:color w:val="000000" w:themeColor="text1"/>
              </w:rPr>
              <w:t xml:space="preserve"> to alert residents in the town of Savanna-la-Mar and three surrounding communities</w:t>
            </w:r>
            <w:r>
              <w:rPr>
                <w:rFonts w:ascii="Times New Roman" w:eastAsia="Calibri" w:hAnsi="Times New Roman"/>
                <w:color w:val="000000" w:themeColor="text1"/>
              </w:rPr>
              <w:t>.</w:t>
            </w:r>
          </w:p>
          <w:p w14:paraId="1943CF63" w14:textId="77777777" w:rsidR="002A110D" w:rsidRPr="002C7799" w:rsidRDefault="002A110D" w:rsidP="00AD1B2B">
            <w:pPr>
              <w:pStyle w:val="ListParagraph"/>
              <w:numPr>
                <w:ilvl w:val="0"/>
                <w:numId w:val="29"/>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DRR and CCA public education and awareness</w:t>
            </w:r>
            <w:r>
              <w:rPr>
                <w:rFonts w:ascii="Times New Roman" w:eastAsia="Calibri" w:hAnsi="Times New Roman"/>
                <w:color w:val="000000" w:themeColor="text1"/>
              </w:rPr>
              <w:t>.</w:t>
            </w:r>
          </w:p>
          <w:p w14:paraId="5977D564" w14:textId="77777777" w:rsidR="002A110D" w:rsidRPr="002C7799" w:rsidRDefault="002A110D" w:rsidP="00AD1B2B">
            <w:pPr>
              <w:pStyle w:val="ListParagraph"/>
              <w:numPr>
                <w:ilvl w:val="0"/>
                <w:numId w:val="29"/>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Safety at sea training for fisherfolk</w:t>
            </w:r>
            <w:r>
              <w:rPr>
                <w:rFonts w:ascii="Times New Roman" w:eastAsia="Calibri" w:hAnsi="Times New Roman"/>
                <w:color w:val="000000" w:themeColor="text1"/>
              </w:rPr>
              <w:t>.</w:t>
            </w:r>
          </w:p>
          <w:p w14:paraId="654241A8" w14:textId="77777777" w:rsidR="002A110D" w:rsidRPr="002C7799" w:rsidRDefault="002A110D" w:rsidP="00AD1B2B">
            <w:pPr>
              <w:pStyle w:val="ListParagraph"/>
              <w:numPr>
                <w:ilvl w:val="0"/>
                <w:numId w:val="29"/>
              </w:numPr>
              <w:spacing w:after="0" w:line="240" w:lineRule="auto"/>
              <w:contextualSpacing w:val="0"/>
              <w:jc w:val="both"/>
              <w:rPr>
                <w:rFonts w:ascii="Times New Roman" w:eastAsia="Calibri" w:hAnsi="Times New Roman"/>
                <w:color w:val="000000" w:themeColor="text1"/>
              </w:rPr>
            </w:pPr>
            <w:r w:rsidRPr="002C7799">
              <w:rPr>
                <w:rFonts w:ascii="Times New Roman" w:eastAsia="Calibri" w:hAnsi="Times New Roman"/>
                <w:color w:val="000000" w:themeColor="text1"/>
              </w:rPr>
              <w:t xml:space="preserve">Implementation of community-based livelihood pilot projects and DRR demonstration projects. </w:t>
            </w:r>
          </w:p>
        </w:tc>
      </w:tr>
      <w:tr w:rsidR="002A110D" w:rsidRPr="000B1F12" w14:paraId="5E819F3A" w14:textId="77777777" w:rsidTr="00D7264A">
        <w:tc>
          <w:tcPr>
            <w:tcW w:w="2160" w:type="dxa"/>
          </w:tcPr>
          <w:p w14:paraId="08238555" w14:textId="77777777" w:rsidR="002A110D" w:rsidRPr="0035188F" w:rsidRDefault="002A110D" w:rsidP="00D7264A">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SVG</w:t>
            </w:r>
          </w:p>
        </w:tc>
        <w:tc>
          <w:tcPr>
            <w:tcW w:w="2785" w:type="dxa"/>
          </w:tcPr>
          <w:p w14:paraId="55BEC3D4" w14:textId="77777777" w:rsidR="002A110D" w:rsidRDefault="002A110D" w:rsidP="00D7264A">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SRC/UWI</w:t>
            </w:r>
          </w:p>
          <w:p w14:paraId="126B6D77" w14:textId="77777777" w:rsidR="002A110D" w:rsidRDefault="002A110D" w:rsidP="00D7264A">
            <w:pPr>
              <w:jc w:val="both"/>
              <w:rPr>
                <w:rFonts w:ascii="Times New Roman" w:eastAsia="Calibri" w:hAnsi="Times New Roman" w:cs="Times New Roman"/>
                <w:color w:val="000000" w:themeColor="text1"/>
              </w:rPr>
            </w:pPr>
          </w:p>
          <w:p w14:paraId="3E5332B7" w14:textId="77777777" w:rsidR="002A110D" w:rsidRPr="0035188F" w:rsidRDefault="002A110D" w:rsidP="00D7264A">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Volcano Ready Communities Project.</w:t>
            </w:r>
          </w:p>
        </w:tc>
        <w:tc>
          <w:tcPr>
            <w:tcW w:w="4320" w:type="dxa"/>
          </w:tcPr>
          <w:p w14:paraId="18CD7112" w14:textId="77777777" w:rsidR="002A110D" w:rsidRPr="00B62BB9" w:rsidRDefault="002A110D" w:rsidP="00AD1B2B">
            <w:pPr>
              <w:pStyle w:val="ListParagraph"/>
              <w:numPr>
                <w:ilvl w:val="0"/>
                <w:numId w:val="30"/>
              </w:numPr>
              <w:spacing w:after="0" w:line="240" w:lineRule="auto"/>
              <w:contextualSpacing w:val="0"/>
              <w:jc w:val="both"/>
              <w:rPr>
                <w:rFonts w:ascii="Times New Roman" w:eastAsia="Calibri" w:hAnsi="Times New Roman"/>
                <w:color w:val="000000" w:themeColor="text1"/>
              </w:rPr>
            </w:pPr>
            <w:r w:rsidRPr="00B62BB9">
              <w:rPr>
                <w:rFonts w:ascii="Times New Roman" w:eastAsia="Calibri" w:hAnsi="Times New Roman"/>
                <w:color w:val="000000" w:themeColor="text1"/>
              </w:rPr>
              <w:t xml:space="preserve">Development of protocols to inform and alert residents in the 12 target communities about the Soufriere </w:t>
            </w:r>
            <w:r>
              <w:rPr>
                <w:rFonts w:ascii="Times New Roman" w:eastAsia="Calibri" w:hAnsi="Times New Roman"/>
                <w:color w:val="000000" w:themeColor="text1"/>
              </w:rPr>
              <w:t>V</w:t>
            </w:r>
            <w:r w:rsidRPr="00B62BB9">
              <w:rPr>
                <w:rFonts w:ascii="Times New Roman" w:eastAsia="Calibri" w:hAnsi="Times New Roman"/>
                <w:color w:val="000000" w:themeColor="text1"/>
              </w:rPr>
              <w:t>olcano and other related natural hazards</w:t>
            </w:r>
            <w:r>
              <w:rPr>
                <w:rFonts w:ascii="Times New Roman" w:eastAsia="Calibri" w:hAnsi="Times New Roman"/>
                <w:color w:val="000000" w:themeColor="text1"/>
              </w:rPr>
              <w:t>.</w:t>
            </w:r>
          </w:p>
          <w:p w14:paraId="1C778A2C" w14:textId="77777777" w:rsidR="002A110D" w:rsidRPr="00B62BB9" w:rsidRDefault="002A110D" w:rsidP="00AD1B2B">
            <w:pPr>
              <w:pStyle w:val="ListParagraph"/>
              <w:numPr>
                <w:ilvl w:val="0"/>
                <w:numId w:val="30"/>
              </w:numPr>
              <w:spacing w:after="0" w:line="240" w:lineRule="auto"/>
              <w:contextualSpacing w:val="0"/>
              <w:jc w:val="both"/>
              <w:rPr>
                <w:rFonts w:ascii="Times New Roman" w:eastAsia="Calibri" w:hAnsi="Times New Roman"/>
                <w:color w:val="000000" w:themeColor="text1"/>
              </w:rPr>
            </w:pPr>
            <w:r w:rsidRPr="00B62BB9">
              <w:rPr>
                <w:rFonts w:ascii="Times New Roman" w:eastAsia="Calibri" w:hAnsi="Times New Roman"/>
                <w:color w:val="000000" w:themeColor="text1"/>
              </w:rPr>
              <w:t>Design and printing of gender sensitive multi-hazard DRR and CCA public education materials</w:t>
            </w:r>
            <w:r>
              <w:rPr>
                <w:rFonts w:ascii="Times New Roman" w:eastAsia="Calibri" w:hAnsi="Times New Roman"/>
                <w:color w:val="000000" w:themeColor="text1"/>
              </w:rPr>
              <w:t>.</w:t>
            </w:r>
          </w:p>
          <w:p w14:paraId="30FC6A2A" w14:textId="77777777" w:rsidR="002A110D" w:rsidRPr="00B62BB9" w:rsidRDefault="002A110D" w:rsidP="00AD1B2B">
            <w:pPr>
              <w:pStyle w:val="ListParagraph"/>
              <w:numPr>
                <w:ilvl w:val="0"/>
                <w:numId w:val="30"/>
              </w:numPr>
              <w:spacing w:after="0" w:line="240" w:lineRule="auto"/>
              <w:contextualSpacing w:val="0"/>
              <w:jc w:val="both"/>
              <w:rPr>
                <w:rFonts w:ascii="Times New Roman" w:eastAsia="Calibri" w:hAnsi="Times New Roman"/>
                <w:color w:val="000000" w:themeColor="text1"/>
              </w:rPr>
            </w:pPr>
            <w:r w:rsidRPr="00B62BB9">
              <w:rPr>
                <w:rFonts w:ascii="Times New Roman" w:eastAsia="Calibri" w:hAnsi="Times New Roman"/>
                <w:color w:val="000000" w:themeColor="text1"/>
              </w:rPr>
              <w:t xml:space="preserve">Preparation of contingency plans for communities in the Soufriere </w:t>
            </w:r>
            <w:r>
              <w:rPr>
                <w:rFonts w:ascii="Times New Roman" w:eastAsia="Calibri" w:hAnsi="Times New Roman"/>
                <w:color w:val="000000" w:themeColor="text1"/>
              </w:rPr>
              <w:t>V</w:t>
            </w:r>
            <w:r w:rsidRPr="00B62BB9">
              <w:rPr>
                <w:rFonts w:ascii="Times New Roman" w:eastAsia="Calibri" w:hAnsi="Times New Roman"/>
                <w:color w:val="000000" w:themeColor="text1"/>
              </w:rPr>
              <w:t xml:space="preserve">olcano high risk zone and testing of the plans. </w:t>
            </w:r>
          </w:p>
        </w:tc>
      </w:tr>
    </w:tbl>
    <w:p w14:paraId="2DC66956" w14:textId="77777777" w:rsidR="002A110D" w:rsidRDefault="002A110D" w:rsidP="002A110D">
      <w:pPr>
        <w:spacing w:after="0" w:line="240" w:lineRule="auto"/>
        <w:jc w:val="both"/>
        <w:rPr>
          <w:rFonts w:ascii="Times New Roman" w:eastAsia="Calibri" w:hAnsi="Times New Roman"/>
          <w:color w:val="000000" w:themeColor="text1"/>
        </w:rPr>
      </w:pPr>
    </w:p>
    <w:p w14:paraId="3FF1C981" w14:textId="77CA96F2" w:rsidR="006C33B1" w:rsidRDefault="006C33B1" w:rsidP="006C33B1">
      <w:pPr>
        <w:widowControl w:val="0"/>
        <w:autoSpaceDE w:val="0"/>
        <w:autoSpaceDN w:val="0"/>
        <w:adjustRightInd w:val="0"/>
        <w:spacing w:after="0" w:line="240" w:lineRule="auto"/>
        <w:ind w:right="418"/>
        <w:jc w:val="both"/>
        <w:rPr>
          <w:rFonts w:ascii="Times New Roman" w:hAnsi="Times New Roman" w:cs="Times New Roman"/>
        </w:rPr>
      </w:pPr>
    </w:p>
    <w:p w14:paraId="320DCCE8" w14:textId="567AB805" w:rsidR="002A110D" w:rsidRDefault="002A110D" w:rsidP="006C33B1">
      <w:pPr>
        <w:widowControl w:val="0"/>
        <w:autoSpaceDE w:val="0"/>
        <w:autoSpaceDN w:val="0"/>
        <w:adjustRightInd w:val="0"/>
        <w:spacing w:after="0" w:line="240" w:lineRule="auto"/>
        <w:ind w:right="418"/>
        <w:jc w:val="both"/>
        <w:rPr>
          <w:rFonts w:ascii="Times New Roman" w:hAnsi="Times New Roman" w:cs="Times New Roman"/>
        </w:rPr>
      </w:pPr>
    </w:p>
    <w:p w14:paraId="3CF28C8E" w14:textId="4006FD47" w:rsidR="002A110D" w:rsidRDefault="002A110D" w:rsidP="006C33B1">
      <w:pPr>
        <w:widowControl w:val="0"/>
        <w:autoSpaceDE w:val="0"/>
        <w:autoSpaceDN w:val="0"/>
        <w:adjustRightInd w:val="0"/>
        <w:spacing w:after="0" w:line="240" w:lineRule="auto"/>
        <w:ind w:right="418"/>
        <w:jc w:val="both"/>
        <w:rPr>
          <w:rFonts w:ascii="Times New Roman" w:hAnsi="Times New Roman" w:cs="Times New Roman"/>
        </w:rPr>
      </w:pPr>
    </w:p>
    <w:p w14:paraId="672F5087" w14:textId="23B029F2" w:rsidR="002A110D" w:rsidRDefault="002A110D" w:rsidP="006C33B1">
      <w:pPr>
        <w:widowControl w:val="0"/>
        <w:autoSpaceDE w:val="0"/>
        <w:autoSpaceDN w:val="0"/>
        <w:adjustRightInd w:val="0"/>
        <w:spacing w:after="0" w:line="240" w:lineRule="auto"/>
        <w:ind w:right="418"/>
        <w:jc w:val="both"/>
        <w:rPr>
          <w:rFonts w:ascii="Times New Roman" w:hAnsi="Times New Roman" w:cs="Times New Roman"/>
        </w:rPr>
      </w:pPr>
    </w:p>
    <w:p w14:paraId="3845E562" w14:textId="6C7DAA7A" w:rsidR="00396AD4" w:rsidRDefault="00396AD4" w:rsidP="006C33B1">
      <w:pPr>
        <w:widowControl w:val="0"/>
        <w:autoSpaceDE w:val="0"/>
        <w:autoSpaceDN w:val="0"/>
        <w:adjustRightInd w:val="0"/>
        <w:spacing w:after="0" w:line="240" w:lineRule="auto"/>
        <w:ind w:right="418"/>
        <w:jc w:val="both"/>
        <w:rPr>
          <w:rFonts w:ascii="Times New Roman" w:hAnsi="Times New Roman" w:cs="Times New Roman"/>
        </w:rPr>
      </w:pPr>
    </w:p>
    <w:p w14:paraId="2C020E45" w14:textId="77777777" w:rsidR="00396AD4" w:rsidRDefault="00396AD4" w:rsidP="006C33B1">
      <w:pPr>
        <w:widowControl w:val="0"/>
        <w:autoSpaceDE w:val="0"/>
        <w:autoSpaceDN w:val="0"/>
        <w:adjustRightInd w:val="0"/>
        <w:spacing w:after="0" w:line="240" w:lineRule="auto"/>
        <w:ind w:right="418"/>
        <w:jc w:val="both"/>
        <w:rPr>
          <w:rFonts w:ascii="Times New Roman" w:hAnsi="Times New Roman" w:cs="Times New Roman"/>
        </w:rPr>
      </w:pPr>
    </w:p>
    <w:p w14:paraId="028BB654" w14:textId="44DE60F3" w:rsidR="002A110D" w:rsidRDefault="002A110D" w:rsidP="006C33B1">
      <w:pPr>
        <w:widowControl w:val="0"/>
        <w:autoSpaceDE w:val="0"/>
        <w:autoSpaceDN w:val="0"/>
        <w:adjustRightInd w:val="0"/>
        <w:spacing w:after="0" w:line="240" w:lineRule="auto"/>
        <w:ind w:right="418"/>
        <w:jc w:val="both"/>
        <w:rPr>
          <w:rFonts w:ascii="Times New Roman" w:hAnsi="Times New Roman" w:cs="Times New Roman"/>
        </w:rPr>
      </w:pPr>
    </w:p>
    <w:p w14:paraId="223A191B" w14:textId="29E1EE96" w:rsidR="002A110D" w:rsidRDefault="002A110D" w:rsidP="006C33B1">
      <w:pPr>
        <w:widowControl w:val="0"/>
        <w:autoSpaceDE w:val="0"/>
        <w:autoSpaceDN w:val="0"/>
        <w:adjustRightInd w:val="0"/>
        <w:spacing w:after="0" w:line="240" w:lineRule="auto"/>
        <w:ind w:right="418"/>
        <w:jc w:val="both"/>
        <w:rPr>
          <w:rFonts w:ascii="Times New Roman" w:hAnsi="Times New Roman" w:cs="Times New Roman"/>
        </w:rPr>
      </w:pPr>
    </w:p>
    <w:p w14:paraId="5B8AB8CC" w14:textId="77777777" w:rsidR="002A110D" w:rsidRPr="00223439" w:rsidRDefault="002A110D" w:rsidP="006C33B1">
      <w:pPr>
        <w:widowControl w:val="0"/>
        <w:autoSpaceDE w:val="0"/>
        <w:autoSpaceDN w:val="0"/>
        <w:adjustRightInd w:val="0"/>
        <w:spacing w:after="0" w:line="240" w:lineRule="auto"/>
        <w:ind w:right="418"/>
        <w:jc w:val="both"/>
        <w:rPr>
          <w:rFonts w:ascii="Times New Roman" w:hAnsi="Times New Roman" w:cs="Times New Roman"/>
        </w:rPr>
      </w:pPr>
    </w:p>
    <w:p w14:paraId="494C9344" w14:textId="0806050F" w:rsidR="006C33B1" w:rsidRPr="00511FE2" w:rsidRDefault="00511FE2" w:rsidP="00511FE2">
      <w:pPr>
        <w:spacing w:after="0" w:line="240" w:lineRule="auto"/>
        <w:rPr>
          <w:rFonts w:ascii="Times New Roman" w:eastAsia="Calibri" w:hAnsi="Times New Roman" w:cs="Times New Roman"/>
          <w:b/>
          <w:color w:val="000000" w:themeColor="text1"/>
          <w:u w:val="single"/>
        </w:rPr>
      </w:pPr>
      <w:r>
        <w:rPr>
          <w:rFonts w:ascii="Times New Roman" w:eastAsia="Calibri" w:hAnsi="Times New Roman" w:cs="Times New Roman"/>
          <w:b/>
          <w:color w:val="000000" w:themeColor="text1"/>
          <w:u w:val="single"/>
        </w:rPr>
        <w:t xml:space="preserve">3. </w:t>
      </w:r>
      <w:r w:rsidRPr="00511FE2">
        <w:rPr>
          <w:rFonts w:ascii="Times New Roman" w:eastAsia="Calibri" w:hAnsi="Times New Roman" w:cs="Times New Roman"/>
          <w:b/>
          <w:color w:val="000000" w:themeColor="text1"/>
          <w:u w:val="single"/>
        </w:rPr>
        <w:t>OPERATIONAL STRUCTURE</w:t>
      </w:r>
    </w:p>
    <w:p w14:paraId="19BA8075" w14:textId="77777777" w:rsidR="006C33B1" w:rsidRPr="00223439" w:rsidRDefault="006C33B1" w:rsidP="006C33B1">
      <w:pPr>
        <w:spacing w:after="0" w:line="240" w:lineRule="auto"/>
        <w:ind w:firstLine="720"/>
        <w:rPr>
          <w:rFonts w:ascii="Times New Roman" w:hAnsi="Times New Roman" w:cs="Times New Roman"/>
          <w:b/>
        </w:rPr>
      </w:pPr>
    </w:p>
    <w:p w14:paraId="22DEB96F" w14:textId="32539395" w:rsidR="005E23D5" w:rsidRDefault="00511FE2" w:rsidP="006C33B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2.08</w:t>
      </w:r>
      <w:r w:rsidR="006C33B1">
        <w:rPr>
          <w:rFonts w:ascii="Times New Roman" w:hAnsi="Times New Roman" w:cs="Times New Roman"/>
        </w:rPr>
        <w:tab/>
      </w:r>
      <w:r w:rsidR="006C33B1" w:rsidRPr="00223439">
        <w:rPr>
          <w:rFonts w:ascii="Times New Roman" w:hAnsi="Times New Roman" w:cs="Times New Roman"/>
        </w:rPr>
        <w:t xml:space="preserve">The CDRRF is managed by the Trust Fund Steering Committee (TFSC), which has overall responsibility for the coordination and guidance of the project. </w:t>
      </w:r>
      <w:r w:rsidR="006C33B1">
        <w:rPr>
          <w:rFonts w:ascii="Times New Roman" w:hAnsi="Times New Roman" w:cs="Times New Roman"/>
        </w:rPr>
        <w:t xml:space="preserve"> </w:t>
      </w:r>
      <w:r w:rsidR="00B36CCD">
        <w:rPr>
          <w:rFonts w:ascii="Times New Roman" w:hAnsi="Times New Roman" w:cs="Times New Roman"/>
        </w:rPr>
        <w:t xml:space="preserve"> </w:t>
      </w:r>
      <w:r w:rsidR="006C33B1" w:rsidRPr="00223439">
        <w:rPr>
          <w:rFonts w:ascii="Times New Roman" w:hAnsi="Times New Roman" w:cs="Times New Roman"/>
        </w:rPr>
        <w:t xml:space="preserve">The TFSC comprises representatives </w:t>
      </w:r>
      <w:r w:rsidR="005E23D5" w:rsidRPr="00223439">
        <w:rPr>
          <w:rFonts w:ascii="Times New Roman" w:hAnsi="Times New Roman" w:cs="Times New Roman"/>
        </w:rPr>
        <w:t>f</w:t>
      </w:r>
      <w:r w:rsidR="005E23D5">
        <w:rPr>
          <w:rFonts w:ascii="Times New Roman" w:hAnsi="Times New Roman" w:cs="Times New Roman"/>
        </w:rPr>
        <w:t>rom</w:t>
      </w:r>
      <w:r w:rsidR="005E23D5" w:rsidRPr="00223439">
        <w:rPr>
          <w:rFonts w:ascii="Times New Roman" w:hAnsi="Times New Roman" w:cs="Times New Roman"/>
        </w:rPr>
        <w:t xml:space="preserve"> </w:t>
      </w:r>
      <w:r w:rsidR="00960D00">
        <w:rPr>
          <w:rFonts w:ascii="Times New Roman" w:hAnsi="Times New Roman" w:cs="Times New Roman"/>
        </w:rPr>
        <w:t>Caribbean Development Bank</w:t>
      </w:r>
      <w:r w:rsidR="006C33B1" w:rsidRPr="00223439">
        <w:rPr>
          <w:rFonts w:ascii="Times New Roman" w:hAnsi="Times New Roman" w:cs="Times New Roman"/>
        </w:rPr>
        <w:t xml:space="preserve">, Global Affairs Canada, and </w:t>
      </w:r>
      <w:r w:rsidR="00965B2F">
        <w:rPr>
          <w:rFonts w:ascii="Times New Roman" w:hAnsi="Times New Roman" w:cs="Times New Roman"/>
        </w:rPr>
        <w:t>EU</w:t>
      </w:r>
      <w:r w:rsidR="009D71C6">
        <w:rPr>
          <w:rFonts w:ascii="Times New Roman" w:hAnsi="Times New Roman" w:cs="Times New Roman"/>
        </w:rPr>
        <w:t xml:space="preserve">.  </w:t>
      </w:r>
      <w:r w:rsidR="006C33B1" w:rsidRPr="00223439">
        <w:rPr>
          <w:rFonts w:ascii="Times New Roman" w:hAnsi="Times New Roman" w:cs="Times New Roman"/>
        </w:rPr>
        <w:t xml:space="preserve">The TFSC </w:t>
      </w:r>
      <w:r w:rsidR="005E23D5">
        <w:rPr>
          <w:rFonts w:ascii="Times New Roman" w:hAnsi="Times New Roman" w:cs="Times New Roman"/>
        </w:rPr>
        <w:t xml:space="preserve">is </w:t>
      </w:r>
      <w:r w:rsidR="005E23D5" w:rsidRPr="00223439">
        <w:rPr>
          <w:rFonts w:ascii="Times New Roman" w:hAnsi="Times New Roman" w:cs="Times New Roman"/>
        </w:rPr>
        <w:t>chaired</w:t>
      </w:r>
      <w:r w:rsidR="006C33B1" w:rsidRPr="00223439">
        <w:rPr>
          <w:rFonts w:ascii="Times New Roman" w:hAnsi="Times New Roman" w:cs="Times New Roman"/>
        </w:rPr>
        <w:t xml:space="preserve"> by Global Affairs Canada and </w:t>
      </w:r>
      <w:r w:rsidR="006C33B1">
        <w:rPr>
          <w:rFonts w:ascii="Times New Roman" w:hAnsi="Times New Roman" w:cs="Times New Roman"/>
        </w:rPr>
        <w:t xml:space="preserve">meetings are </w:t>
      </w:r>
      <w:r w:rsidR="00BD7AF1">
        <w:rPr>
          <w:rFonts w:ascii="Times New Roman" w:hAnsi="Times New Roman" w:cs="Times New Roman"/>
        </w:rPr>
        <w:t xml:space="preserve">held </w:t>
      </w:r>
      <w:r w:rsidR="00BD7AF1" w:rsidRPr="00223439">
        <w:rPr>
          <w:rFonts w:ascii="Times New Roman" w:hAnsi="Times New Roman" w:cs="Times New Roman"/>
        </w:rPr>
        <w:t>at</w:t>
      </w:r>
      <w:r w:rsidR="006C33B1" w:rsidRPr="00223439">
        <w:rPr>
          <w:rFonts w:ascii="Times New Roman" w:hAnsi="Times New Roman" w:cs="Times New Roman"/>
        </w:rPr>
        <w:t xml:space="preserve"> least twice per year. </w:t>
      </w:r>
      <w:r w:rsidR="00B36CCD">
        <w:rPr>
          <w:rFonts w:ascii="Times New Roman" w:hAnsi="Times New Roman" w:cs="Times New Roman"/>
        </w:rPr>
        <w:t xml:space="preserve"> </w:t>
      </w:r>
      <w:r w:rsidR="006C33B1" w:rsidRPr="00223439">
        <w:rPr>
          <w:rFonts w:ascii="Times New Roman" w:hAnsi="Times New Roman" w:cs="Times New Roman"/>
        </w:rPr>
        <w:t xml:space="preserve">The </w:t>
      </w:r>
      <w:r w:rsidR="005E23D5" w:rsidRPr="00223439">
        <w:rPr>
          <w:rFonts w:ascii="Times New Roman" w:hAnsi="Times New Roman" w:cs="Times New Roman"/>
        </w:rPr>
        <w:t>TFSC makes</w:t>
      </w:r>
      <w:r w:rsidR="006C33B1" w:rsidRPr="00223439">
        <w:rPr>
          <w:rFonts w:ascii="Times New Roman" w:hAnsi="Times New Roman" w:cs="Times New Roman"/>
        </w:rPr>
        <w:t xml:space="preserve"> decisions </w:t>
      </w:r>
      <w:proofErr w:type="gramStart"/>
      <w:r w:rsidR="006C33B1" w:rsidRPr="00223439">
        <w:rPr>
          <w:rFonts w:ascii="Times New Roman" w:hAnsi="Times New Roman" w:cs="Times New Roman"/>
        </w:rPr>
        <w:t>on the basis of</w:t>
      </w:r>
      <w:proofErr w:type="gramEnd"/>
      <w:r w:rsidR="006C33B1" w:rsidRPr="00223439">
        <w:rPr>
          <w:rFonts w:ascii="Times New Roman" w:hAnsi="Times New Roman" w:cs="Times New Roman"/>
        </w:rPr>
        <w:t xml:space="preserve"> (non-voting) consensus amongst official members of the TFSC (i.e. non-observer members).</w:t>
      </w:r>
    </w:p>
    <w:p w14:paraId="557CA240" w14:textId="77777777" w:rsidR="005E23D5" w:rsidRDefault="005E23D5" w:rsidP="006C33B1">
      <w:pPr>
        <w:widowControl w:val="0"/>
        <w:autoSpaceDE w:val="0"/>
        <w:autoSpaceDN w:val="0"/>
        <w:adjustRightInd w:val="0"/>
        <w:spacing w:after="0" w:line="240" w:lineRule="auto"/>
        <w:jc w:val="both"/>
        <w:rPr>
          <w:rFonts w:ascii="Times New Roman" w:hAnsi="Times New Roman" w:cs="Times New Roman"/>
        </w:rPr>
      </w:pPr>
    </w:p>
    <w:p w14:paraId="296963AB" w14:textId="4E5ABC05" w:rsidR="006C33B1" w:rsidRDefault="00511FE2" w:rsidP="006C33B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2.09</w:t>
      </w:r>
      <w:r w:rsidR="005E23D5">
        <w:rPr>
          <w:rFonts w:ascii="Times New Roman" w:hAnsi="Times New Roman" w:cs="Times New Roman"/>
        </w:rPr>
        <w:t xml:space="preserve">    </w:t>
      </w:r>
      <w:r w:rsidR="006C33B1">
        <w:rPr>
          <w:rFonts w:ascii="Times New Roman" w:hAnsi="Times New Roman" w:cs="Times New Roman"/>
        </w:rPr>
        <w:t xml:space="preserve"> </w:t>
      </w:r>
      <w:r w:rsidR="00BD7AF1">
        <w:rPr>
          <w:rFonts w:ascii="Times New Roman" w:hAnsi="Times New Roman" w:cs="Times New Roman"/>
        </w:rPr>
        <w:t xml:space="preserve">The Project Technical Review Committee (PTRC) will serve principally as a technical review committee to the project, advising </w:t>
      </w:r>
      <w:r w:rsidR="00B36CCD">
        <w:rPr>
          <w:rFonts w:ascii="Times New Roman" w:hAnsi="Times New Roman" w:cs="Times New Roman"/>
        </w:rPr>
        <w:t>the Project</w:t>
      </w:r>
      <w:r w:rsidR="00B36CCD" w:rsidRPr="00223439">
        <w:rPr>
          <w:rFonts w:ascii="Times New Roman" w:hAnsi="Times New Roman" w:cs="Times New Roman"/>
        </w:rPr>
        <w:t xml:space="preserve"> Management Unit</w:t>
      </w:r>
      <w:r w:rsidR="00B36CCD">
        <w:rPr>
          <w:rFonts w:ascii="Times New Roman" w:hAnsi="Times New Roman" w:cs="Times New Roman"/>
        </w:rPr>
        <w:t xml:space="preserve"> ((P</w:t>
      </w:r>
      <w:r w:rsidR="00BD7AF1">
        <w:rPr>
          <w:rFonts w:ascii="Times New Roman" w:hAnsi="Times New Roman" w:cs="Times New Roman"/>
        </w:rPr>
        <w:t>MU</w:t>
      </w:r>
      <w:r w:rsidR="00B36CCD">
        <w:rPr>
          <w:rFonts w:ascii="Times New Roman" w:hAnsi="Times New Roman" w:cs="Times New Roman"/>
        </w:rPr>
        <w:t>)</w:t>
      </w:r>
      <w:r w:rsidR="00BD7AF1">
        <w:rPr>
          <w:rFonts w:ascii="Times New Roman" w:hAnsi="Times New Roman" w:cs="Times New Roman"/>
        </w:rPr>
        <w:t xml:space="preserve"> and recommending sub-projects for the approval of the TFSC.  </w:t>
      </w:r>
    </w:p>
    <w:p w14:paraId="4B21589C" w14:textId="77777777" w:rsidR="006C33B1" w:rsidRPr="00223439" w:rsidRDefault="006C33B1" w:rsidP="006C33B1">
      <w:pPr>
        <w:widowControl w:val="0"/>
        <w:autoSpaceDE w:val="0"/>
        <w:autoSpaceDN w:val="0"/>
        <w:adjustRightInd w:val="0"/>
        <w:spacing w:after="0" w:line="240" w:lineRule="auto"/>
        <w:jc w:val="both"/>
        <w:rPr>
          <w:rFonts w:ascii="Times New Roman" w:hAnsi="Times New Roman" w:cs="Times New Roman"/>
        </w:rPr>
      </w:pPr>
    </w:p>
    <w:p w14:paraId="59512912" w14:textId="569119CC" w:rsidR="00BD7AF1" w:rsidRDefault="00511FE2" w:rsidP="006C33B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2.10</w:t>
      </w:r>
      <w:r w:rsidR="006C33B1">
        <w:rPr>
          <w:rFonts w:ascii="Times New Roman" w:hAnsi="Times New Roman" w:cs="Times New Roman"/>
        </w:rPr>
        <w:tab/>
        <w:t xml:space="preserve">CDRRF’s </w:t>
      </w:r>
      <w:r w:rsidR="006C33B1" w:rsidRPr="00223439">
        <w:rPr>
          <w:rFonts w:ascii="Times New Roman" w:hAnsi="Times New Roman" w:cs="Times New Roman"/>
        </w:rPr>
        <w:t>PMU is responsible for the management and implementation of the</w:t>
      </w:r>
      <w:r w:rsidR="005E23D5">
        <w:rPr>
          <w:rFonts w:ascii="Times New Roman" w:hAnsi="Times New Roman" w:cs="Times New Roman"/>
        </w:rPr>
        <w:t xml:space="preserve"> </w:t>
      </w:r>
      <w:r w:rsidR="006C33B1">
        <w:rPr>
          <w:rFonts w:ascii="Times New Roman" w:hAnsi="Times New Roman" w:cs="Times New Roman"/>
        </w:rPr>
        <w:t xml:space="preserve">Project.  </w:t>
      </w:r>
      <w:r w:rsidR="006C33B1" w:rsidRPr="00223439">
        <w:rPr>
          <w:rFonts w:ascii="Times New Roman" w:hAnsi="Times New Roman" w:cs="Times New Roman"/>
        </w:rPr>
        <w:t xml:space="preserve"> </w:t>
      </w:r>
      <w:r w:rsidR="005E23D5" w:rsidRPr="00223439">
        <w:rPr>
          <w:rFonts w:ascii="Times New Roman" w:hAnsi="Times New Roman" w:cs="Times New Roman"/>
        </w:rPr>
        <w:t>Th</w:t>
      </w:r>
      <w:r w:rsidR="005E23D5">
        <w:rPr>
          <w:rFonts w:ascii="Times New Roman" w:hAnsi="Times New Roman" w:cs="Times New Roman"/>
        </w:rPr>
        <w:t xml:space="preserve">e </w:t>
      </w:r>
      <w:r w:rsidR="005E23D5" w:rsidRPr="00223439">
        <w:rPr>
          <w:rFonts w:ascii="Times New Roman" w:hAnsi="Times New Roman" w:cs="Times New Roman"/>
        </w:rPr>
        <w:t>Unit</w:t>
      </w:r>
      <w:r w:rsidR="006C33B1" w:rsidRPr="00223439">
        <w:rPr>
          <w:rFonts w:ascii="Times New Roman" w:hAnsi="Times New Roman" w:cs="Times New Roman"/>
        </w:rPr>
        <w:t xml:space="preserve"> </w:t>
      </w:r>
      <w:r w:rsidR="006C33B1">
        <w:rPr>
          <w:rFonts w:ascii="Times New Roman" w:hAnsi="Times New Roman" w:cs="Times New Roman"/>
        </w:rPr>
        <w:t xml:space="preserve">is currently </w:t>
      </w:r>
      <w:r w:rsidR="006C33B1" w:rsidRPr="00223439">
        <w:rPr>
          <w:rFonts w:ascii="Times New Roman" w:hAnsi="Times New Roman" w:cs="Times New Roman"/>
        </w:rPr>
        <w:t xml:space="preserve">staffed by a Project Manager, </w:t>
      </w:r>
      <w:r w:rsidR="006C33B1">
        <w:rPr>
          <w:rFonts w:ascii="Times New Roman" w:hAnsi="Times New Roman" w:cs="Times New Roman"/>
        </w:rPr>
        <w:t xml:space="preserve">an </w:t>
      </w:r>
      <w:r w:rsidR="006C33B1" w:rsidRPr="00223439">
        <w:rPr>
          <w:rFonts w:ascii="Times New Roman" w:hAnsi="Times New Roman" w:cs="Times New Roman"/>
        </w:rPr>
        <w:t xml:space="preserve">Administrative Assistant, </w:t>
      </w:r>
      <w:r w:rsidR="006C33B1">
        <w:rPr>
          <w:rFonts w:ascii="Times New Roman" w:hAnsi="Times New Roman" w:cs="Times New Roman"/>
        </w:rPr>
        <w:t xml:space="preserve">a </w:t>
      </w:r>
      <w:r w:rsidR="006C33B1" w:rsidRPr="00223439">
        <w:rPr>
          <w:rFonts w:ascii="Times New Roman" w:hAnsi="Times New Roman" w:cs="Times New Roman"/>
        </w:rPr>
        <w:t>Monitoring and Evaluation Specialist and a Knowledge Management/Public Education Specialist.</w:t>
      </w:r>
    </w:p>
    <w:p w14:paraId="19A16D8F" w14:textId="77777777" w:rsidR="00BD7AF1" w:rsidRDefault="00BD7AF1" w:rsidP="006C33B1">
      <w:pPr>
        <w:widowControl w:val="0"/>
        <w:autoSpaceDE w:val="0"/>
        <w:autoSpaceDN w:val="0"/>
        <w:adjustRightInd w:val="0"/>
        <w:spacing w:after="0" w:line="240" w:lineRule="auto"/>
        <w:jc w:val="both"/>
        <w:rPr>
          <w:rFonts w:ascii="Times New Roman" w:hAnsi="Times New Roman" w:cs="Times New Roman"/>
        </w:rPr>
      </w:pPr>
    </w:p>
    <w:p w14:paraId="60F4CE81" w14:textId="742B702F" w:rsidR="00BD7AF1" w:rsidRDefault="00511FE2" w:rsidP="00BD7AF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2.11</w:t>
      </w:r>
      <w:r w:rsidR="00BD7AF1">
        <w:rPr>
          <w:rFonts w:ascii="Times New Roman" w:hAnsi="Times New Roman" w:cs="Times New Roman"/>
        </w:rPr>
        <w:tab/>
      </w:r>
      <w:r w:rsidR="00BD7AF1" w:rsidRPr="00223439">
        <w:rPr>
          <w:rFonts w:ascii="Times New Roman" w:hAnsi="Times New Roman" w:cs="Times New Roman"/>
        </w:rPr>
        <w:t xml:space="preserve">CDB manages the overall process of sub-project proposal solicitation, appraisal, </w:t>
      </w:r>
      <w:r w:rsidR="00BD7AF1">
        <w:rPr>
          <w:rFonts w:ascii="Times New Roman" w:hAnsi="Times New Roman" w:cs="Times New Roman"/>
        </w:rPr>
        <w:t xml:space="preserve">implementation, monitoring and </w:t>
      </w:r>
      <w:r w:rsidR="00BD7AF1" w:rsidRPr="00223439">
        <w:rPr>
          <w:rFonts w:ascii="Times New Roman" w:hAnsi="Times New Roman" w:cs="Times New Roman"/>
        </w:rPr>
        <w:t>evaluation</w:t>
      </w:r>
      <w:r w:rsidR="00B36CCD">
        <w:rPr>
          <w:rFonts w:ascii="Times New Roman" w:hAnsi="Times New Roman" w:cs="Times New Roman"/>
        </w:rPr>
        <w:t xml:space="preserve"> (M&amp;E)</w:t>
      </w:r>
      <w:r w:rsidR="00BD7AF1">
        <w:rPr>
          <w:rFonts w:ascii="Times New Roman" w:hAnsi="Times New Roman" w:cs="Times New Roman"/>
        </w:rPr>
        <w:t xml:space="preserve">. </w:t>
      </w:r>
      <w:r w:rsidR="00BD7AF1" w:rsidRPr="00223439">
        <w:rPr>
          <w:rFonts w:ascii="Times New Roman" w:hAnsi="Times New Roman" w:cs="Times New Roman"/>
        </w:rPr>
        <w:t xml:space="preserve"> </w:t>
      </w:r>
      <w:r w:rsidR="00B36CCD">
        <w:rPr>
          <w:rFonts w:ascii="Times New Roman" w:hAnsi="Times New Roman" w:cs="Times New Roman"/>
        </w:rPr>
        <w:t xml:space="preserve"> </w:t>
      </w:r>
      <w:r w:rsidR="00BD7AF1">
        <w:rPr>
          <w:rFonts w:ascii="Times New Roman" w:hAnsi="Times New Roman" w:cs="Times New Roman"/>
        </w:rPr>
        <w:t xml:space="preserve">CDB’s </w:t>
      </w:r>
      <w:r w:rsidR="00BD7AF1" w:rsidRPr="00223439">
        <w:rPr>
          <w:rFonts w:ascii="Times New Roman" w:hAnsi="Times New Roman" w:cs="Times New Roman"/>
        </w:rPr>
        <w:t xml:space="preserve">contributions to the administration of the </w:t>
      </w:r>
      <w:r w:rsidR="00BD7AF1">
        <w:rPr>
          <w:rFonts w:ascii="Times New Roman" w:hAnsi="Times New Roman" w:cs="Times New Roman"/>
        </w:rPr>
        <w:t>F</w:t>
      </w:r>
      <w:r w:rsidR="00BD7AF1" w:rsidRPr="00223439">
        <w:rPr>
          <w:rFonts w:ascii="Times New Roman" w:hAnsi="Times New Roman" w:cs="Times New Roman"/>
        </w:rPr>
        <w:t xml:space="preserve">und </w:t>
      </w:r>
      <w:r w:rsidR="00BD7AF1">
        <w:rPr>
          <w:rFonts w:ascii="Times New Roman" w:hAnsi="Times New Roman" w:cs="Times New Roman"/>
        </w:rPr>
        <w:t xml:space="preserve">are </w:t>
      </w:r>
      <w:r w:rsidR="00BD7AF1" w:rsidRPr="00223439">
        <w:rPr>
          <w:rFonts w:ascii="Times New Roman" w:hAnsi="Times New Roman" w:cs="Times New Roman"/>
        </w:rPr>
        <w:t>made through its Loans Committee</w:t>
      </w:r>
      <w:r w:rsidR="00BD7AF1">
        <w:rPr>
          <w:rFonts w:ascii="Times New Roman" w:hAnsi="Times New Roman" w:cs="Times New Roman"/>
        </w:rPr>
        <w:t xml:space="preserve"> and several </w:t>
      </w:r>
      <w:r w:rsidR="00BD7AF1" w:rsidRPr="00223439">
        <w:rPr>
          <w:rFonts w:ascii="Times New Roman" w:hAnsi="Times New Roman" w:cs="Times New Roman"/>
        </w:rPr>
        <w:t>Operations Department</w:t>
      </w:r>
      <w:r w:rsidR="00BD7AF1">
        <w:rPr>
          <w:rFonts w:ascii="Times New Roman" w:hAnsi="Times New Roman" w:cs="Times New Roman"/>
        </w:rPr>
        <w:t xml:space="preserve">s including the </w:t>
      </w:r>
      <w:r w:rsidR="00BD7AF1" w:rsidRPr="00223439">
        <w:rPr>
          <w:rFonts w:ascii="Times New Roman" w:hAnsi="Times New Roman" w:cs="Times New Roman"/>
        </w:rPr>
        <w:t>Environmental Sustainability Unit</w:t>
      </w:r>
      <w:r w:rsidR="00BD7AF1">
        <w:rPr>
          <w:rFonts w:ascii="Times New Roman" w:hAnsi="Times New Roman" w:cs="Times New Roman"/>
        </w:rPr>
        <w:t xml:space="preserve">, the Procurement Policy Unit and the Finance and Corporate Planning Department. </w:t>
      </w:r>
    </w:p>
    <w:p w14:paraId="2AA3169D" w14:textId="77777777" w:rsidR="006C33B1" w:rsidRPr="00223439" w:rsidRDefault="006C33B1" w:rsidP="006C33B1">
      <w:pPr>
        <w:widowControl w:val="0"/>
        <w:autoSpaceDE w:val="0"/>
        <w:autoSpaceDN w:val="0"/>
        <w:adjustRightInd w:val="0"/>
        <w:spacing w:after="0" w:line="240" w:lineRule="auto"/>
        <w:jc w:val="both"/>
        <w:rPr>
          <w:rFonts w:ascii="Times New Roman" w:hAnsi="Times New Roman" w:cs="Times New Roman"/>
        </w:rPr>
      </w:pPr>
    </w:p>
    <w:p w14:paraId="6BA3D393" w14:textId="77777777" w:rsidR="00B244B1" w:rsidRDefault="00B244B1" w:rsidP="006C33B1">
      <w:pPr>
        <w:widowControl w:val="0"/>
        <w:autoSpaceDE w:val="0"/>
        <w:autoSpaceDN w:val="0"/>
        <w:adjustRightInd w:val="0"/>
        <w:spacing w:after="0" w:line="240" w:lineRule="auto"/>
        <w:ind w:firstLine="720"/>
        <w:rPr>
          <w:rFonts w:ascii="Times New Roman" w:hAnsi="Times New Roman" w:cs="Times New Roman"/>
          <w:b/>
          <w:bCs/>
          <w:iCs/>
        </w:rPr>
      </w:pPr>
    </w:p>
    <w:p w14:paraId="45F26093" w14:textId="65231DC5" w:rsidR="006C33B1" w:rsidRPr="00511FE2" w:rsidRDefault="00511FE2" w:rsidP="00511FE2">
      <w:pPr>
        <w:spacing w:after="0" w:line="240" w:lineRule="auto"/>
        <w:rPr>
          <w:rFonts w:ascii="Times New Roman" w:eastAsia="Calibri" w:hAnsi="Times New Roman" w:cs="Times New Roman"/>
          <w:b/>
          <w:color w:val="000000" w:themeColor="text1"/>
          <w:u w:val="single"/>
        </w:rPr>
      </w:pPr>
      <w:r>
        <w:rPr>
          <w:rFonts w:ascii="Times New Roman" w:eastAsia="Calibri" w:hAnsi="Times New Roman" w:cs="Times New Roman"/>
          <w:b/>
          <w:color w:val="000000" w:themeColor="text1"/>
          <w:u w:val="single"/>
        </w:rPr>
        <w:t xml:space="preserve">4. </w:t>
      </w:r>
      <w:r w:rsidRPr="00511FE2">
        <w:rPr>
          <w:rFonts w:ascii="Times New Roman" w:eastAsia="Calibri" w:hAnsi="Times New Roman" w:cs="Times New Roman"/>
          <w:b/>
          <w:color w:val="000000" w:themeColor="text1"/>
          <w:u w:val="single"/>
        </w:rPr>
        <w:t>MONITORING AND EVALUATION ARRANGEMENTS</w:t>
      </w:r>
    </w:p>
    <w:p w14:paraId="7E6FC3B6" w14:textId="77777777" w:rsidR="006C33B1" w:rsidRDefault="006C33B1" w:rsidP="006C33B1">
      <w:pPr>
        <w:widowControl w:val="0"/>
        <w:autoSpaceDE w:val="0"/>
        <w:autoSpaceDN w:val="0"/>
        <w:adjustRightInd w:val="0"/>
        <w:spacing w:after="0" w:line="240" w:lineRule="auto"/>
        <w:ind w:firstLine="720"/>
        <w:rPr>
          <w:rFonts w:ascii="Times New Roman" w:hAnsi="Times New Roman" w:cs="Times New Roman"/>
        </w:rPr>
      </w:pPr>
    </w:p>
    <w:p w14:paraId="20B414EE" w14:textId="0146B9A1" w:rsidR="006C33B1" w:rsidRDefault="00511FE2" w:rsidP="00CE6F0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2.11</w:t>
      </w:r>
      <w:r w:rsidR="006C33B1">
        <w:rPr>
          <w:rFonts w:ascii="Times New Roman" w:hAnsi="Times New Roman" w:cs="Times New Roman"/>
        </w:rPr>
        <w:tab/>
        <w:t>T</w:t>
      </w:r>
      <w:r w:rsidR="006C33B1" w:rsidRPr="00223439">
        <w:rPr>
          <w:rFonts w:ascii="Times New Roman" w:hAnsi="Times New Roman" w:cs="Times New Roman"/>
        </w:rPr>
        <w:t xml:space="preserve">he importance of managing for results has built in </w:t>
      </w:r>
      <w:r w:rsidR="006C33B1">
        <w:rPr>
          <w:rFonts w:ascii="Times New Roman" w:hAnsi="Times New Roman" w:cs="Times New Roman"/>
        </w:rPr>
        <w:t xml:space="preserve">CDRRF’s </w:t>
      </w:r>
      <w:r w:rsidR="006C33B1" w:rsidRPr="00223439">
        <w:rPr>
          <w:rFonts w:ascii="Times New Roman" w:hAnsi="Times New Roman" w:cs="Times New Roman"/>
        </w:rPr>
        <w:t>mechanisms for quality assurance</w:t>
      </w:r>
      <w:r w:rsidR="00F04D85">
        <w:rPr>
          <w:rFonts w:ascii="Times New Roman" w:hAnsi="Times New Roman" w:cs="Times New Roman"/>
        </w:rPr>
        <w:t>,</w:t>
      </w:r>
      <w:r w:rsidR="006C33B1" w:rsidRPr="00223439">
        <w:rPr>
          <w:rFonts w:ascii="Times New Roman" w:hAnsi="Times New Roman" w:cs="Times New Roman"/>
        </w:rPr>
        <w:t xml:space="preserve"> and results monitoring and evaluation from the design phase to its completion. To this end, the </w:t>
      </w:r>
      <w:r w:rsidR="006C33B1">
        <w:rPr>
          <w:rFonts w:ascii="Times New Roman" w:hAnsi="Times New Roman" w:cs="Times New Roman"/>
        </w:rPr>
        <w:t xml:space="preserve">Project </w:t>
      </w:r>
      <w:r w:rsidR="005E23D5">
        <w:rPr>
          <w:rFonts w:ascii="Times New Roman" w:hAnsi="Times New Roman" w:cs="Times New Roman"/>
        </w:rPr>
        <w:t xml:space="preserve">is </w:t>
      </w:r>
      <w:r w:rsidR="005E23D5" w:rsidRPr="00223439">
        <w:rPr>
          <w:rFonts w:ascii="Times New Roman" w:hAnsi="Times New Roman" w:cs="Times New Roman"/>
        </w:rPr>
        <w:t>guided</w:t>
      </w:r>
      <w:r w:rsidR="006C33B1" w:rsidRPr="00223439">
        <w:rPr>
          <w:rFonts w:ascii="Times New Roman" w:hAnsi="Times New Roman" w:cs="Times New Roman"/>
        </w:rPr>
        <w:t xml:space="preserve"> by a M&amp;E Strategy and Plan.</w:t>
      </w:r>
      <w:r w:rsidR="006C33B1">
        <w:rPr>
          <w:rFonts w:ascii="Times New Roman" w:hAnsi="Times New Roman" w:cs="Times New Roman"/>
        </w:rPr>
        <w:t xml:space="preserve">  </w:t>
      </w:r>
      <w:r w:rsidR="006C33B1" w:rsidRPr="00223439">
        <w:rPr>
          <w:rFonts w:ascii="Times New Roman" w:hAnsi="Times New Roman" w:cs="Times New Roman"/>
        </w:rPr>
        <w:t xml:space="preserve">The M&amp;E Strategy has two key objectives: </w:t>
      </w:r>
    </w:p>
    <w:p w14:paraId="3793B305" w14:textId="77777777" w:rsidR="006C33B1" w:rsidRPr="00223439" w:rsidRDefault="006C33B1" w:rsidP="00F04D85">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3847A860" w14:textId="77777777" w:rsidR="006C33B1" w:rsidRPr="00EF1985" w:rsidRDefault="006C33B1" w:rsidP="00AD1B2B">
      <w:pPr>
        <w:pStyle w:val="ListParagraph"/>
        <w:widowControl w:val="0"/>
        <w:numPr>
          <w:ilvl w:val="0"/>
          <w:numId w:val="7"/>
        </w:numPr>
        <w:autoSpaceDE w:val="0"/>
        <w:autoSpaceDN w:val="0"/>
        <w:adjustRightInd w:val="0"/>
        <w:spacing w:after="0" w:line="240" w:lineRule="auto"/>
        <w:ind w:right="702"/>
        <w:jc w:val="both"/>
        <w:rPr>
          <w:rFonts w:ascii="Times New Roman" w:hAnsi="Times New Roman" w:cs="Times New Roman"/>
        </w:rPr>
      </w:pPr>
      <w:r w:rsidRPr="00EF1985">
        <w:rPr>
          <w:rFonts w:ascii="Times New Roman" w:hAnsi="Times New Roman" w:cs="Times New Roman"/>
        </w:rPr>
        <w:t xml:space="preserve">To ensure that the CDRRF and its sub-projects are results-oriented in their design, management and reporting; with the necessary quality assurance mechanisms and tools established; and  </w:t>
      </w:r>
    </w:p>
    <w:p w14:paraId="30133162" w14:textId="77777777" w:rsidR="006C33B1" w:rsidRPr="00EF1985" w:rsidRDefault="006C33B1" w:rsidP="00F04D85">
      <w:pPr>
        <w:pStyle w:val="ListParagraph"/>
        <w:widowControl w:val="0"/>
        <w:autoSpaceDE w:val="0"/>
        <w:autoSpaceDN w:val="0"/>
        <w:adjustRightInd w:val="0"/>
        <w:spacing w:after="0" w:line="240" w:lineRule="auto"/>
        <w:ind w:left="1440" w:right="702"/>
        <w:jc w:val="both"/>
        <w:rPr>
          <w:rFonts w:ascii="Times New Roman" w:hAnsi="Times New Roman" w:cs="Times New Roman"/>
        </w:rPr>
      </w:pPr>
    </w:p>
    <w:p w14:paraId="6B5A5384" w14:textId="77777777" w:rsidR="006C33B1" w:rsidRDefault="006C33B1" w:rsidP="00F04D85">
      <w:pPr>
        <w:widowControl w:val="0"/>
        <w:autoSpaceDE w:val="0"/>
        <w:autoSpaceDN w:val="0"/>
        <w:adjustRightInd w:val="0"/>
        <w:spacing w:after="0" w:line="240" w:lineRule="auto"/>
        <w:ind w:left="1440" w:right="702" w:hanging="720"/>
        <w:jc w:val="both"/>
        <w:rPr>
          <w:rFonts w:ascii="Times New Roman" w:hAnsi="Times New Roman" w:cs="Times New Roman"/>
        </w:rPr>
      </w:pPr>
      <w:r w:rsidRPr="00223439">
        <w:rPr>
          <w:rFonts w:ascii="Times New Roman" w:hAnsi="Times New Roman" w:cs="Times New Roman"/>
        </w:rPr>
        <w:t xml:space="preserve">(b) </w:t>
      </w:r>
      <w:r>
        <w:rPr>
          <w:rFonts w:ascii="Times New Roman" w:hAnsi="Times New Roman" w:cs="Times New Roman"/>
        </w:rPr>
        <w:tab/>
      </w:r>
      <w:r w:rsidRPr="00223439">
        <w:rPr>
          <w:rFonts w:ascii="Times New Roman" w:hAnsi="Times New Roman" w:cs="Times New Roman"/>
        </w:rPr>
        <w:t xml:space="preserve">To enhance M&amp;E capacity specific to project design and reporting within the beneficiary communities. </w:t>
      </w:r>
    </w:p>
    <w:p w14:paraId="0342E3C5" w14:textId="77777777" w:rsidR="006C33B1" w:rsidRPr="00223439" w:rsidRDefault="006C33B1" w:rsidP="00CE6F0F">
      <w:pPr>
        <w:widowControl w:val="0"/>
        <w:autoSpaceDE w:val="0"/>
        <w:autoSpaceDN w:val="0"/>
        <w:adjustRightInd w:val="0"/>
        <w:spacing w:after="0" w:line="240" w:lineRule="auto"/>
        <w:ind w:left="1440" w:right="702" w:hanging="720"/>
        <w:jc w:val="both"/>
        <w:rPr>
          <w:rFonts w:ascii="Times New Roman" w:hAnsi="Times New Roman" w:cs="Times New Roman"/>
        </w:rPr>
      </w:pPr>
    </w:p>
    <w:p w14:paraId="3828B6F0" w14:textId="126A8EE2" w:rsidR="006C33B1" w:rsidRDefault="00511FE2" w:rsidP="00CE6F0F">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2.12 </w:t>
      </w:r>
      <w:r w:rsidR="006C33B1">
        <w:rPr>
          <w:rFonts w:ascii="Times New Roman" w:hAnsi="Times New Roman" w:cs="Times New Roman"/>
        </w:rPr>
        <w:tab/>
      </w:r>
      <w:r w:rsidR="006C33B1" w:rsidRPr="00223439">
        <w:rPr>
          <w:rFonts w:ascii="Times New Roman" w:hAnsi="Times New Roman" w:cs="Times New Roman"/>
        </w:rPr>
        <w:t xml:space="preserve">These objectives </w:t>
      </w:r>
      <w:r w:rsidR="006C33B1">
        <w:rPr>
          <w:rFonts w:ascii="Times New Roman" w:hAnsi="Times New Roman" w:cs="Times New Roman"/>
        </w:rPr>
        <w:t xml:space="preserve">are expected </w:t>
      </w:r>
      <w:r w:rsidR="00BD7AF1">
        <w:rPr>
          <w:rFonts w:ascii="Times New Roman" w:hAnsi="Times New Roman" w:cs="Times New Roman"/>
        </w:rPr>
        <w:t xml:space="preserve">to </w:t>
      </w:r>
      <w:r w:rsidR="00BD7AF1" w:rsidRPr="00223439">
        <w:rPr>
          <w:rFonts w:ascii="Times New Roman" w:hAnsi="Times New Roman" w:cs="Times New Roman"/>
        </w:rPr>
        <w:t>derive</w:t>
      </w:r>
      <w:r w:rsidR="006C33B1" w:rsidRPr="00223439">
        <w:rPr>
          <w:rFonts w:ascii="Times New Roman" w:hAnsi="Times New Roman" w:cs="Times New Roman"/>
        </w:rPr>
        <w:t xml:space="preserve"> activities that will be executed at the Project and Sub-project levels. The M&amp;E Strategy and Plan </w:t>
      </w:r>
      <w:r w:rsidR="00BD7AF1">
        <w:rPr>
          <w:rFonts w:ascii="Times New Roman" w:hAnsi="Times New Roman" w:cs="Times New Roman"/>
        </w:rPr>
        <w:t xml:space="preserve">are </w:t>
      </w:r>
      <w:r w:rsidR="00BD7AF1" w:rsidRPr="00223439">
        <w:rPr>
          <w:rFonts w:ascii="Times New Roman" w:hAnsi="Times New Roman" w:cs="Times New Roman"/>
        </w:rPr>
        <w:t>intended</w:t>
      </w:r>
      <w:r w:rsidR="006C33B1" w:rsidRPr="00223439">
        <w:rPr>
          <w:rFonts w:ascii="Times New Roman" w:hAnsi="Times New Roman" w:cs="Times New Roman"/>
        </w:rPr>
        <w:t xml:space="preserve"> to guide how the Fund will be reviewed and assessed against its objectives, desired results, inputs, outputs</w:t>
      </w:r>
      <w:r w:rsidR="00B36CCD">
        <w:rPr>
          <w:rFonts w:ascii="Times New Roman" w:hAnsi="Times New Roman" w:cs="Times New Roman"/>
        </w:rPr>
        <w:t>,</w:t>
      </w:r>
      <w:r w:rsidR="006C33B1" w:rsidRPr="00223439">
        <w:rPr>
          <w:rFonts w:ascii="Times New Roman" w:hAnsi="Times New Roman" w:cs="Times New Roman"/>
        </w:rPr>
        <w:t xml:space="preserve"> and operating assumptions. </w:t>
      </w:r>
      <w:r w:rsidR="00B36CCD">
        <w:rPr>
          <w:rFonts w:ascii="Times New Roman" w:hAnsi="Times New Roman" w:cs="Times New Roman"/>
        </w:rPr>
        <w:t xml:space="preserve"> </w:t>
      </w:r>
      <w:r w:rsidR="006C33B1" w:rsidRPr="00223439">
        <w:rPr>
          <w:rFonts w:ascii="Times New Roman" w:hAnsi="Times New Roman" w:cs="Times New Roman"/>
        </w:rPr>
        <w:t xml:space="preserve">The focus of </w:t>
      </w:r>
      <w:r w:rsidR="00BD7AF1" w:rsidRPr="00223439">
        <w:rPr>
          <w:rFonts w:ascii="Times New Roman" w:hAnsi="Times New Roman" w:cs="Times New Roman"/>
        </w:rPr>
        <w:t>th</w:t>
      </w:r>
      <w:r w:rsidR="00BD7AF1">
        <w:rPr>
          <w:rFonts w:ascii="Times New Roman" w:hAnsi="Times New Roman" w:cs="Times New Roman"/>
        </w:rPr>
        <w:t xml:space="preserve">e </w:t>
      </w:r>
      <w:r w:rsidR="00BD7AF1" w:rsidRPr="00223439">
        <w:rPr>
          <w:rFonts w:ascii="Times New Roman" w:hAnsi="Times New Roman" w:cs="Times New Roman"/>
        </w:rPr>
        <w:t>strategy</w:t>
      </w:r>
      <w:r w:rsidR="006C33B1" w:rsidRPr="00223439">
        <w:rPr>
          <w:rFonts w:ascii="Times New Roman" w:hAnsi="Times New Roman" w:cs="Times New Roman"/>
        </w:rPr>
        <w:t xml:space="preserve"> and related approaches will be to define realistic expected results, monitoring progress toward their achievement, reporting on performance and integrating lessons for knowledge management and decision-making.</w:t>
      </w:r>
    </w:p>
    <w:p w14:paraId="0CFEDBC7" w14:textId="77777777" w:rsidR="00BD7AF1" w:rsidRDefault="00BD7AF1" w:rsidP="00CE6F0F">
      <w:pPr>
        <w:widowControl w:val="0"/>
        <w:tabs>
          <w:tab w:val="left" w:pos="220"/>
          <w:tab w:val="left" w:pos="720"/>
        </w:tabs>
        <w:autoSpaceDE w:val="0"/>
        <w:autoSpaceDN w:val="0"/>
        <w:adjustRightInd w:val="0"/>
        <w:spacing w:after="0" w:line="240" w:lineRule="auto"/>
        <w:jc w:val="both"/>
        <w:rPr>
          <w:rFonts w:ascii="Times New Roman" w:hAnsi="Times New Roman" w:cs="Times New Roman"/>
        </w:rPr>
      </w:pPr>
    </w:p>
    <w:p w14:paraId="38CB77C2" w14:textId="15DB7305" w:rsidR="00794F6E" w:rsidRPr="0078271F" w:rsidRDefault="00511FE2" w:rsidP="00CE6F0F">
      <w:pPr>
        <w:widowControl w:val="0"/>
        <w:tabs>
          <w:tab w:val="left" w:pos="220"/>
          <w:tab w:val="left" w:pos="720"/>
        </w:tabs>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2.13</w:t>
      </w:r>
      <w:r w:rsidR="006C33B1">
        <w:rPr>
          <w:rFonts w:ascii="Times New Roman" w:hAnsi="Times New Roman" w:cs="Times New Roman"/>
        </w:rPr>
        <w:tab/>
      </w:r>
      <w:r w:rsidR="006C33B1" w:rsidRPr="00223439">
        <w:rPr>
          <w:rFonts w:ascii="Times New Roman" w:hAnsi="Times New Roman" w:cs="Times New Roman"/>
        </w:rPr>
        <w:t xml:space="preserve">The primary component of the M&amp;E Strategy and Plan is the PMF. </w:t>
      </w:r>
      <w:r w:rsidR="00B36CCD">
        <w:rPr>
          <w:rFonts w:ascii="Times New Roman" w:hAnsi="Times New Roman" w:cs="Times New Roman"/>
        </w:rPr>
        <w:t xml:space="preserve"> </w:t>
      </w:r>
      <w:r w:rsidR="006C33B1" w:rsidRPr="00223439">
        <w:rPr>
          <w:rFonts w:ascii="Times New Roman" w:hAnsi="Times New Roman" w:cs="Times New Roman"/>
        </w:rPr>
        <w:t xml:space="preserve">This framework </w:t>
      </w:r>
      <w:r w:rsidR="006C33B1">
        <w:rPr>
          <w:rFonts w:ascii="Times New Roman" w:hAnsi="Times New Roman" w:cs="Times New Roman"/>
        </w:rPr>
        <w:t xml:space="preserve">is </w:t>
      </w:r>
      <w:r w:rsidR="006C33B1" w:rsidRPr="00223439">
        <w:rPr>
          <w:rFonts w:ascii="Times New Roman" w:hAnsi="Times New Roman" w:cs="Times New Roman"/>
        </w:rPr>
        <w:t>the guiding tool for the project and the sub-projects</w:t>
      </w:r>
      <w:r w:rsidR="006C33B1">
        <w:rPr>
          <w:rFonts w:ascii="Times New Roman" w:hAnsi="Times New Roman" w:cs="Times New Roman"/>
        </w:rPr>
        <w:t xml:space="preserve"> as </w:t>
      </w:r>
      <w:r w:rsidR="00B36CCD">
        <w:rPr>
          <w:rFonts w:ascii="Times New Roman" w:hAnsi="Times New Roman" w:cs="Times New Roman"/>
        </w:rPr>
        <w:t xml:space="preserve">it </w:t>
      </w:r>
      <w:r w:rsidR="00B36CCD" w:rsidRPr="00223439">
        <w:rPr>
          <w:rFonts w:ascii="Times New Roman" w:hAnsi="Times New Roman" w:cs="Times New Roman"/>
        </w:rPr>
        <w:t>demonstrates</w:t>
      </w:r>
      <w:r w:rsidR="006C33B1" w:rsidRPr="00223439">
        <w:rPr>
          <w:rFonts w:ascii="Times New Roman" w:hAnsi="Times New Roman" w:cs="Times New Roman"/>
        </w:rPr>
        <w:t xml:space="preserve"> the Fund’s logic and intended results</w:t>
      </w:r>
      <w:r w:rsidR="006C33B1">
        <w:rPr>
          <w:rFonts w:ascii="Times New Roman" w:hAnsi="Times New Roman" w:cs="Times New Roman"/>
        </w:rPr>
        <w:t>,</w:t>
      </w:r>
      <w:r w:rsidR="006C33B1" w:rsidRPr="00223439">
        <w:rPr>
          <w:rFonts w:ascii="Times New Roman" w:hAnsi="Times New Roman" w:cs="Times New Roman"/>
        </w:rPr>
        <w:t xml:space="preserve"> while considering the assumptions and risks associated with the operating contexts of the each of the beneficiary communities. </w:t>
      </w:r>
      <w:r w:rsidR="00B36CCD">
        <w:rPr>
          <w:rFonts w:ascii="Times New Roman" w:hAnsi="Times New Roman" w:cs="Times New Roman"/>
        </w:rPr>
        <w:t xml:space="preserve"> </w:t>
      </w:r>
      <w:r w:rsidR="006C33B1" w:rsidRPr="00223439">
        <w:rPr>
          <w:rFonts w:ascii="Times New Roman" w:hAnsi="Times New Roman" w:cs="Times New Roman"/>
        </w:rPr>
        <w:t>Each sub-project</w:t>
      </w:r>
      <w:r w:rsidR="006C33B1">
        <w:rPr>
          <w:rFonts w:ascii="Times New Roman" w:hAnsi="Times New Roman" w:cs="Times New Roman"/>
        </w:rPr>
        <w:t xml:space="preserve"> </w:t>
      </w:r>
      <w:r w:rsidR="006C33B1" w:rsidRPr="00223439">
        <w:rPr>
          <w:rFonts w:ascii="Times New Roman" w:hAnsi="Times New Roman" w:cs="Times New Roman"/>
        </w:rPr>
        <w:t>will have a PMF designed to consider its specific activities and objectives</w:t>
      </w:r>
      <w:r w:rsidR="006C33B1">
        <w:rPr>
          <w:rFonts w:ascii="Times New Roman" w:hAnsi="Times New Roman" w:cs="Times New Roman"/>
        </w:rPr>
        <w:t xml:space="preserve"> and t</w:t>
      </w:r>
      <w:r w:rsidR="006C33B1" w:rsidRPr="00223439">
        <w:rPr>
          <w:rFonts w:ascii="Times New Roman" w:hAnsi="Times New Roman" w:cs="Times New Roman"/>
        </w:rPr>
        <w:t xml:space="preserve">he associated results will feed into the </w:t>
      </w:r>
      <w:r w:rsidR="006C33B1">
        <w:rPr>
          <w:rFonts w:ascii="Times New Roman" w:hAnsi="Times New Roman" w:cs="Times New Roman"/>
        </w:rPr>
        <w:t xml:space="preserve">CDRRF’s </w:t>
      </w:r>
      <w:r w:rsidR="006C33B1" w:rsidRPr="00223439">
        <w:rPr>
          <w:rFonts w:ascii="Times New Roman" w:hAnsi="Times New Roman" w:cs="Times New Roman"/>
        </w:rPr>
        <w:t>PMF.</w:t>
      </w:r>
      <w:r w:rsidR="001143E3" w:rsidDel="001143E3">
        <w:rPr>
          <w:rFonts w:ascii="Times New Roman" w:hAnsi="Times New Roman" w:cs="Times New Roman"/>
        </w:rPr>
        <w:t xml:space="preserve"> </w:t>
      </w:r>
      <w:r w:rsidR="0078271F">
        <w:rPr>
          <w:rFonts w:ascii="Times New Roman" w:hAnsi="Times New Roman" w:cs="Times New Roman"/>
        </w:rPr>
        <w:t xml:space="preserve">  </w:t>
      </w:r>
      <w:r w:rsidR="0078271F" w:rsidRPr="0078271F">
        <w:rPr>
          <w:rFonts w:ascii="Times New Roman" w:hAnsi="Times New Roman" w:cs="Times New Roman"/>
          <w:b/>
          <w:bCs/>
        </w:rPr>
        <w:t>An updated PMF showing results at August 2020 is included below:</w:t>
      </w:r>
    </w:p>
    <w:p w14:paraId="28420975" w14:textId="55CE398B" w:rsidR="00DA3D2E" w:rsidRDefault="00DA3D2E" w:rsidP="00CE6F0F">
      <w:pPr>
        <w:widowControl w:val="0"/>
        <w:tabs>
          <w:tab w:val="left" w:pos="220"/>
          <w:tab w:val="left" w:pos="720"/>
        </w:tabs>
        <w:autoSpaceDE w:val="0"/>
        <w:autoSpaceDN w:val="0"/>
        <w:adjustRightInd w:val="0"/>
        <w:spacing w:after="0" w:line="240" w:lineRule="auto"/>
        <w:jc w:val="both"/>
        <w:rPr>
          <w:rFonts w:ascii="Times New Roman" w:hAnsi="Times New Roman" w:cs="Times New Roman"/>
        </w:rPr>
        <w:sectPr w:rsidR="00DA3D2E" w:rsidSect="00794F6E">
          <w:headerReference w:type="default" r:id="rId8"/>
          <w:pgSz w:w="12240" w:h="15840" w:code="1"/>
          <w:pgMar w:top="1440" w:right="1440" w:bottom="1440" w:left="1440" w:header="708" w:footer="708" w:gutter="0"/>
          <w:cols w:space="708"/>
          <w:docGrid w:linePitch="360"/>
        </w:sectPr>
      </w:pPr>
    </w:p>
    <w:p w14:paraId="077ED710" w14:textId="114F6DB8" w:rsidR="007D3138" w:rsidRDefault="00794F6E" w:rsidP="009D71C6">
      <w:pPr>
        <w:widowControl w:val="0"/>
        <w:tabs>
          <w:tab w:val="left" w:pos="220"/>
          <w:tab w:val="left" w:pos="720"/>
        </w:tabs>
        <w:autoSpaceDE w:val="0"/>
        <w:autoSpaceDN w:val="0"/>
        <w:adjustRightInd w:val="0"/>
        <w:spacing w:after="0" w:line="240" w:lineRule="auto"/>
        <w:jc w:val="both"/>
        <w:rPr>
          <w:rFonts w:ascii="Times New Roman" w:hAnsi="Times New Roman" w:cs="Times New Roman"/>
          <w:sz w:val="20"/>
          <w:szCs w:val="20"/>
        </w:rPr>
      </w:pPr>
      <w:r>
        <w:rPr>
          <w:noProof/>
        </w:rPr>
        <w:lastRenderedPageBreak/>
        <mc:AlternateContent>
          <mc:Choice Requires="wps">
            <w:drawing>
              <wp:anchor distT="45720" distB="45720" distL="114300" distR="114300" simplePos="0" relativeHeight="251659264" behindDoc="1" locked="0" layoutInCell="1" allowOverlap="1" wp14:anchorId="185E6484" wp14:editId="6055721D">
                <wp:simplePos x="0" y="0"/>
                <wp:positionH relativeFrom="margin">
                  <wp:align>left</wp:align>
                </wp:positionH>
                <wp:positionV relativeFrom="page">
                  <wp:posOffset>1116419</wp:posOffset>
                </wp:positionV>
                <wp:extent cx="11610975" cy="461645"/>
                <wp:effectExtent l="0" t="0" r="28575" b="14605"/>
                <wp:wrapTight wrapText="bothSides">
                  <wp:wrapPolygon edited="0">
                    <wp:start x="0" y="0"/>
                    <wp:lineTo x="0" y="21392"/>
                    <wp:lineTo x="21618" y="21392"/>
                    <wp:lineTo x="216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0975" cy="461963"/>
                        </a:xfrm>
                        <a:prstGeom prst="rect">
                          <a:avLst/>
                        </a:prstGeom>
                        <a:solidFill>
                          <a:schemeClr val="accent1">
                            <a:lumMod val="60000"/>
                            <a:lumOff val="40000"/>
                          </a:schemeClr>
                        </a:solidFill>
                        <a:ln w="9525">
                          <a:solidFill>
                            <a:schemeClr val="accent1"/>
                          </a:solidFill>
                          <a:miter lim="800000"/>
                          <a:headEnd/>
                          <a:tailEnd/>
                        </a:ln>
                      </wps:spPr>
                      <wps:txbx>
                        <w:txbxContent>
                          <w:p w14:paraId="5BBAFE8E" w14:textId="4C40B095" w:rsidR="00D00BB4" w:rsidRPr="00C90409" w:rsidRDefault="00D00BB4" w:rsidP="00794F6E">
                            <w:pPr>
                              <w:shd w:val="clear" w:color="auto" w:fill="95B3D7" w:themeFill="accent1" w:themeFillTint="99"/>
                              <w:rPr>
                                <w:rFonts w:ascii="Times New Roman" w:hAnsi="Times New Roman" w:cs="Times New Roman"/>
                                <w:i/>
                                <w:sz w:val="20"/>
                                <w:szCs w:val="20"/>
                              </w:rPr>
                            </w:pPr>
                            <w:r w:rsidRPr="007D3138">
                              <w:rPr>
                                <w:rFonts w:ascii="Times New Roman" w:hAnsi="Times New Roman" w:cs="Times New Roman"/>
                                <w:b/>
                                <w:sz w:val="20"/>
                                <w:szCs w:val="20"/>
                              </w:rPr>
                              <w:t>COMMUNITY DISASTER RISK REDUCTION FUND (CDRRF</w:t>
                            </w:r>
                            <w:r w:rsidRPr="00C90409">
                              <w:rPr>
                                <w:rFonts w:ascii="Times New Roman" w:hAnsi="Times New Roman" w:cs="Times New Roman"/>
                                <w:sz w:val="20"/>
                                <w:szCs w:val="20"/>
                              </w:rPr>
                              <w:t xml:space="preserve">) - </w:t>
                            </w:r>
                            <w:r w:rsidRPr="00C90409">
                              <w:rPr>
                                <w:rFonts w:ascii="Times New Roman" w:hAnsi="Times New Roman" w:cs="Times New Roman"/>
                                <w:b/>
                                <w:sz w:val="20"/>
                                <w:szCs w:val="20"/>
                              </w:rPr>
                              <w:t xml:space="preserve">PERFORMANCE MEASUREMENT FRAMEWORK (PMF)         </w:t>
                            </w:r>
                            <w:r w:rsidRPr="00C90409">
                              <w:rPr>
                                <w:rFonts w:ascii="Times New Roman" w:hAnsi="Times New Roman" w:cs="Times New Roman"/>
                                <w:b/>
                                <w:sz w:val="20"/>
                                <w:szCs w:val="20"/>
                              </w:rPr>
                              <w:tab/>
                            </w:r>
                            <w:r w:rsidRPr="00C90409">
                              <w:rPr>
                                <w:rFonts w:ascii="Times New Roman" w:hAnsi="Times New Roman" w:cs="Times New Roman"/>
                                <w:b/>
                                <w:sz w:val="20"/>
                                <w:szCs w:val="20"/>
                              </w:rPr>
                              <w:tab/>
                            </w:r>
                            <w:r w:rsidRPr="00C90409">
                              <w:rPr>
                                <w:rFonts w:ascii="Times New Roman" w:hAnsi="Times New Roman" w:cs="Times New Roman"/>
                                <w:b/>
                                <w:sz w:val="20"/>
                                <w:szCs w:val="20"/>
                              </w:rPr>
                              <w:tab/>
                            </w:r>
                            <w:r w:rsidRPr="00C90409">
                              <w:rPr>
                                <w:rFonts w:ascii="Times New Roman" w:hAnsi="Times New Roman" w:cs="Times New Roman"/>
                                <w:b/>
                                <w:sz w:val="20"/>
                                <w:szCs w:val="20"/>
                              </w:rPr>
                              <w:tab/>
                            </w:r>
                            <w:r w:rsidRPr="00C90409">
                              <w:rPr>
                                <w:rFonts w:ascii="Times New Roman" w:hAnsi="Times New Roman" w:cs="Times New Roman"/>
                                <w:b/>
                                <w:sz w:val="20"/>
                                <w:szCs w:val="20"/>
                              </w:rPr>
                              <w:tab/>
                              <w:t xml:space="preserve">Revised: </w:t>
                            </w:r>
                            <w:r>
                              <w:rPr>
                                <w:rFonts w:ascii="Times New Roman" w:hAnsi="Times New Roman" w:cs="Times New Roman"/>
                                <w:i/>
                                <w:sz w:val="20"/>
                                <w:szCs w:val="20"/>
                              </w:rPr>
                              <w:t>August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85E6484" id="_x0000_t202" coordsize="21600,21600" o:spt="202" path="m,l,21600r21600,l21600,xe">
                <v:stroke joinstyle="miter"/>
                <v:path gradientshapeok="t" o:connecttype="rect"/>
              </v:shapetype>
              <v:shape id="Text Box 2" o:spid="_x0000_s1026" type="#_x0000_t202" style="position:absolute;left:0;text-align:left;margin-left:0;margin-top:87.9pt;width:914.25pt;height:36.3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" fillcolor="#95b3d7 [1940]" strokecolor="#4f81bd [3204]">
                <v:textbox>
                  <w:txbxContent>
                    <w:p w14:paraId="5BBAFE8E" w14:textId="4C40B095" w:rsidR="00D00BB4" w:rsidRPr="00C90409" w:rsidRDefault="00D00BB4" w:rsidP="00794F6E">
                      <w:pPr>
                        <w:shd w:val="clear" w:color="auto" w:fill="95B3D7" w:themeFill="accent1" w:themeFillTint="99"/>
                        <w:rPr>
                          <w:rFonts w:ascii="Times New Roman" w:hAnsi="Times New Roman" w:cs="Times New Roman"/>
                          <w:i/>
                          <w:sz w:val="20"/>
                          <w:szCs w:val="20"/>
                        </w:rPr>
                      </w:pPr>
                      <w:r w:rsidRPr="007D3138">
                        <w:rPr>
                          <w:rFonts w:ascii="Times New Roman" w:hAnsi="Times New Roman" w:cs="Times New Roman"/>
                          <w:b/>
                          <w:sz w:val="20"/>
                          <w:szCs w:val="20"/>
                        </w:rPr>
                        <w:t>COMMUNITY DISASTER RISK REDUCTION FUND (CDRRF</w:t>
                      </w:r>
                      <w:r w:rsidRPr="00C90409">
                        <w:rPr>
                          <w:rFonts w:ascii="Times New Roman" w:hAnsi="Times New Roman" w:cs="Times New Roman"/>
                          <w:sz w:val="20"/>
                          <w:szCs w:val="20"/>
                        </w:rPr>
                        <w:t xml:space="preserve">) - </w:t>
                      </w:r>
                      <w:r w:rsidRPr="00C90409">
                        <w:rPr>
                          <w:rFonts w:ascii="Times New Roman" w:hAnsi="Times New Roman" w:cs="Times New Roman"/>
                          <w:b/>
                          <w:sz w:val="20"/>
                          <w:szCs w:val="20"/>
                        </w:rPr>
                        <w:t>PERFORMANCE MEASUREMENT FRAMEWORK (</w:t>
                      </w:r>
                      <w:proofErr w:type="gramStart"/>
                      <w:r w:rsidRPr="00C90409">
                        <w:rPr>
                          <w:rFonts w:ascii="Times New Roman" w:hAnsi="Times New Roman" w:cs="Times New Roman"/>
                          <w:b/>
                          <w:sz w:val="20"/>
                          <w:szCs w:val="20"/>
                        </w:rPr>
                        <w:t xml:space="preserve">PMF)   </w:t>
                      </w:r>
                      <w:proofErr w:type="gramEnd"/>
                      <w:r w:rsidRPr="00C90409">
                        <w:rPr>
                          <w:rFonts w:ascii="Times New Roman" w:hAnsi="Times New Roman" w:cs="Times New Roman"/>
                          <w:b/>
                          <w:sz w:val="20"/>
                          <w:szCs w:val="20"/>
                        </w:rPr>
                        <w:t xml:space="preserve">      </w:t>
                      </w:r>
                      <w:r w:rsidRPr="00C90409">
                        <w:rPr>
                          <w:rFonts w:ascii="Times New Roman" w:hAnsi="Times New Roman" w:cs="Times New Roman"/>
                          <w:b/>
                          <w:sz w:val="20"/>
                          <w:szCs w:val="20"/>
                        </w:rPr>
                        <w:tab/>
                      </w:r>
                      <w:r w:rsidRPr="00C90409">
                        <w:rPr>
                          <w:rFonts w:ascii="Times New Roman" w:hAnsi="Times New Roman" w:cs="Times New Roman"/>
                          <w:b/>
                          <w:sz w:val="20"/>
                          <w:szCs w:val="20"/>
                        </w:rPr>
                        <w:tab/>
                      </w:r>
                      <w:r w:rsidRPr="00C90409">
                        <w:rPr>
                          <w:rFonts w:ascii="Times New Roman" w:hAnsi="Times New Roman" w:cs="Times New Roman"/>
                          <w:b/>
                          <w:sz w:val="20"/>
                          <w:szCs w:val="20"/>
                        </w:rPr>
                        <w:tab/>
                      </w:r>
                      <w:r w:rsidRPr="00C90409">
                        <w:rPr>
                          <w:rFonts w:ascii="Times New Roman" w:hAnsi="Times New Roman" w:cs="Times New Roman"/>
                          <w:b/>
                          <w:sz w:val="20"/>
                          <w:szCs w:val="20"/>
                        </w:rPr>
                        <w:tab/>
                      </w:r>
                      <w:r w:rsidRPr="00C90409">
                        <w:rPr>
                          <w:rFonts w:ascii="Times New Roman" w:hAnsi="Times New Roman" w:cs="Times New Roman"/>
                          <w:b/>
                          <w:sz w:val="20"/>
                          <w:szCs w:val="20"/>
                        </w:rPr>
                        <w:tab/>
                        <w:t xml:space="preserve">Revised: </w:t>
                      </w:r>
                      <w:r>
                        <w:rPr>
                          <w:rFonts w:ascii="Times New Roman" w:hAnsi="Times New Roman" w:cs="Times New Roman"/>
                          <w:i/>
                          <w:sz w:val="20"/>
                          <w:szCs w:val="20"/>
                        </w:rPr>
                        <w:t>August 2020</w:t>
                      </w:r>
                    </w:p>
                  </w:txbxContent>
                </v:textbox>
                <w10:wrap type="tight" anchorx="margin" anchory="page"/>
              </v:shape>
            </w:pict>
          </mc:Fallback>
        </mc:AlternateContent>
      </w:r>
    </w:p>
    <w:tbl>
      <w:tblPr>
        <w:tblStyle w:val="TableGrid"/>
        <w:tblW w:w="5000" w:type="pct"/>
        <w:tblLook w:val="04A0" w:firstRow="1" w:lastRow="0" w:firstColumn="1" w:lastColumn="0" w:noHBand="0" w:noVBand="1"/>
      </w:tblPr>
      <w:tblGrid>
        <w:gridCol w:w="1161"/>
        <w:gridCol w:w="3963"/>
        <w:gridCol w:w="2975"/>
        <w:gridCol w:w="1511"/>
        <w:gridCol w:w="1428"/>
        <w:gridCol w:w="1370"/>
        <w:gridCol w:w="4862"/>
      </w:tblGrid>
      <w:tr w:rsidR="00C002AA" w:rsidRPr="009D71C6" w14:paraId="3F59D7CE" w14:textId="77777777" w:rsidTr="00D7264A">
        <w:trPr>
          <w:cantSplit/>
          <w:trHeight w:val="1134"/>
          <w:tblHeader/>
        </w:trPr>
        <w:tc>
          <w:tcPr>
            <w:tcW w:w="340" w:type="pct"/>
            <w:shd w:val="clear" w:color="auto" w:fill="CCC0D9" w:themeFill="accent4" w:themeFillTint="66"/>
            <w:textDirection w:val="btLr"/>
            <w:vAlign w:val="center"/>
          </w:tcPr>
          <w:p w14:paraId="6A82B427" w14:textId="77777777" w:rsidR="00C002AA" w:rsidRPr="009D71C6" w:rsidRDefault="00C002AA" w:rsidP="00D7264A">
            <w:pPr>
              <w:pStyle w:val="NoSpacing"/>
              <w:rPr>
                <w:rFonts w:ascii="Times New Roman" w:hAnsi="Times New Roman" w:cs="Times New Roman"/>
              </w:rPr>
            </w:pPr>
          </w:p>
        </w:tc>
        <w:tc>
          <w:tcPr>
            <w:tcW w:w="1151" w:type="pct"/>
            <w:shd w:val="clear" w:color="auto" w:fill="CCC0D9" w:themeFill="accent4" w:themeFillTint="66"/>
          </w:tcPr>
          <w:p w14:paraId="3346345B"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Expected Results</w:t>
            </w:r>
          </w:p>
        </w:tc>
        <w:tc>
          <w:tcPr>
            <w:tcW w:w="865" w:type="pct"/>
            <w:shd w:val="clear" w:color="auto" w:fill="CCC0D9" w:themeFill="accent4" w:themeFillTint="66"/>
          </w:tcPr>
          <w:p w14:paraId="27534806"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Performance</w:t>
            </w:r>
          </w:p>
          <w:p w14:paraId="40FED42A"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Indicators</w:t>
            </w:r>
          </w:p>
        </w:tc>
        <w:tc>
          <w:tcPr>
            <w:tcW w:w="416" w:type="pct"/>
            <w:shd w:val="clear" w:color="auto" w:fill="CCC0D9" w:themeFill="accent4" w:themeFillTint="66"/>
          </w:tcPr>
          <w:p w14:paraId="0B1E1BC3"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 xml:space="preserve">Baseline </w:t>
            </w:r>
          </w:p>
          <w:p w14:paraId="1D1BCCC7"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Data (BL)</w:t>
            </w:r>
          </w:p>
        </w:tc>
        <w:tc>
          <w:tcPr>
            <w:tcW w:w="417" w:type="pct"/>
            <w:shd w:val="clear" w:color="auto" w:fill="CCC0D9" w:themeFill="accent4" w:themeFillTint="66"/>
          </w:tcPr>
          <w:p w14:paraId="4E8BA5F7"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Targets</w:t>
            </w:r>
          </w:p>
        </w:tc>
        <w:tc>
          <w:tcPr>
            <w:tcW w:w="400" w:type="pct"/>
            <w:shd w:val="clear" w:color="auto" w:fill="CCC0D9" w:themeFill="accent4" w:themeFillTint="66"/>
          </w:tcPr>
          <w:p w14:paraId="5E6ACCFF" w14:textId="77777777" w:rsidR="00C002AA" w:rsidRPr="009D71C6" w:rsidRDefault="00C002AA" w:rsidP="00D7264A">
            <w:pPr>
              <w:rPr>
                <w:rFonts w:ascii="Times New Roman" w:hAnsi="Times New Roman" w:cs="Times New Roman"/>
                <w:b/>
              </w:rPr>
            </w:pPr>
            <w:r w:rsidRPr="009D71C6">
              <w:rPr>
                <w:rFonts w:ascii="Times New Roman" w:hAnsi="Times New Roman" w:cs="Times New Roman"/>
                <w:b/>
              </w:rPr>
              <w:t>Data Source</w:t>
            </w:r>
          </w:p>
        </w:tc>
        <w:tc>
          <w:tcPr>
            <w:tcW w:w="1411" w:type="pct"/>
            <w:shd w:val="clear" w:color="auto" w:fill="FBD4B4" w:themeFill="accent6" w:themeFillTint="66"/>
          </w:tcPr>
          <w:p w14:paraId="42472B6D" w14:textId="23554FB1" w:rsidR="00C002AA" w:rsidRPr="009D71C6" w:rsidRDefault="00C002AA" w:rsidP="00D7264A">
            <w:pPr>
              <w:rPr>
                <w:rFonts w:ascii="Times New Roman" w:hAnsi="Times New Roman" w:cs="Times New Roman"/>
                <w:b/>
              </w:rPr>
            </w:pPr>
            <w:r w:rsidRPr="009D71C6">
              <w:rPr>
                <w:rFonts w:ascii="Times New Roman" w:hAnsi="Times New Roman" w:cs="Times New Roman"/>
                <w:b/>
              </w:rPr>
              <w:t>Results at August 31</w:t>
            </w:r>
            <w:r w:rsidRPr="009D71C6">
              <w:rPr>
                <w:rFonts w:ascii="Times New Roman" w:hAnsi="Times New Roman" w:cs="Times New Roman"/>
                <w:b/>
                <w:vertAlign w:val="superscript"/>
              </w:rPr>
              <w:t>st</w:t>
            </w:r>
            <w:r w:rsidRPr="009D71C6">
              <w:rPr>
                <w:rFonts w:ascii="Times New Roman" w:hAnsi="Times New Roman" w:cs="Times New Roman"/>
                <w:b/>
              </w:rPr>
              <w:t xml:space="preserve"> 2020</w:t>
            </w:r>
          </w:p>
        </w:tc>
      </w:tr>
      <w:tr w:rsidR="00C002AA" w:rsidRPr="009D71C6" w14:paraId="595652A4" w14:textId="77777777" w:rsidTr="00D7264A">
        <w:trPr>
          <w:cantSplit/>
          <w:trHeight w:val="2359"/>
        </w:trPr>
        <w:tc>
          <w:tcPr>
            <w:tcW w:w="340" w:type="pct"/>
            <w:tcBorders>
              <w:bottom w:val="single" w:sz="12" w:space="0" w:color="auto"/>
            </w:tcBorders>
            <w:shd w:val="clear" w:color="auto" w:fill="E5B8B7" w:themeFill="accent2" w:themeFillTint="66"/>
            <w:textDirection w:val="btLr"/>
            <w:vAlign w:val="center"/>
          </w:tcPr>
          <w:p w14:paraId="74B8C031" w14:textId="77777777" w:rsidR="00C002AA" w:rsidRPr="009D71C6" w:rsidRDefault="00C002AA" w:rsidP="00D7264A">
            <w:pPr>
              <w:pStyle w:val="NoSpacing"/>
              <w:jc w:val="center"/>
              <w:rPr>
                <w:rFonts w:ascii="Times New Roman" w:hAnsi="Times New Roman" w:cs="Times New Roman"/>
              </w:rPr>
            </w:pPr>
            <w:r w:rsidRPr="009D71C6">
              <w:rPr>
                <w:rFonts w:ascii="Times New Roman" w:hAnsi="Times New Roman" w:cs="Times New Roman"/>
              </w:rPr>
              <w:t>Ultimate Outcome</w:t>
            </w:r>
          </w:p>
        </w:tc>
        <w:tc>
          <w:tcPr>
            <w:tcW w:w="1151" w:type="pct"/>
            <w:tcBorders>
              <w:bottom w:val="single" w:sz="12" w:space="0" w:color="auto"/>
            </w:tcBorders>
          </w:tcPr>
          <w:p w14:paraId="6EB20724" w14:textId="77777777" w:rsidR="00C002AA" w:rsidRPr="009D71C6" w:rsidRDefault="00C002AA" w:rsidP="009D71C6">
            <w:pPr>
              <w:jc w:val="both"/>
              <w:rPr>
                <w:rFonts w:ascii="Times New Roman" w:hAnsi="Times New Roman" w:cs="Times New Roman"/>
                <w:lang w:val="en-CA"/>
              </w:rPr>
            </w:pPr>
            <w:r w:rsidRPr="009D71C6">
              <w:rPr>
                <w:rFonts w:ascii="Times New Roman" w:hAnsi="Times New Roman" w:cs="Times New Roman"/>
              </w:rPr>
              <w:t xml:space="preserve">1000 - </w:t>
            </w:r>
            <w:r w:rsidRPr="009D71C6">
              <w:rPr>
                <w:rFonts w:ascii="Times New Roman" w:hAnsi="Times New Roman" w:cs="Times New Roman"/>
                <w:lang w:val="en-CA"/>
              </w:rPr>
              <w:t>Improved community-based security for men, women and children across the Caribbean region in the advent of natural disasters and climate change.</w:t>
            </w:r>
          </w:p>
        </w:tc>
        <w:tc>
          <w:tcPr>
            <w:tcW w:w="865" w:type="pct"/>
            <w:tcBorders>
              <w:bottom w:val="single" w:sz="12" w:space="0" w:color="auto"/>
            </w:tcBorders>
          </w:tcPr>
          <w:p w14:paraId="3EC8ED49"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1001: Percent of </w:t>
            </w:r>
            <w:proofErr w:type="gramStart"/>
            <w:r w:rsidRPr="009D71C6">
              <w:rPr>
                <w:rFonts w:ascii="Times New Roman" w:hAnsi="Times New Roman" w:cs="Times New Roman"/>
              </w:rPr>
              <w:t>households</w:t>
            </w:r>
            <w:proofErr w:type="gramEnd"/>
            <w:r w:rsidRPr="009D71C6">
              <w:rPr>
                <w:rFonts w:ascii="Times New Roman" w:hAnsi="Times New Roman" w:cs="Times New Roman"/>
              </w:rPr>
              <w:t xml:space="preserve"> livelihood which are adversely impacted by natural hazard events in BMC beneficiary communities</w:t>
            </w:r>
          </w:p>
          <w:p w14:paraId="3D43D114" w14:textId="77777777" w:rsidR="00C002AA" w:rsidRPr="009D71C6" w:rsidRDefault="00C002AA" w:rsidP="009D71C6">
            <w:pPr>
              <w:jc w:val="both"/>
              <w:rPr>
                <w:rFonts w:ascii="Times New Roman" w:hAnsi="Times New Roman" w:cs="Times New Roman"/>
              </w:rPr>
            </w:pPr>
          </w:p>
          <w:p w14:paraId="6DB8B1A6"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1002: Percent of death toll during times of a natural hazard in BMCs beneficiary communities</w:t>
            </w:r>
          </w:p>
        </w:tc>
        <w:tc>
          <w:tcPr>
            <w:tcW w:w="416" w:type="pct"/>
            <w:tcBorders>
              <w:bottom w:val="single" w:sz="12" w:space="0" w:color="auto"/>
            </w:tcBorders>
          </w:tcPr>
          <w:p w14:paraId="61840EC9"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22381B00"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(disaggregated by sex and age)</w:t>
            </w:r>
          </w:p>
          <w:p w14:paraId="5D708AA4" w14:textId="77777777" w:rsidR="00C002AA" w:rsidRPr="009D71C6" w:rsidRDefault="00C002AA" w:rsidP="00D7264A">
            <w:pPr>
              <w:rPr>
                <w:rFonts w:ascii="Times New Roman" w:hAnsi="Times New Roman" w:cs="Times New Roman"/>
              </w:rPr>
            </w:pPr>
          </w:p>
          <w:p w14:paraId="4183A5E5"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728026BE"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(disaggregated by sex and age)</w:t>
            </w:r>
          </w:p>
        </w:tc>
        <w:tc>
          <w:tcPr>
            <w:tcW w:w="417" w:type="pct"/>
            <w:tcBorders>
              <w:bottom w:val="single" w:sz="12" w:space="0" w:color="auto"/>
            </w:tcBorders>
          </w:tcPr>
          <w:p w14:paraId="395B3E16"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 xml:space="preserve">Reduced by 50% by 2018 </w:t>
            </w:r>
          </w:p>
          <w:p w14:paraId="7C699D97" w14:textId="77777777" w:rsidR="00C002AA" w:rsidRPr="009D71C6" w:rsidRDefault="00C002AA" w:rsidP="00D7264A">
            <w:pPr>
              <w:rPr>
                <w:rFonts w:ascii="Times New Roman" w:hAnsi="Times New Roman" w:cs="Times New Roman"/>
              </w:rPr>
            </w:pPr>
          </w:p>
          <w:p w14:paraId="7ACFB49F" w14:textId="77777777" w:rsidR="00C002AA" w:rsidRPr="009D71C6" w:rsidRDefault="00C002AA" w:rsidP="00D7264A">
            <w:pPr>
              <w:rPr>
                <w:rFonts w:ascii="Times New Roman" w:hAnsi="Times New Roman" w:cs="Times New Roman"/>
              </w:rPr>
            </w:pPr>
          </w:p>
          <w:p w14:paraId="0D5120E4" w14:textId="77777777" w:rsidR="00C002AA" w:rsidRPr="009D71C6" w:rsidRDefault="00C002AA" w:rsidP="00D7264A">
            <w:pPr>
              <w:rPr>
                <w:rFonts w:ascii="Times New Roman" w:hAnsi="Times New Roman" w:cs="Times New Roman"/>
              </w:rPr>
            </w:pPr>
          </w:p>
          <w:p w14:paraId="7C67784E"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Reduced by 50% by 2020</w:t>
            </w:r>
          </w:p>
        </w:tc>
        <w:tc>
          <w:tcPr>
            <w:tcW w:w="400" w:type="pct"/>
            <w:tcBorders>
              <w:bottom w:val="single" w:sz="12" w:space="0" w:color="auto"/>
            </w:tcBorders>
          </w:tcPr>
          <w:p w14:paraId="287F525B" w14:textId="77777777" w:rsidR="00C002AA" w:rsidRPr="009D71C6" w:rsidRDefault="00C002AA" w:rsidP="00D7264A">
            <w:pPr>
              <w:rPr>
                <w:rFonts w:ascii="Times New Roman" w:hAnsi="Times New Roman" w:cs="Times New Roman"/>
              </w:rPr>
            </w:pPr>
          </w:p>
        </w:tc>
        <w:tc>
          <w:tcPr>
            <w:tcW w:w="1411" w:type="pct"/>
            <w:tcBorders>
              <w:bottom w:val="single" w:sz="12" w:space="0" w:color="auto"/>
            </w:tcBorders>
            <w:shd w:val="clear" w:color="auto" w:fill="FBD4B4" w:themeFill="accent6" w:themeFillTint="66"/>
          </w:tcPr>
          <w:p w14:paraId="37873703" w14:textId="77777777" w:rsidR="00C002AA" w:rsidRPr="009D71C6" w:rsidRDefault="00C002AA" w:rsidP="00D7264A">
            <w:pPr>
              <w:rPr>
                <w:rFonts w:ascii="Times New Roman" w:hAnsi="Times New Roman" w:cs="Times New Roman"/>
              </w:rPr>
            </w:pPr>
          </w:p>
        </w:tc>
      </w:tr>
      <w:tr w:rsidR="00C002AA" w:rsidRPr="009D71C6" w14:paraId="57E694FD" w14:textId="77777777" w:rsidTr="00D7264A">
        <w:trPr>
          <w:trHeight w:val="1537"/>
        </w:trPr>
        <w:tc>
          <w:tcPr>
            <w:tcW w:w="340" w:type="pct"/>
            <w:vMerge w:val="restart"/>
            <w:tcBorders>
              <w:top w:val="single" w:sz="12" w:space="0" w:color="auto"/>
              <w:left w:val="single" w:sz="12" w:space="0" w:color="auto"/>
            </w:tcBorders>
            <w:shd w:val="clear" w:color="auto" w:fill="B8CCE4" w:themeFill="accent1" w:themeFillTint="66"/>
            <w:textDirection w:val="btLr"/>
            <w:vAlign w:val="center"/>
          </w:tcPr>
          <w:p w14:paraId="5FAD54A3" w14:textId="77777777" w:rsidR="00C002AA" w:rsidRPr="009D71C6" w:rsidRDefault="00C002AA" w:rsidP="00D7264A">
            <w:pPr>
              <w:ind w:left="113" w:right="113"/>
              <w:jc w:val="center"/>
              <w:rPr>
                <w:rFonts w:ascii="Times New Roman" w:hAnsi="Times New Roman" w:cs="Times New Roman"/>
              </w:rPr>
            </w:pPr>
            <w:r w:rsidRPr="009D71C6">
              <w:rPr>
                <w:rFonts w:ascii="Times New Roman" w:hAnsi="Times New Roman" w:cs="Times New Roman"/>
              </w:rPr>
              <w:t>Intermediate Outcome</w:t>
            </w:r>
          </w:p>
        </w:tc>
        <w:tc>
          <w:tcPr>
            <w:tcW w:w="1151" w:type="pct"/>
            <w:vMerge w:val="restart"/>
            <w:tcBorders>
              <w:top w:val="single" w:sz="12" w:space="0" w:color="auto"/>
            </w:tcBorders>
          </w:tcPr>
          <w:p w14:paraId="1794E31C" w14:textId="77777777" w:rsidR="00C002AA" w:rsidRPr="009D71C6" w:rsidRDefault="00C002AA" w:rsidP="009D71C6">
            <w:pPr>
              <w:jc w:val="both"/>
              <w:rPr>
                <w:rFonts w:ascii="Times New Roman" w:hAnsi="Times New Roman" w:cs="Times New Roman"/>
                <w:lang w:val="en-CA"/>
              </w:rPr>
            </w:pPr>
            <w:r w:rsidRPr="009D71C6">
              <w:rPr>
                <w:rFonts w:ascii="Times New Roman" w:hAnsi="Times New Roman" w:cs="Times New Roman"/>
                <w:b/>
                <w:bCs/>
              </w:rPr>
              <w:t xml:space="preserve">1100 </w:t>
            </w:r>
            <w:r w:rsidRPr="009D71C6">
              <w:rPr>
                <w:rFonts w:ascii="Times New Roman" w:hAnsi="Times New Roman" w:cs="Times New Roman"/>
              </w:rPr>
              <w:t xml:space="preserve">- </w:t>
            </w:r>
            <w:r w:rsidRPr="009D71C6">
              <w:rPr>
                <w:rFonts w:ascii="Times New Roman" w:hAnsi="Times New Roman" w:cs="Times New Roman"/>
                <w:lang w:val="en-CA"/>
              </w:rPr>
              <w:t xml:space="preserve">Enhanced implementation of gender-responsive community level interventions to reduce natural disaster risk and climate change impacts in four Caribbean Development Bank Borrowing Member Countries </w:t>
            </w:r>
          </w:p>
        </w:tc>
        <w:tc>
          <w:tcPr>
            <w:tcW w:w="865" w:type="pct"/>
            <w:tcBorders>
              <w:top w:val="single" w:sz="12" w:space="0" w:color="auto"/>
            </w:tcBorders>
          </w:tcPr>
          <w:p w14:paraId="45D9603F" w14:textId="68C324B6" w:rsidR="00C002AA" w:rsidRPr="009D71C6" w:rsidRDefault="00C002AA" w:rsidP="009D71C6">
            <w:pPr>
              <w:jc w:val="both"/>
              <w:rPr>
                <w:rFonts w:ascii="Times New Roman" w:hAnsi="Times New Roman" w:cs="Times New Roman"/>
              </w:rPr>
            </w:pPr>
            <w:r w:rsidRPr="009D71C6">
              <w:rPr>
                <w:rFonts w:ascii="Times New Roman" w:hAnsi="Times New Roman" w:cs="Times New Roman"/>
              </w:rPr>
              <w:t>1101:</w:t>
            </w:r>
            <w:r w:rsidR="009D71C6">
              <w:rPr>
                <w:rFonts w:ascii="Times New Roman" w:hAnsi="Times New Roman" w:cs="Times New Roman"/>
              </w:rPr>
              <w:t xml:space="preserve"> </w:t>
            </w:r>
            <w:r w:rsidRPr="009D71C6">
              <w:rPr>
                <w:rFonts w:ascii="Times New Roman" w:hAnsi="Times New Roman" w:cs="Times New Roman"/>
              </w:rPr>
              <w:t xml:space="preserve">Percent of approved BMC’s subprojects with a gender-sensitive focus (at least 25% are female beneficiaries) </w:t>
            </w:r>
          </w:p>
          <w:p w14:paraId="3F4E17C5" w14:textId="77777777" w:rsidR="00C002AA" w:rsidRPr="009D71C6" w:rsidRDefault="00C002AA" w:rsidP="009D71C6">
            <w:pPr>
              <w:jc w:val="both"/>
              <w:rPr>
                <w:rFonts w:ascii="Times New Roman" w:hAnsi="Times New Roman" w:cs="Times New Roman"/>
              </w:rPr>
            </w:pPr>
          </w:p>
          <w:p w14:paraId="31F2B3F6" w14:textId="77777777" w:rsidR="00C002AA" w:rsidRPr="009D71C6" w:rsidRDefault="00C002AA" w:rsidP="009D71C6">
            <w:pPr>
              <w:jc w:val="both"/>
              <w:rPr>
                <w:rFonts w:ascii="Times New Roman" w:hAnsi="Times New Roman" w:cs="Times New Roman"/>
              </w:rPr>
            </w:pPr>
          </w:p>
        </w:tc>
        <w:tc>
          <w:tcPr>
            <w:tcW w:w="416" w:type="pct"/>
            <w:tcBorders>
              <w:top w:val="single" w:sz="12" w:space="0" w:color="auto"/>
            </w:tcBorders>
          </w:tcPr>
          <w:p w14:paraId="46EEC493"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0</w:t>
            </w:r>
          </w:p>
          <w:p w14:paraId="50F81DEF" w14:textId="77777777" w:rsidR="00C002AA" w:rsidRPr="009D71C6" w:rsidRDefault="00C002AA" w:rsidP="00D7264A">
            <w:pPr>
              <w:rPr>
                <w:rFonts w:ascii="Times New Roman" w:hAnsi="Times New Roman" w:cs="Times New Roman"/>
              </w:rPr>
            </w:pPr>
          </w:p>
          <w:p w14:paraId="59A12E31" w14:textId="77777777" w:rsidR="00C002AA" w:rsidRPr="009D71C6" w:rsidRDefault="00C002AA" w:rsidP="00D7264A">
            <w:pPr>
              <w:rPr>
                <w:rFonts w:ascii="Times New Roman" w:hAnsi="Times New Roman" w:cs="Times New Roman"/>
              </w:rPr>
            </w:pPr>
          </w:p>
          <w:p w14:paraId="1775FBE0" w14:textId="77777777" w:rsidR="00C002AA" w:rsidRPr="009D71C6" w:rsidRDefault="00C002AA" w:rsidP="00D7264A">
            <w:pPr>
              <w:rPr>
                <w:rFonts w:ascii="Times New Roman" w:hAnsi="Times New Roman" w:cs="Times New Roman"/>
              </w:rPr>
            </w:pPr>
          </w:p>
        </w:tc>
        <w:tc>
          <w:tcPr>
            <w:tcW w:w="417" w:type="pct"/>
            <w:tcBorders>
              <w:top w:val="single" w:sz="12" w:space="0" w:color="auto"/>
            </w:tcBorders>
          </w:tcPr>
          <w:p w14:paraId="244C6D56"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80% of approved subprojects by 2018</w:t>
            </w:r>
          </w:p>
          <w:p w14:paraId="230B2F1F" w14:textId="77777777" w:rsidR="00C002AA" w:rsidRPr="009D71C6" w:rsidRDefault="00C002AA" w:rsidP="00D7264A">
            <w:pPr>
              <w:rPr>
                <w:rFonts w:ascii="Times New Roman" w:hAnsi="Times New Roman" w:cs="Times New Roman"/>
              </w:rPr>
            </w:pPr>
          </w:p>
          <w:p w14:paraId="7F1B788C" w14:textId="77777777" w:rsidR="00C002AA" w:rsidRPr="009D71C6" w:rsidRDefault="00C002AA" w:rsidP="00D7264A">
            <w:pPr>
              <w:rPr>
                <w:rFonts w:ascii="Times New Roman" w:hAnsi="Times New Roman" w:cs="Times New Roman"/>
              </w:rPr>
            </w:pPr>
          </w:p>
        </w:tc>
        <w:tc>
          <w:tcPr>
            <w:tcW w:w="400" w:type="pct"/>
            <w:vMerge w:val="restart"/>
            <w:tcBorders>
              <w:top w:val="single" w:sz="12" w:space="0" w:color="auto"/>
            </w:tcBorders>
          </w:tcPr>
          <w:p w14:paraId="5BEC8D37"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Progress Reports</w:t>
            </w:r>
          </w:p>
        </w:tc>
        <w:tc>
          <w:tcPr>
            <w:tcW w:w="1411" w:type="pct"/>
            <w:tcBorders>
              <w:top w:val="single" w:sz="12" w:space="0" w:color="auto"/>
            </w:tcBorders>
            <w:shd w:val="clear" w:color="auto" w:fill="FBD4B4" w:themeFill="accent6" w:themeFillTint="66"/>
          </w:tcPr>
          <w:p w14:paraId="1CF268A6"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 xml:space="preserve"> Target achieved in October 2017</w:t>
            </w:r>
          </w:p>
          <w:p w14:paraId="1AA570D6"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8 sub-projects approved all with gender sensitive focus</w:t>
            </w:r>
          </w:p>
        </w:tc>
      </w:tr>
      <w:tr w:rsidR="00C002AA" w:rsidRPr="009D71C6" w14:paraId="69AB44D3" w14:textId="77777777" w:rsidTr="00D7264A">
        <w:trPr>
          <w:trHeight w:val="1747"/>
        </w:trPr>
        <w:tc>
          <w:tcPr>
            <w:tcW w:w="340" w:type="pct"/>
            <w:vMerge/>
            <w:tcBorders>
              <w:left w:val="single" w:sz="12" w:space="0" w:color="auto"/>
            </w:tcBorders>
            <w:shd w:val="clear" w:color="auto" w:fill="B8CCE4" w:themeFill="accent1" w:themeFillTint="66"/>
            <w:textDirection w:val="btLr"/>
            <w:vAlign w:val="center"/>
          </w:tcPr>
          <w:p w14:paraId="43EE802E" w14:textId="77777777" w:rsidR="00C002AA" w:rsidRPr="009D71C6" w:rsidRDefault="00C002AA" w:rsidP="00D7264A">
            <w:pPr>
              <w:ind w:left="113" w:right="113"/>
              <w:jc w:val="center"/>
              <w:rPr>
                <w:rFonts w:ascii="Times New Roman" w:hAnsi="Times New Roman" w:cs="Times New Roman"/>
              </w:rPr>
            </w:pPr>
          </w:p>
        </w:tc>
        <w:tc>
          <w:tcPr>
            <w:tcW w:w="1151" w:type="pct"/>
            <w:vMerge/>
          </w:tcPr>
          <w:p w14:paraId="2FB84F7C" w14:textId="77777777" w:rsidR="00C002AA" w:rsidRPr="009D71C6" w:rsidRDefault="00C002AA" w:rsidP="009D71C6">
            <w:pPr>
              <w:jc w:val="both"/>
              <w:rPr>
                <w:rFonts w:ascii="Times New Roman" w:hAnsi="Times New Roman" w:cs="Times New Roman"/>
                <w:b/>
                <w:bCs/>
              </w:rPr>
            </w:pPr>
          </w:p>
        </w:tc>
        <w:tc>
          <w:tcPr>
            <w:tcW w:w="865" w:type="pct"/>
            <w:tcBorders>
              <w:top w:val="single" w:sz="12" w:space="0" w:color="auto"/>
            </w:tcBorders>
          </w:tcPr>
          <w:p w14:paraId="4CCE1BAB"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1102: Percent of approved subprojects whose design is informed by Community Vulnerable Risk Assessment, DRR/CCA KAP Studies and Vulnerable Livelihood Profiles.</w:t>
            </w:r>
          </w:p>
        </w:tc>
        <w:tc>
          <w:tcPr>
            <w:tcW w:w="416" w:type="pct"/>
          </w:tcPr>
          <w:p w14:paraId="1A083DE0"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0</w:t>
            </w:r>
          </w:p>
          <w:p w14:paraId="493A6A2E" w14:textId="77777777" w:rsidR="00C002AA" w:rsidRPr="009D71C6" w:rsidRDefault="00C002AA" w:rsidP="00D7264A">
            <w:pPr>
              <w:rPr>
                <w:rFonts w:ascii="Times New Roman" w:hAnsi="Times New Roman" w:cs="Times New Roman"/>
              </w:rPr>
            </w:pPr>
          </w:p>
        </w:tc>
        <w:tc>
          <w:tcPr>
            <w:tcW w:w="417" w:type="pct"/>
          </w:tcPr>
          <w:p w14:paraId="61083C34"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70% of approved subproject by 2018</w:t>
            </w:r>
          </w:p>
          <w:p w14:paraId="0B3656ED"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100% by 2020</w:t>
            </w:r>
          </w:p>
        </w:tc>
        <w:tc>
          <w:tcPr>
            <w:tcW w:w="400" w:type="pct"/>
            <w:vMerge/>
          </w:tcPr>
          <w:p w14:paraId="3EB17A98" w14:textId="77777777" w:rsidR="00C002AA" w:rsidRPr="009D71C6" w:rsidRDefault="00C002AA" w:rsidP="00D7264A">
            <w:pPr>
              <w:rPr>
                <w:rFonts w:ascii="Times New Roman" w:hAnsi="Times New Roman" w:cs="Times New Roman"/>
              </w:rPr>
            </w:pPr>
          </w:p>
        </w:tc>
        <w:tc>
          <w:tcPr>
            <w:tcW w:w="1411" w:type="pct"/>
            <w:shd w:val="clear" w:color="auto" w:fill="FBD4B4" w:themeFill="accent6" w:themeFillTint="66"/>
          </w:tcPr>
          <w:p w14:paraId="39B8F169" w14:textId="77777777" w:rsidR="00C002AA" w:rsidRPr="009D71C6" w:rsidRDefault="00C002AA" w:rsidP="009D71C6">
            <w:pPr>
              <w:pStyle w:val="ListParagraph"/>
              <w:numPr>
                <w:ilvl w:val="0"/>
                <w:numId w:val="13"/>
              </w:numPr>
              <w:spacing w:after="0" w:line="240" w:lineRule="auto"/>
              <w:ind w:left="346" w:hanging="346"/>
              <w:rPr>
                <w:rFonts w:ascii="Times New Roman" w:hAnsi="Times New Roman" w:cs="Times New Roman"/>
              </w:rPr>
            </w:pPr>
            <w:r w:rsidRPr="009D71C6">
              <w:rPr>
                <w:rFonts w:ascii="Times New Roman" w:hAnsi="Times New Roman" w:cs="Times New Roman"/>
              </w:rPr>
              <w:t>Design of 6 approved sub-projects informed by RCCVA</w:t>
            </w:r>
          </w:p>
          <w:p w14:paraId="07121AF8" w14:textId="77777777" w:rsidR="00C002AA" w:rsidRPr="009D71C6" w:rsidRDefault="00C002AA" w:rsidP="009D71C6">
            <w:pPr>
              <w:pStyle w:val="ListParagraph"/>
              <w:numPr>
                <w:ilvl w:val="0"/>
                <w:numId w:val="13"/>
              </w:numPr>
              <w:spacing w:after="0" w:line="240" w:lineRule="auto"/>
              <w:ind w:left="346" w:hanging="346"/>
              <w:rPr>
                <w:rFonts w:ascii="Times New Roman" w:hAnsi="Times New Roman" w:cs="Times New Roman"/>
              </w:rPr>
            </w:pPr>
            <w:r w:rsidRPr="009D71C6">
              <w:rPr>
                <w:rFonts w:ascii="Times New Roman" w:hAnsi="Times New Roman" w:cs="Times New Roman"/>
              </w:rPr>
              <w:t>Design of 2 sub-projects informed by historical data on natural hazard events and climate data</w:t>
            </w:r>
          </w:p>
          <w:p w14:paraId="5CA15D0E" w14:textId="77777777" w:rsidR="00C002AA" w:rsidRPr="009D71C6" w:rsidRDefault="00C002AA" w:rsidP="009D71C6">
            <w:pPr>
              <w:pStyle w:val="ListParagraph"/>
              <w:numPr>
                <w:ilvl w:val="0"/>
                <w:numId w:val="13"/>
              </w:numPr>
              <w:spacing w:after="0" w:line="240" w:lineRule="auto"/>
              <w:ind w:left="346" w:hanging="346"/>
              <w:rPr>
                <w:rFonts w:ascii="Times New Roman" w:hAnsi="Times New Roman" w:cs="Times New Roman"/>
              </w:rPr>
            </w:pPr>
            <w:r w:rsidRPr="009D71C6">
              <w:rPr>
                <w:rFonts w:ascii="Times New Roman" w:hAnsi="Times New Roman" w:cs="Times New Roman"/>
              </w:rPr>
              <w:t>2 KAP studies completed to inform design</w:t>
            </w:r>
          </w:p>
          <w:p w14:paraId="357BCE6F" w14:textId="77777777" w:rsidR="00C002AA" w:rsidRPr="009D71C6" w:rsidRDefault="00C002AA" w:rsidP="009D71C6">
            <w:pPr>
              <w:pStyle w:val="ListParagraph"/>
              <w:ind w:left="346" w:hanging="346"/>
              <w:rPr>
                <w:rFonts w:ascii="Times New Roman" w:hAnsi="Times New Roman" w:cs="Times New Roman"/>
              </w:rPr>
            </w:pPr>
          </w:p>
        </w:tc>
      </w:tr>
      <w:tr w:rsidR="00C002AA" w:rsidRPr="009D71C6" w14:paraId="54A632B8" w14:textId="77777777" w:rsidTr="00D7264A">
        <w:trPr>
          <w:trHeight w:val="279"/>
        </w:trPr>
        <w:tc>
          <w:tcPr>
            <w:tcW w:w="340" w:type="pct"/>
            <w:vMerge/>
            <w:tcBorders>
              <w:left w:val="single" w:sz="12" w:space="0" w:color="auto"/>
              <w:bottom w:val="single" w:sz="18" w:space="0" w:color="auto"/>
            </w:tcBorders>
            <w:shd w:val="clear" w:color="auto" w:fill="B8CCE4" w:themeFill="accent1" w:themeFillTint="66"/>
          </w:tcPr>
          <w:p w14:paraId="6A7C3DF3" w14:textId="77777777" w:rsidR="00C002AA" w:rsidRPr="009D71C6" w:rsidRDefault="00C002AA" w:rsidP="00D7264A">
            <w:pPr>
              <w:rPr>
                <w:rFonts w:ascii="Times New Roman" w:hAnsi="Times New Roman" w:cs="Times New Roman"/>
              </w:rPr>
            </w:pPr>
          </w:p>
        </w:tc>
        <w:tc>
          <w:tcPr>
            <w:tcW w:w="1151" w:type="pct"/>
            <w:tcBorders>
              <w:bottom w:val="single" w:sz="18" w:space="0" w:color="auto"/>
            </w:tcBorders>
          </w:tcPr>
          <w:p w14:paraId="3B617150" w14:textId="77777777" w:rsidR="00C002AA" w:rsidRPr="009D71C6" w:rsidRDefault="00C002AA" w:rsidP="009D71C6">
            <w:pPr>
              <w:jc w:val="both"/>
              <w:rPr>
                <w:rFonts w:ascii="Times New Roman" w:hAnsi="Times New Roman" w:cs="Times New Roman"/>
                <w:b/>
                <w:bCs/>
              </w:rPr>
            </w:pPr>
            <w:r w:rsidRPr="009D71C6">
              <w:rPr>
                <w:rFonts w:ascii="Times New Roman" w:hAnsi="Times New Roman" w:cs="Times New Roman"/>
                <w:b/>
                <w:bCs/>
              </w:rPr>
              <w:t xml:space="preserve">1200 </w:t>
            </w:r>
            <w:r w:rsidRPr="009D71C6">
              <w:rPr>
                <w:rFonts w:ascii="Times New Roman" w:hAnsi="Times New Roman" w:cs="Times New Roman"/>
              </w:rPr>
              <w:t xml:space="preserve">- </w:t>
            </w:r>
            <w:r w:rsidRPr="009D71C6">
              <w:rPr>
                <w:rFonts w:ascii="Times New Roman" w:hAnsi="Times New Roman" w:cs="Times New Roman"/>
                <w:lang w:val="en-CA"/>
              </w:rPr>
              <w:t>Improved integration of disaster risk and climate change impacts in Country Poverty Assessment and related support to BMCs</w:t>
            </w:r>
          </w:p>
        </w:tc>
        <w:tc>
          <w:tcPr>
            <w:tcW w:w="865" w:type="pct"/>
            <w:tcBorders>
              <w:bottom w:val="single" w:sz="18" w:space="0" w:color="auto"/>
            </w:tcBorders>
          </w:tcPr>
          <w:p w14:paraId="2444E254"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1201: Number of BMCs that have disaster risk and CC impact considerations in CPA design</w:t>
            </w:r>
          </w:p>
        </w:tc>
        <w:tc>
          <w:tcPr>
            <w:tcW w:w="416" w:type="pct"/>
            <w:tcBorders>
              <w:bottom w:val="single" w:sz="18" w:space="0" w:color="auto"/>
            </w:tcBorders>
          </w:tcPr>
          <w:p w14:paraId="01AB894F"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0</w:t>
            </w:r>
          </w:p>
        </w:tc>
        <w:tc>
          <w:tcPr>
            <w:tcW w:w="417" w:type="pct"/>
            <w:tcBorders>
              <w:bottom w:val="single" w:sz="18" w:space="0" w:color="auto"/>
            </w:tcBorders>
          </w:tcPr>
          <w:p w14:paraId="2CBF588B"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3 by 2018</w:t>
            </w:r>
          </w:p>
          <w:p w14:paraId="43B492DB"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2020</w:t>
            </w:r>
          </w:p>
        </w:tc>
        <w:tc>
          <w:tcPr>
            <w:tcW w:w="400" w:type="pct"/>
            <w:tcBorders>
              <w:bottom w:val="single" w:sz="18" w:space="0" w:color="auto"/>
            </w:tcBorders>
          </w:tcPr>
          <w:p w14:paraId="0172BB8C"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CPAs</w:t>
            </w:r>
          </w:p>
        </w:tc>
        <w:tc>
          <w:tcPr>
            <w:tcW w:w="1411" w:type="pct"/>
            <w:tcBorders>
              <w:bottom w:val="single" w:sz="18" w:space="0" w:color="auto"/>
            </w:tcBorders>
            <w:shd w:val="clear" w:color="auto" w:fill="FBD4B4" w:themeFill="accent6" w:themeFillTint="66"/>
          </w:tcPr>
          <w:p w14:paraId="29919120" w14:textId="77777777" w:rsidR="00C002AA" w:rsidRPr="009D71C6" w:rsidRDefault="00C002AA" w:rsidP="009D71C6">
            <w:pPr>
              <w:ind w:left="346" w:hanging="346"/>
              <w:rPr>
                <w:rFonts w:ascii="Times New Roman" w:hAnsi="Times New Roman" w:cs="Times New Roman"/>
              </w:rPr>
            </w:pPr>
            <w:r w:rsidRPr="009D71C6">
              <w:rPr>
                <w:rFonts w:ascii="Times New Roman" w:hAnsi="Times New Roman" w:cs="Times New Roman"/>
              </w:rPr>
              <w:t>One country using enhanced CPA tools</w:t>
            </w:r>
          </w:p>
          <w:p w14:paraId="507932FF" w14:textId="77777777" w:rsidR="00C002AA" w:rsidRPr="009D71C6" w:rsidRDefault="00C002AA" w:rsidP="009D71C6">
            <w:pPr>
              <w:ind w:left="346" w:hanging="346"/>
              <w:rPr>
                <w:rFonts w:ascii="Times New Roman" w:hAnsi="Times New Roman" w:cs="Times New Roman"/>
              </w:rPr>
            </w:pPr>
          </w:p>
        </w:tc>
      </w:tr>
      <w:tr w:rsidR="00C002AA" w:rsidRPr="009D71C6" w14:paraId="7A40A79A" w14:textId="77777777" w:rsidTr="00D7264A">
        <w:trPr>
          <w:trHeight w:val="35"/>
        </w:trPr>
        <w:tc>
          <w:tcPr>
            <w:tcW w:w="340" w:type="pct"/>
            <w:vMerge w:val="restart"/>
            <w:tcBorders>
              <w:top w:val="single" w:sz="18" w:space="0" w:color="auto"/>
              <w:left w:val="single" w:sz="18" w:space="0" w:color="auto"/>
            </w:tcBorders>
            <w:shd w:val="clear" w:color="auto" w:fill="FFC000"/>
            <w:textDirection w:val="btLr"/>
            <w:vAlign w:val="center"/>
          </w:tcPr>
          <w:p w14:paraId="06F4A958" w14:textId="77777777" w:rsidR="00C002AA" w:rsidRPr="009D71C6" w:rsidRDefault="00C002AA" w:rsidP="00D7264A">
            <w:pPr>
              <w:ind w:left="113" w:right="113"/>
              <w:jc w:val="center"/>
              <w:rPr>
                <w:rFonts w:ascii="Times New Roman" w:hAnsi="Times New Roman" w:cs="Times New Roman"/>
              </w:rPr>
            </w:pPr>
            <w:r w:rsidRPr="009D71C6">
              <w:rPr>
                <w:rFonts w:ascii="Times New Roman" w:hAnsi="Times New Roman" w:cs="Times New Roman"/>
              </w:rPr>
              <w:t>Immediate Outcome</w:t>
            </w:r>
          </w:p>
        </w:tc>
        <w:tc>
          <w:tcPr>
            <w:tcW w:w="1151" w:type="pct"/>
            <w:vMerge w:val="restart"/>
            <w:tcBorders>
              <w:top w:val="single" w:sz="18" w:space="0" w:color="auto"/>
            </w:tcBorders>
          </w:tcPr>
          <w:p w14:paraId="7311490B"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b/>
                <w:bCs/>
              </w:rPr>
              <w:t>1110 –</w:t>
            </w:r>
            <w:r w:rsidRPr="009D71C6">
              <w:rPr>
                <w:rFonts w:ascii="Times New Roman" w:hAnsi="Times New Roman" w:cs="Times New Roman"/>
                <w:lang w:val="en-CA"/>
              </w:rPr>
              <w:t xml:space="preserve"> Gender sensitive </w:t>
            </w:r>
            <w:r w:rsidRPr="009D71C6">
              <w:rPr>
                <w:rFonts w:ascii="Times New Roman" w:hAnsi="Times New Roman" w:cs="Times New Roman"/>
                <w:u w:val="single"/>
                <w:lang w:val="en-CA"/>
              </w:rPr>
              <w:t>resilience</w:t>
            </w:r>
            <w:r w:rsidRPr="009D71C6">
              <w:rPr>
                <w:rFonts w:ascii="Times New Roman" w:hAnsi="Times New Roman" w:cs="Times New Roman"/>
                <w:lang w:val="en-CA"/>
              </w:rPr>
              <w:t xml:space="preserve"> to natural hazards and climate change in 12 </w:t>
            </w:r>
            <w:proofErr w:type="gramStart"/>
            <w:r w:rsidRPr="009D71C6">
              <w:rPr>
                <w:rFonts w:ascii="Times New Roman" w:hAnsi="Times New Roman" w:cs="Times New Roman"/>
                <w:lang w:val="en-CA"/>
              </w:rPr>
              <w:t>beneficiaries</w:t>
            </w:r>
            <w:proofErr w:type="gramEnd"/>
            <w:r w:rsidRPr="009D71C6">
              <w:rPr>
                <w:rFonts w:ascii="Times New Roman" w:hAnsi="Times New Roman" w:cs="Times New Roman"/>
                <w:lang w:val="en-CA"/>
              </w:rPr>
              <w:t xml:space="preserve"> communities </w:t>
            </w:r>
            <w:r w:rsidRPr="009D71C6">
              <w:rPr>
                <w:rFonts w:ascii="Times New Roman" w:hAnsi="Times New Roman" w:cs="Times New Roman"/>
                <w:u w:val="single"/>
                <w:lang w:val="en-CA"/>
              </w:rPr>
              <w:t>increased</w:t>
            </w:r>
          </w:p>
        </w:tc>
        <w:tc>
          <w:tcPr>
            <w:tcW w:w="865" w:type="pct"/>
            <w:tcBorders>
              <w:top w:val="single" w:sz="18" w:space="0" w:color="auto"/>
            </w:tcBorders>
          </w:tcPr>
          <w:p w14:paraId="792C0E0C"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1111: Percent of households growing crops that are resilient to climate hazards </w:t>
            </w:r>
          </w:p>
          <w:p w14:paraId="2A23E7A9" w14:textId="77777777" w:rsidR="00C002AA" w:rsidRPr="009D71C6" w:rsidRDefault="00C002AA" w:rsidP="009D71C6">
            <w:pPr>
              <w:jc w:val="both"/>
              <w:rPr>
                <w:rFonts w:ascii="Times New Roman" w:hAnsi="Times New Roman" w:cs="Times New Roman"/>
              </w:rPr>
            </w:pPr>
          </w:p>
          <w:p w14:paraId="3E7AF744" w14:textId="77777777" w:rsidR="00C002AA" w:rsidRPr="009D71C6" w:rsidRDefault="00C002AA" w:rsidP="009D71C6">
            <w:pPr>
              <w:jc w:val="both"/>
              <w:rPr>
                <w:rFonts w:ascii="Times New Roman" w:hAnsi="Times New Roman" w:cs="Times New Roman"/>
              </w:rPr>
            </w:pPr>
          </w:p>
        </w:tc>
        <w:tc>
          <w:tcPr>
            <w:tcW w:w="416" w:type="pct"/>
            <w:tcBorders>
              <w:top w:val="single" w:sz="18" w:space="0" w:color="auto"/>
            </w:tcBorders>
          </w:tcPr>
          <w:p w14:paraId="0E6CC060"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7D1CE017"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(disaggregated by sex and age)</w:t>
            </w:r>
          </w:p>
          <w:p w14:paraId="57CDBB8E" w14:textId="77777777" w:rsidR="00C002AA" w:rsidRPr="009D71C6" w:rsidRDefault="00C002AA" w:rsidP="00D7264A">
            <w:pPr>
              <w:ind w:right="-161"/>
              <w:rPr>
                <w:rFonts w:ascii="Times New Roman" w:hAnsi="Times New Roman" w:cs="Times New Roman"/>
              </w:rPr>
            </w:pPr>
          </w:p>
          <w:p w14:paraId="0AA11154" w14:textId="77777777" w:rsidR="00C002AA" w:rsidRPr="009D71C6" w:rsidRDefault="00C002AA" w:rsidP="00D7264A">
            <w:pPr>
              <w:rPr>
                <w:rFonts w:ascii="Times New Roman" w:hAnsi="Times New Roman" w:cs="Times New Roman"/>
              </w:rPr>
            </w:pPr>
          </w:p>
        </w:tc>
        <w:tc>
          <w:tcPr>
            <w:tcW w:w="417" w:type="pct"/>
            <w:tcBorders>
              <w:top w:val="single" w:sz="18" w:space="0" w:color="auto"/>
            </w:tcBorders>
          </w:tcPr>
          <w:p w14:paraId="602275B7"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Increased by 35% by 2020</w:t>
            </w:r>
          </w:p>
          <w:p w14:paraId="250AE225" w14:textId="77777777" w:rsidR="00C002AA" w:rsidRPr="009D71C6" w:rsidRDefault="00C002AA" w:rsidP="00D7264A">
            <w:pPr>
              <w:rPr>
                <w:rFonts w:ascii="Times New Roman" w:hAnsi="Times New Roman" w:cs="Times New Roman"/>
              </w:rPr>
            </w:pPr>
          </w:p>
          <w:p w14:paraId="2D92782A" w14:textId="77777777" w:rsidR="00C002AA" w:rsidRPr="009D71C6" w:rsidRDefault="00C002AA" w:rsidP="00D7264A">
            <w:pPr>
              <w:rPr>
                <w:rFonts w:ascii="Times New Roman" w:hAnsi="Times New Roman" w:cs="Times New Roman"/>
              </w:rPr>
            </w:pPr>
          </w:p>
        </w:tc>
        <w:tc>
          <w:tcPr>
            <w:tcW w:w="400" w:type="pct"/>
            <w:vMerge w:val="restart"/>
            <w:tcBorders>
              <w:top w:val="single" w:sz="18" w:space="0" w:color="auto"/>
            </w:tcBorders>
          </w:tcPr>
          <w:p w14:paraId="6718AB1D"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Monthly and quarterly reports</w:t>
            </w:r>
          </w:p>
        </w:tc>
        <w:tc>
          <w:tcPr>
            <w:tcW w:w="1411" w:type="pct"/>
            <w:tcBorders>
              <w:top w:val="single" w:sz="18" w:space="0" w:color="auto"/>
            </w:tcBorders>
            <w:shd w:val="clear" w:color="auto" w:fill="FBD4B4" w:themeFill="accent6" w:themeFillTint="66"/>
          </w:tcPr>
          <w:p w14:paraId="386958CB" w14:textId="6BBFA6B8" w:rsidR="00C002AA" w:rsidRPr="009D71C6" w:rsidRDefault="00C002AA" w:rsidP="009D71C6">
            <w:pPr>
              <w:pStyle w:val="ListParagraph"/>
              <w:numPr>
                <w:ilvl w:val="0"/>
                <w:numId w:val="17"/>
              </w:numPr>
              <w:spacing w:after="0" w:line="240" w:lineRule="auto"/>
              <w:ind w:left="346" w:hanging="346"/>
              <w:rPr>
                <w:rFonts w:ascii="Times New Roman" w:hAnsi="Times New Roman" w:cs="Times New Roman"/>
              </w:rPr>
            </w:pPr>
            <w:r w:rsidRPr="009D71C6">
              <w:rPr>
                <w:rFonts w:ascii="Times New Roman" w:hAnsi="Times New Roman" w:cs="Times New Roman"/>
              </w:rPr>
              <w:t>71,336 Trees, Suckers and other crops planted by 1037 farmers (used as proxy for households)</w:t>
            </w:r>
          </w:p>
          <w:p w14:paraId="326BC852" w14:textId="77777777" w:rsidR="00E30095" w:rsidRPr="009D71C6" w:rsidRDefault="00E30095" w:rsidP="009D71C6">
            <w:pPr>
              <w:pStyle w:val="ListParagraph"/>
              <w:spacing w:after="0" w:line="240" w:lineRule="auto"/>
              <w:ind w:left="346" w:hanging="346"/>
              <w:rPr>
                <w:rFonts w:ascii="Times New Roman" w:hAnsi="Times New Roman" w:cs="Times New Roman"/>
              </w:rPr>
            </w:pPr>
          </w:p>
          <w:p w14:paraId="3C8034BE" w14:textId="77777777" w:rsidR="00C002AA" w:rsidRPr="009D71C6" w:rsidRDefault="00C002AA" w:rsidP="009D71C6">
            <w:pPr>
              <w:pStyle w:val="ListParagraph"/>
              <w:numPr>
                <w:ilvl w:val="0"/>
                <w:numId w:val="17"/>
              </w:numPr>
              <w:spacing w:after="0" w:line="240" w:lineRule="auto"/>
              <w:ind w:left="346" w:hanging="346"/>
              <w:rPr>
                <w:rFonts w:ascii="Times New Roman" w:hAnsi="Times New Roman" w:cs="Times New Roman"/>
              </w:rPr>
            </w:pPr>
            <w:r w:rsidRPr="009D71C6">
              <w:rPr>
                <w:rFonts w:ascii="Times New Roman" w:hAnsi="Times New Roman" w:cs="Times New Roman"/>
              </w:rPr>
              <w:t>Belize and EHF(Jamaica)- check number of households in each (target communities/farmers clubs)</w:t>
            </w:r>
          </w:p>
          <w:p w14:paraId="5564A65F" w14:textId="77777777" w:rsidR="009D71C6" w:rsidRDefault="009D71C6" w:rsidP="009D71C6">
            <w:pPr>
              <w:pStyle w:val="ListParagraph"/>
              <w:spacing w:after="0" w:line="240" w:lineRule="auto"/>
              <w:ind w:left="346" w:hanging="346"/>
              <w:rPr>
                <w:rFonts w:ascii="Times New Roman" w:hAnsi="Times New Roman" w:cs="Times New Roman"/>
              </w:rPr>
            </w:pPr>
          </w:p>
          <w:p w14:paraId="1071D68D" w14:textId="2176609A" w:rsidR="00C002AA" w:rsidRPr="009D71C6" w:rsidRDefault="00C002AA" w:rsidP="009D71C6">
            <w:pPr>
              <w:pStyle w:val="ListParagraph"/>
              <w:numPr>
                <w:ilvl w:val="0"/>
                <w:numId w:val="17"/>
              </w:numPr>
              <w:spacing w:after="0" w:line="240" w:lineRule="auto"/>
              <w:ind w:left="346" w:hanging="346"/>
              <w:rPr>
                <w:rFonts w:ascii="Times New Roman" w:hAnsi="Times New Roman" w:cs="Times New Roman"/>
              </w:rPr>
            </w:pPr>
            <w:r w:rsidRPr="009D71C6">
              <w:rPr>
                <w:rFonts w:ascii="Times New Roman" w:hAnsi="Times New Roman" w:cs="Times New Roman"/>
              </w:rPr>
              <w:t>21 replication plots established with 10 acres of land planted with drought tolerant crops</w:t>
            </w:r>
          </w:p>
        </w:tc>
      </w:tr>
      <w:tr w:rsidR="00C002AA" w:rsidRPr="009D71C6" w14:paraId="1E83C9C7" w14:textId="77777777" w:rsidTr="00D7264A">
        <w:trPr>
          <w:trHeight w:val="1227"/>
        </w:trPr>
        <w:tc>
          <w:tcPr>
            <w:tcW w:w="340" w:type="pct"/>
            <w:vMerge/>
            <w:tcBorders>
              <w:left w:val="single" w:sz="18" w:space="0" w:color="auto"/>
            </w:tcBorders>
            <w:shd w:val="clear" w:color="auto" w:fill="FFC000"/>
            <w:textDirection w:val="btLr"/>
            <w:vAlign w:val="center"/>
          </w:tcPr>
          <w:p w14:paraId="1D6AAA9F" w14:textId="77777777" w:rsidR="00C002AA" w:rsidRPr="009D71C6" w:rsidRDefault="00C002AA" w:rsidP="00D7264A">
            <w:pPr>
              <w:ind w:left="113" w:right="113"/>
              <w:jc w:val="center"/>
              <w:rPr>
                <w:rFonts w:ascii="Times New Roman" w:hAnsi="Times New Roman" w:cs="Times New Roman"/>
              </w:rPr>
            </w:pPr>
          </w:p>
        </w:tc>
        <w:tc>
          <w:tcPr>
            <w:tcW w:w="1151" w:type="pct"/>
            <w:vMerge/>
          </w:tcPr>
          <w:p w14:paraId="202049FD" w14:textId="77777777" w:rsidR="00C002AA" w:rsidRPr="009D71C6" w:rsidRDefault="00C002AA" w:rsidP="009D71C6">
            <w:pPr>
              <w:jc w:val="both"/>
              <w:rPr>
                <w:rFonts w:ascii="Times New Roman" w:hAnsi="Times New Roman" w:cs="Times New Roman"/>
                <w:b/>
                <w:bCs/>
              </w:rPr>
            </w:pPr>
          </w:p>
        </w:tc>
        <w:tc>
          <w:tcPr>
            <w:tcW w:w="865" w:type="pct"/>
          </w:tcPr>
          <w:p w14:paraId="11C3398B"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1112: Percent of households using conservation agriculture practices </w:t>
            </w:r>
          </w:p>
          <w:p w14:paraId="098339AE" w14:textId="77777777" w:rsidR="00C002AA" w:rsidRPr="009D71C6" w:rsidRDefault="00C002AA" w:rsidP="009D71C6">
            <w:pPr>
              <w:jc w:val="both"/>
              <w:rPr>
                <w:rFonts w:ascii="Times New Roman" w:hAnsi="Times New Roman" w:cs="Times New Roman"/>
              </w:rPr>
            </w:pPr>
          </w:p>
        </w:tc>
        <w:tc>
          <w:tcPr>
            <w:tcW w:w="416" w:type="pct"/>
            <w:tcBorders>
              <w:top w:val="single" w:sz="18" w:space="0" w:color="auto"/>
            </w:tcBorders>
          </w:tcPr>
          <w:p w14:paraId="0A4873D3" w14:textId="77777777" w:rsidR="00C002AA" w:rsidRPr="009D71C6" w:rsidRDefault="00C002AA" w:rsidP="00D7264A">
            <w:pPr>
              <w:rPr>
                <w:rFonts w:ascii="Times New Roman" w:hAnsi="Times New Roman" w:cs="Times New Roman"/>
              </w:rPr>
            </w:pPr>
          </w:p>
          <w:p w14:paraId="18900E31"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697D2B8A"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(disaggregated by sex and age)</w:t>
            </w:r>
          </w:p>
        </w:tc>
        <w:tc>
          <w:tcPr>
            <w:tcW w:w="417" w:type="pct"/>
          </w:tcPr>
          <w:p w14:paraId="01FC40C0"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Increased by 35% by 2020</w:t>
            </w:r>
          </w:p>
          <w:p w14:paraId="454CC3A4" w14:textId="77777777" w:rsidR="00C002AA" w:rsidRPr="009D71C6" w:rsidRDefault="00C002AA" w:rsidP="00D7264A">
            <w:pPr>
              <w:rPr>
                <w:rFonts w:ascii="Times New Roman" w:hAnsi="Times New Roman" w:cs="Times New Roman"/>
              </w:rPr>
            </w:pPr>
          </w:p>
          <w:p w14:paraId="2CFA45C5" w14:textId="77777777" w:rsidR="00C002AA" w:rsidRPr="009D71C6" w:rsidRDefault="00C002AA" w:rsidP="00D7264A">
            <w:pPr>
              <w:rPr>
                <w:rFonts w:ascii="Times New Roman" w:hAnsi="Times New Roman" w:cs="Times New Roman"/>
              </w:rPr>
            </w:pPr>
          </w:p>
        </w:tc>
        <w:tc>
          <w:tcPr>
            <w:tcW w:w="400" w:type="pct"/>
            <w:vMerge/>
          </w:tcPr>
          <w:p w14:paraId="18536339" w14:textId="77777777" w:rsidR="00C002AA" w:rsidRPr="009D71C6" w:rsidRDefault="00C002AA" w:rsidP="00D7264A">
            <w:pPr>
              <w:rPr>
                <w:rFonts w:ascii="Times New Roman" w:hAnsi="Times New Roman" w:cs="Times New Roman"/>
              </w:rPr>
            </w:pPr>
          </w:p>
        </w:tc>
        <w:tc>
          <w:tcPr>
            <w:tcW w:w="1411" w:type="pct"/>
            <w:shd w:val="clear" w:color="auto" w:fill="FBD4B4" w:themeFill="accent6" w:themeFillTint="66"/>
          </w:tcPr>
          <w:p w14:paraId="52122E37" w14:textId="77777777" w:rsidR="00C002AA" w:rsidRPr="009D71C6" w:rsidRDefault="00C002AA" w:rsidP="009D71C6">
            <w:pPr>
              <w:pStyle w:val="ListParagraph"/>
              <w:numPr>
                <w:ilvl w:val="0"/>
                <w:numId w:val="17"/>
              </w:numPr>
              <w:spacing w:after="0" w:line="240" w:lineRule="auto"/>
              <w:ind w:left="346" w:hanging="346"/>
              <w:rPr>
                <w:rFonts w:ascii="Times New Roman" w:hAnsi="Times New Roman" w:cs="Times New Roman"/>
                <w:b/>
              </w:rPr>
            </w:pPr>
            <w:r w:rsidRPr="009D71C6">
              <w:rPr>
                <w:rFonts w:ascii="Times New Roman" w:hAnsi="Times New Roman" w:cs="Times New Roman"/>
              </w:rPr>
              <w:t>1148 farmers were trained in climate smart agriculture (farmers used as a proxy for households)</w:t>
            </w:r>
          </w:p>
        </w:tc>
      </w:tr>
      <w:tr w:rsidR="00C002AA" w:rsidRPr="009D71C6" w14:paraId="2E7757FC" w14:textId="77777777" w:rsidTr="00D7264A">
        <w:trPr>
          <w:trHeight w:val="1227"/>
        </w:trPr>
        <w:tc>
          <w:tcPr>
            <w:tcW w:w="340" w:type="pct"/>
            <w:vMerge/>
            <w:tcBorders>
              <w:left w:val="single" w:sz="18" w:space="0" w:color="auto"/>
            </w:tcBorders>
            <w:shd w:val="clear" w:color="auto" w:fill="FFC000"/>
            <w:textDirection w:val="btLr"/>
            <w:vAlign w:val="center"/>
          </w:tcPr>
          <w:p w14:paraId="40E089F2" w14:textId="77777777" w:rsidR="00C002AA" w:rsidRPr="009D71C6" w:rsidRDefault="00C002AA" w:rsidP="00D7264A">
            <w:pPr>
              <w:ind w:left="113" w:right="113"/>
              <w:jc w:val="center"/>
              <w:rPr>
                <w:rFonts w:ascii="Times New Roman" w:hAnsi="Times New Roman" w:cs="Times New Roman"/>
              </w:rPr>
            </w:pPr>
          </w:p>
        </w:tc>
        <w:tc>
          <w:tcPr>
            <w:tcW w:w="1151" w:type="pct"/>
            <w:vMerge/>
          </w:tcPr>
          <w:p w14:paraId="0118DAAA" w14:textId="77777777" w:rsidR="00C002AA" w:rsidRPr="009D71C6" w:rsidRDefault="00C002AA" w:rsidP="009D71C6">
            <w:pPr>
              <w:jc w:val="both"/>
              <w:rPr>
                <w:rFonts w:ascii="Times New Roman" w:hAnsi="Times New Roman" w:cs="Times New Roman"/>
                <w:b/>
                <w:bCs/>
              </w:rPr>
            </w:pPr>
          </w:p>
        </w:tc>
        <w:tc>
          <w:tcPr>
            <w:tcW w:w="865" w:type="pct"/>
          </w:tcPr>
          <w:p w14:paraId="7F116737" w14:textId="6E21D1A0" w:rsidR="00C002AA" w:rsidRPr="009D71C6" w:rsidRDefault="00C002AA" w:rsidP="009D71C6">
            <w:pPr>
              <w:jc w:val="both"/>
              <w:rPr>
                <w:rFonts w:ascii="Times New Roman" w:hAnsi="Times New Roman" w:cs="Times New Roman"/>
              </w:rPr>
            </w:pPr>
            <w:r w:rsidRPr="009D71C6">
              <w:rPr>
                <w:rFonts w:ascii="Times New Roman" w:hAnsi="Times New Roman" w:cs="Times New Roman"/>
              </w:rPr>
              <w:t>1113: Percent of persons who are aware of emergency procedures in the event of a hazard</w:t>
            </w:r>
          </w:p>
        </w:tc>
        <w:tc>
          <w:tcPr>
            <w:tcW w:w="416" w:type="pct"/>
            <w:tcBorders>
              <w:top w:val="single" w:sz="18" w:space="0" w:color="auto"/>
            </w:tcBorders>
          </w:tcPr>
          <w:p w14:paraId="59B1A6F9"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0F5F759A"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disaggregated by sex and age</w:t>
            </w:r>
          </w:p>
        </w:tc>
        <w:tc>
          <w:tcPr>
            <w:tcW w:w="417" w:type="pct"/>
          </w:tcPr>
          <w:p w14:paraId="5C2F51F0"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Increased by 50% by 2020</w:t>
            </w:r>
          </w:p>
          <w:p w14:paraId="78EEADC8" w14:textId="77777777" w:rsidR="00C002AA" w:rsidRPr="009D71C6" w:rsidRDefault="00C002AA" w:rsidP="00D7264A">
            <w:pPr>
              <w:rPr>
                <w:rFonts w:ascii="Times New Roman" w:hAnsi="Times New Roman" w:cs="Times New Roman"/>
              </w:rPr>
            </w:pPr>
          </w:p>
        </w:tc>
        <w:tc>
          <w:tcPr>
            <w:tcW w:w="400" w:type="pct"/>
            <w:vMerge/>
          </w:tcPr>
          <w:p w14:paraId="778DCF75" w14:textId="77777777" w:rsidR="00C002AA" w:rsidRPr="009D71C6" w:rsidRDefault="00C002AA" w:rsidP="00D7264A">
            <w:pPr>
              <w:rPr>
                <w:rFonts w:ascii="Times New Roman" w:hAnsi="Times New Roman" w:cs="Times New Roman"/>
              </w:rPr>
            </w:pPr>
          </w:p>
        </w:tc>
        <w:tc>
          <w:tcPr>
            <w:tcW w:w="1411" w:type="pct"/>
            <w:shd w:val="clear" w:color="auto" w:fill="FBD4B4" w:themeFill="accent6" w:themeFillTint="66"/>
          </w:tcPr>
          <w:p w14:paraId="165CBACF" w14:textId="77777777" w:rsidR="00C002AA" w:rsidRPr="009D71C6" w:rsidRDefault="00C002AA" w:rsidP="009D71C6">
            <w:pPr>
              <w:pStyle w:val="ListParagraph"/>
              <w:numPr>
                <w:ilvl w:val="0"/>
                <w:numId w:val="16"/>
              </w:numPr>
              <w:spacing w:after="0" w:line="240" w:lineRule="auto"/>
              <w:ind w:left="256" w:hanging="270"/>
              <w:rPr>
                <w:rFonts w:ascii="Times New Roman" w:hAnsi="Times New Roman" w:cs="Times New Roman"/>
              </w:rPr>
            </w:pPr>
            <w:r w:rsidRPr="009D71C6">
              <w:rPr>
                <w:rFonts w:ascii="Times New Roman" w:hAnsi="Times New Roman" w:cs="Times New Roman"/>
              </w:rPr>
              <w:t>206 persons trained in DRR</w:t>
            </w:r>
          </w:p>
          <w:p w14:paraId="7E77620D" w14:textId="77777777" w:rsidR="00C002AA" w:rsidRPr="009D71C6" w:rsidRDefault="00C002AA" w:rsidP="009D71C6">
            <w:pPr>
              <w:pStyle w:val="ListParagraph"/>
              <w:numPr>
                <w:ilvl w:val="0"/>
                <w:numId w:val="16"/>
              </w:numPr>
              <w:spacing w:after="0" w:line="240" w:lineRule="auto"/>
              <w:ind w:left="256" w:hanging="270"/>
              <w:rPr>
                <w:rFonts w:ascii="Times New Roman" w:hAnsi="Times New Roman" w:cs="Times New Roman"/>
              </w:rPr>
            </w:pPr>
            <w:r w:rsidRPr="009D71C6">
              <w:rPr>
                <w:rFonts w:ascii="Times New Roman" w:hAnsi="Times New Roman" w:cs="Times New Roman"/>
              </w:rPr>
              <w:t>102 CERTs</w:t>
            </w:r>
          </w:p>
          <w:p w14:paraId="44F9782B" w14:textId="77777777" w:rsidR="00C002AA" w:rsidRPr="009D71C6" w:rsidRDefault="00C002AA" w:rsidP="009D71C6">
            <w:pPr>
              <w:pStyle w:val="ListParagraph"/>
              <w:numPr>
                <w:ilvl w:val="0"/>
                <w:numId w:val="16"/>
              </w:numPr>
              <w:spacing w:after="0" w:line="240" w:lineRule="auto"/>
              <w:ind w:left="256" w:hanging="270"/>
              <w:rPr>
                <w:rFonts w:ascii="Times New Roman" w:hAnsi="Times New Roman" w:cs="Times New Roman"/>
              </w:rPr>
            </w:pPr>
            <w:r w:rsidRPr="009D71C6">
              <w:rPr>
                <w:rFonts w:ascii="Times New Roman" w:hAnsi="Times New Roman" w:cs="Times New Roman"/>
              </w:rPr>
              <w:t>11p trained in Light Search and Rescue</w:t>
            </w:r>
          </w:p>
          <w:p w14:paraId="3183F5BE" w14:textId="77777777" w:rsidR="00C002AA" w:rsidRPr="009D71C6" w:rsidRDefault="00C002AA" w:rsidP="009D71C6">
            <w:pPr>
              <w:pStyle w:val="ListParagraph"/>
              <w:numPr>
                <w:ilvl w:val="0"/>
                <w:numId w:val="16"/>
              </w:numPr>
              <w:spacing w:after="0" w:line="240" w:lineRule="auto"/>
              <w:ind w:left="256" w:hanging="270"/>
              <w:rPr>
                <w:rFonts w:ascii="Times New Roman" w:hAnsi="Times New Roman" w:cs="Times New Roman"/>
              </w:rPr>
            </w:pPr>
            <w:r w:rsidRPr="009D71C6">
              <w:rPr>
                <w:rFonts w:ascii="Times New Roman" w:hAnsi="Times New Roman" w:cs="Times New Roman"/>
              </w:rPr>
              <w:t>106 trained in First Aid</w:t>
            </w:r>
          </w:p>
        </w:tc>
      </w:tr>
      <w:tr w:rsidR="00C002AA" w:rsidRPr="009D71C6" w14:paraId="40A61ACA" w14:textId="77777777" w:rsidTr="009D71C6">
        <w:trPr>
          <w:trHeight w:val="1323"/>
        </w:trPr>
        <w:tc>
          <w:tcPr>
            <w:tcW w:w="340" w:type="pct"/>
            <w:vMerge/>
            <w:tcBorders>
              <w:left w:val="single" w:sz="18" w:space="0" w:color="auto"/>
            </w:tcBorders>
            <w:shd w:val="clear" w:color="auto" w:fill="FFC000"/>
            <w:textDirection w:val="btLr"/>
            <w:vAlign w:val="center"/>
          </w:tcPr>
          <w:p w14:paraId="33772FD8" w14:textId="77777777" w:rsidR="00C002AA" w:rsidRPr="009D71C6" w:rsidRDefault="00C002AA" w:rsidP="00D7264A">
            <w:pPr>
              <w:ind w:left="113" w:right="113"/>
              <w:jc w:val="center"/>
              <w:rPr>
                <w:rFonts w:ascii="Times New Roman" w:hAnsi="Times New Roman" w:cs="Times New Roman"/>
              </w:rPr>
            </w:pPr>
          </w:p>
        </w:tc>
        <w:tc>
          <w:tcPr>
            <w:tcW w:w="1151" w:type="pct"/>
            <w:vMerge/>
          </w:tcPr>
          <w:p w14:paraId="7E734E60" w14:textId="77777777" w:rsidR="00C002AA" w:rsidRPr="009D71C6" w:rsidRDefault="00C002AA" w:rsidP="009D71C6">
            <w:pPr>
              <w:jc w:val="both"/>
              <w:rPr>
                <w:rFonts w:ascii="Times New Roman" w:hAnsi="Times New Roman" w:cs="Times New Roman"/>
                <w:b/>
                <w:bCs/>
              </w:rPr>
            </w:pPr>
          </w:p>
        </w:tc>
        <w:tc>
          <w:tcPr>
            <w:tcW w:w="865" w:type="pct"/>
          </w:tcPr>
          <w:p w14:paraId="2892C212"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1114: Percent of persons who know sources of information to describe weather variability and future climate patterns</w:t>
            </w:r>
          </w:p>
        </w:tc>
        <w:tc>
          <w:tcPr>
            <w:tcW w:w="416" w:type="pct"/>
            <w:tcBorders>
              <w:top w:val="single" w:sz="18" w:space="0" w:color="auto"/>
            </w:tcBorders>
          </w:tcPr>
          <w:p w14:paraId="212BF67F"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73C5B881" w14:textId="55C7D421" w:rsidR="00C002AA" w:rsidRPr="009D71C6" w:rsidRDefault="00C002AA" w:rsidP="009D71C6">
            <w:pPr>
              <w:rPr>
                <w:rFonts w:ascii="Times New Roman" w:hAnsi="Times New Roman" w:cs="Times New Roman"/>
              </w:rPr>
            </w:pPr>
            <w:r w:rsidRPr="009D71C6">
              <w:rPr>
                <w:rFonts w:ascii="Times New Roman" w:hAnsi="Times New Roman" w:cs="Times New Roman"/>
              </w:rPr>
              <w:t>disaggregated by sex and age)</w:t>
            </w:r>
          </w:p>
        </w:tc>
        <w:tc>
          <w:tcPr>
            <w:tcW w:w="417" w:type="pct"/>
          </w:tcPr>
          <w:p w14:paraId="034430AB" w14:textId="77777777" w:rsidR="00C002AA" w:rsidRPr="009D71C6" w:rsidRDefault="00C002AA" w:rsidP="00D7264A">
            <w:pPr>
              <w:rPr>
                <w:rFonts w:ascii="Times New Roman" w:hAnsi="Times New Roman" w:cs="Times New Roman"/>
              </w:rPr>
            </w:pPr>
          </w:p>
          <w:p w14:paraId="6A0BB0B6"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20% by 2020</w:t>
            </w:r>
          </w:p>
        </w:tc>
        <w:tc>
          <w:tcPr>
            <w:tcW w:w="400" w:type="pct"/>
            <w:vMerge/>
          </w:tcPr>
          <w:p w14:paraId="5D8736D8" w14:textId="77777777" w:rsidR="00C002AA" w:rsidRPr="009D71C6" w:rsidRDefault="00C002AA" w:rsidP="00D7264A">
            <w:pPr>
              <w:rPr>
                <w:rFonts w:ascii="Times New Roman" w:hAnsi="Times New Roman" w:cs="Times New Roman"/>
              </w:rPr>
            </w:pPr>
          </w:p>
        </w:tc>
        <w:tc>
          <w:tcPr>
            <w:tcW w:w="1411" w:type="pct"/>
            <w:shd w:val="clear" w:color="auto" w:fill="FBD4B4" w:themeFill="accent6" w:themeFillTint="66"/>
          </w:tcPr>
          <w:p w14:paraId="274FEF8F" w14:textId="77777777" w:rsidR="00C002AA" w:rsidRPr="009D71C6" w:rsidRDefault="00C002AA" w:rsidP="009D71C6">
            <w:pPr>
              <w:pStyle w:val="ListParagraph"/>
              <w:numPr>
                <w:ilvl w:val="0"/>
                <w:numId w:val="16"/>
              </w:numPr>
              <w:spacing w:after="0" w:line="240" w:lineRule="auto"/>
              <w:ind w:left="256" w:hanging="270"/>
              <w:rPr>
                <w:rFonts w:ascii="Times New Roman" w:hAnsi="Times New Roman" w:cs="Times New Roman"/>
              </w:rPr>
            </w:pPr>
            <w:r w:rsidRPr="009D71C6">
              <w:rPr>
                <w:rFonts w:ascii="Times New Roman" w:hAnsi="Times New Roman" w:cs="Times New Roman"/>
              </w:rPr>
              <w:t>236 Community DRR and CCA events were held with 6118 persons in attendance</w:t>
            </w:r>
          </w:p>
        </w:tc>
      </w:tr>
      <w:tr w:rsidR="00C002AA" w:rsidRPr="009D71C6" w14:paraId="70921D5A" w14:textId="77777777" w:rsidTr="00D7264A">
        <w:trPr>
          <w:trHeight w:val="713"/>
        </w:trPr>
        <w:tc>
          <w:tcPr>
            <w:tcW w:w="340" w:type="pct"/>
            <w:vMerge/>
            <w:tcBorders>
              <w:left w:val="single" w:sz="18" w:space="0" w:color="auto"/>
            </w:tcBorders>
            <w:shd w:val="clear" w:color="auto" w:fill="FFC000"/>
          </w:tcPr>
          <w:p w14:paraId="3F5E890E" w14:textId="77777777" w:rsidR="00C002AA" w:rsidRPr="009D71C6" w:rsidRDefault="00C002AA" w:rsidP="00D7264A">
            <w:pPr>
              <w:rPr>
                <w:rFonts w:ascii="Times New Roman" w:hAnsi="Times New Roman" w:cs="Times New Roman"/>
              </w:rPr>
            </w:pPr>
          </w:p>
        </w:tc>
        <w:tc>
          <w:tcPr>
            <w:tcW w:w="1151" w:type="pct"/>
            <w:vMerge w:val="restart"/>
          </w:tcPr>
          <w:p w14:paraId="28BCB77A"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b/>
                <w:bCs/>
              </w:rPr>
              <w:t>1120-</w:t>
            </w:r>
            <w:r w:rsidRPr="009D71C6">
              <w:rPr>
                <w:rFonts w:ascii="Times New Roman" w:hAnsi="Times New Roman" w:cs="Times New Roman"/>
                <w:lang w:val="en-CA"/>
              </w:rPr>
              <w:t xml:space="preserve">Regional gender </w:t>
            </w:r>
            <w:proofErr w:type="gramStart"/>
            <w:r w:rsidRPr="009D71C6">
              <w:rPr>
                <w:rFonts w:ascii="Times New Roman" w:hAnsi="Times New Roman" w:cs="Times New Roman"/>
                <w:lang w:val="en-CA"/>
              </w:rPr>
              <w:t xml:space="preserve">sensitive  </w:t>
            </w:r>
            <w:r w:rsidRPr="009D71C6">
              <w:rPr>
                <w:rFonts w:ascii="Times New Roman" w:hAnsi="Times New Roman" w:cs="Times New Roman"/>
                <w:u w:val="single"/>
                <w:lang w:val="en-CA"/>
              </w:rPr>
              <w:t>knowledge</w:t>
            </w:r>
            <w:proofErr w:type="gramEnd"/>
            <w:r w:rsidRPr="009D71C6">
              <w:rPr>
                <w:rFonts w:ascii="Times New Roman" w:hAnsi="Times New Roman" w:cs="Times New Roman"/>
                <w:lang w:val="en-CA"/>
              </w:rPr>
              <w:t xml:space="preserve"> of reducing risk to natural disaster and climate change at community level </w:t>
            </w:r>
            <w:r w:rsidRPr="009D71C6">
              <w:rPr>
                <w:rFonts w:ascii="Times New Roman" w:hAnsi="Times New Roman" w:cs="Times New Roman"/>
                <w:u w:val="single"/>
                <w:lang w:val="en-CA"/>
              </w:rPr>
              <w:t>improved</w:t>
            </w:r>
            <w:r w:rsidRPr="009D71C6">
              <w:rPr>
                <w:rFonts w:ascii="Times New Roman" w:hAnsi="Times New Roman" w:cs="Times New Roman"/>
                <w:lang w:val="en-CA"/>
              </w:rPr>
              <w:t xml:space="preserve"> amongst DRM, environment and, social sector practitioners, public sector agencies, regional development and training institutions</w:t>
            </w:r>
          </w:p>
        </w:tc>
        <w:tc>
          <w:tcPr>
            <w:tcW w:w="865" w:type="pct"/>
          </w:tcPr>
          <w:p w14:paraId="6AD7918B"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1121: Percent of community level stakeholders (outreach personnel) who </w:t>
            </w:r>
            <w:proofErr w:type="gramStart"/>
            <w:r w:rsidRPr="009D71C6">
              <w:rPr>
                <w:rFonts w:ascii="Times New Roman" w:hAnsi="Times New Roman" w:cs="Times New Roman"/>
              </w:rPr>
              <w:t>are able to</w:t>
            </w:r>
            <w:proofErr w:type="gramEnd"/>
            <w:r w:rsidRPr="009D71C6">
              <w:rPr>
                <w:rFonts w:ascii="Times New Roman" w:hAnsi="Times New Roman" w:cs="Times New Roman"/>
              </w:rPr>
              <w:t xml:space="preserve"> link climate trends to impacts on livelihood.</w:t>
            </w:r>
          </w:p>
          <w:p w14:paraId="6AF7739C" w14:textId="77777777" w:rsidR="00C002AA" w:rsidRPr="009D71C6" w:rsidRDefault="00C002AA" w:rsidP="009D71C6">
            <w:pPr>
              <w:jc w:val="both"/>
              <w:rPr>
                <w:rFonts w:ascii="Times New Roman" w:hAnsi="Times New Roman" w:cs="Times New Roman"/>
              </w:rPr>
            </w:pPr>
          </w:p>
          <w:p w14:paraId="321B1A17" w14:textId="77777777" w:rsidR="00C002AA" w:rsidRPr="009D71C6" w:rsidRDefault="00C002AA" w:rsidP="009D71C6">
            <w:pPr>
              <w:jc w:val="both"/>
              <w:rPr>
                <w:rFonts w:ascii="Times New Roman" w:hAnsi="Times New Roman" w:cs="Times New Roman"/>
              </w:rPr>
            </w:pPr>
          </w:p>
        </w:tc>
        <w:tc>
          <w:tcPr>
            <w:tcW w:w="416" w:type="pct"/>
          </w:tcPr>
          <w:p w14:paraId="54C4A5EB"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w:t>
            </w:r>
          </w:p>
        </w:tc>
        <w:tc>
          <w:tcPr>
            <w:tcW w:w="417" w:type="pct"/>
          </w:tcPr>
          <w:p w14:paraId="171DFFBE"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Increased by 60% in 2018</w:t>
            </w:r>
          </w:p>
          <w:p w14:paraId="74E8C78E" w14:textId="77777777" w:rsidR="00C002AA" w:rsidRPr="009D71C6" w:rsidRDefault="00C002AA" w:rsidP="00D7264A">
            <w:pPr>
              <w:rPr>
                <w:rFonts w:ascii="Times New Roman" w:hAnsi="Times New Roman" w:cs="Times New Roman"/>
              </w:rPr>
            </w:pPr>
          </w:p>
          <w:p w14:paraId="213C80E2"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60% by 2020</w:t>
            </w:r>
          </w:p>
        </w:tc>
        <w:tc>
          <w:tcPr>
            <w:tcW w:w="400" w:type="pct"/>
          </w:tcPr>
          <w:p w14:paraId="29291FF7"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Monthly and quarterly reports and report from CERT training</w:t>
            </w:r>
          </w:p>
        </w:tc>
        <w:tc>
          <w:tcPr>
            <w:tcW w:w="1411" w:type="pct"/>
            <w:shd w:val="clear" w:color="auto" w:fill="FBD4B4" w:themeFill="accent6" w:themeFillTint="66"/>
          </w:tcPr>
          <w:p w14:paraId="29BC139C" w14:textId="77777777" w:rsidR="00C002AA" w:rsidRPr="009D71C6" w:rsidRDefault="00C002AA" w:rsidP="009D71C6">
            <w:pPr>
              <w:pStyle w:val="ListParagraph"/>
              <w:ind w:left="256" w:hanging="270"/>
              <w:rPr>
                <w:rFonts w:ascii="Times New Roman" w:hAnsi="Times New Roman" w:cs="Times New Roman"/>
              </w:rPr>
            </w:pPr>
          </w:p>
          <w:p w14:paraId="2F490916" w14:textId="77777777" w:rsidR="00C002AA" w:rsidRPr="009D71C6" w:rsidRDefault="00C002AA" w:rsidP="009D71C6">
            <w:pPr>
              <w:numPr>
                <w:ilvl w:val="0"/>
                <w:numId w:val="1"/>
              </w:numPr>
              <w:spacing w:after="0" w:line="240" w:lineRule="auto"/>
              <w:ind w:left="256" w:hanging="270"/>
              <w:rPr>
                <w:rFonts w:ascii="Times New Roman" w:hAnsi="Times New Roman" w:cs="Times New Roman"/>
              </w:rPr>
            </w:pPr>
            <w:r w:rsidRPr="009D71C6">
              <w:rPr>
                <w:rFonts w:ascii="Times New Roman" w:hAnsi="Times New Roman" w:cs="Times New Roman"/>
              </w:rPr>
              <w:t xml:space="preserve">Jamaica, May 2019 – the Social Development Commission (SDC) completed 32 draft community profiles and LBA </w:t>
            </w:r>
          </w:p>
          <w:p w14:paraId="1FEE5A6D" w14:textId="77777777" w:rsidR="00C002AA" w:rsidRPr="009D71C6" w:rsidRDefault="00C002AA" w:rsidP="009D71C6">
            <w:pPr>
              <w:numPr>
                <w:ilvl w:val="0"/>
                <w:numId w:val="1"/>
              </w:numPr>
              <w:spacing w:after="0" w:line="240" w:lineRule="auto"/>
              <w:ind w:left="256" w:hanging="270"/>
              <w:rPr>
                <w:rFonts w:ascii="Times New Roman" w:hAnsi="Times New Roman" w:cs="Times New Roman"/>
              </w:rPr>
            </w:pPr>
            <w:r w:rsidRPr="009D71C6">
              <w:rPr>
                <w:rFonts w:ascii="Times New Roman" w:hAnsi="Times New Roman" w:cs="Times New Roman"/>
              </w:rPr>
              <w:t>St. Vincent and the Grenadines, October 2019 – Community Development Division (DRD) Completed 11 draft community profiles and LBAs</w:t>
            </w:r>
          </w:p>
          <w:p w14:paraId="7494190E" w14:textId="2273C696" w:rsidR="00C002AA" w:rsidRPr="009D71C6" w:rsidRDefault="00C002AA" w:rsidP="009D71C6">
            <w:pPr>
              <w:numPr>
                <w:ilvl w:val="0"/>
                <w:numId w:val="1"/>
              </w:numPr>
              <w:spacing w:after="0" w:line="240" w:lineRule="auto"/>
              <w:ind w:left="256" w:hanging="270"/>
              <w:rPr>
                <w:rFonts w:ascii="Times New Roman" w:hAnsi="Times New Roman" w:cs="Times New Roman"/>
              </w:rPr>
            </w:pPr>
            <w:r w:rsidRPr="009D71C6">
              <w:rPr>
                <w:rFonts w:ascii="Times New Roman" w:hAnsi="Times New Roman" w:cs="Times New Roman"/>
              </w:rPr>
              <w:t>Belize, October 2019 - Department for Rural Development (DRD) completed 11 draft community profiles and LBAs</w:t>
            </w:r>
          </w:p>
        </w:tc>
      </w:tr>
      <w:tr w:rsidR="00C002AA" w:rsidRPr="009D71C6" w14:paraId="157CD5CB" w14:textId="77777777" w:rsidTr="00D7264A">
        <w:trPr>
          <w:trHeight w:val="353"/>
        </w:trPr>
        <w:tc>
          <w:tcPr>
            <w:tcW w:w="340" w:type="pct"/>
            <w:vMerge/>
            <w:tcBorders>
              <w:left w:val="single" w:sz="18" w:space="0" w:color="auto"/>
            </w:tcBorders>
            <w:shd w:val="clear" w:color="auto" w:fill="FFC000"/>
          </w:tcPr>
          <w:p w14:paraId="307CFBDC" w14:textId="77777777" w:rsidR="00C002AA" w:rsidRPr="009D71C6" w:rsidRDefault="00C002AA" w:rsidP="00D7264A">
            <w:pPr>
              <w:rPr>
                <w:rFonts w:ascii="Times New Roman" w:hAnsi="Times New Roman" w:cs="Times New Roman"/>
              </w:rPr>
            </w:pPr>
          </w:p>
        </w:tc>
        <w:tc>
          <w:tcPr>
            <w:tcW w:w="1151" w:type="pct"/>
            <w:vMerge/>
          </w:tcPr>
          <w:p w14:paraId="45D6EBA2" w14:textId="77777777" w:rsidR="00C002AA" w:rsidRPr="009D71C6" w:rsidRDefault="00C002AA" w:rsidP="009D71C6">
            <w:pPr>
              <w:jc w:val="both"/>
              <w:rPr>
                <w:rFonts w:ascii="Times New Roman" w:hAnsi="Times New Roman" w:cs="Times New Roman"/>
                <w:b/>
                <w:bCs/>
              </w:rPr>
            </w:pPr>
          </w:p>
        </w:tc>
        <w:tc>
          <w:tcPr>
            <w:tcW w:w="865" w:type="pct"/>
          </w:tcPr>
          <w:p w14:paraId="611A6EFB"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1122: Percent of community level stakeholders (outreach personnel) are aware of appropriate adaptation strategies for the local context </w:t>
            </w:r>
          </w:p>
          <w:p w14:paraId="4E2077D0" w14:textId="77777777" w:rsidR="00C002AA" w:rsidRPr="009D71C6" w:rsidRDefault="00C002AA" w:rsidP="009D71C6">
            <w:pPr>
              <w:jc w:val="both"/>
              <w:rPr>
                <w:rFonts w:ascii="Times New Roman" w:hAnsi="Times New Roman" w:cs="Times New Roman"/>
              </w:rPr>
            </w:pPr>
          </w:p>
          <w:p w14:paraId="4EA13E3A" w14:textId="77777777" w:rsidR="00C002AA" w:rsidRPr="009D71C6" w:rsidRDefault="00C002AA" w:rsidP="009D71C6">
            <w:pPr>
              <w:jc w:val="both"/>
              <w:rPr>
                <w:rFonts w:ascii="Times New Roman" w:hAnsi="Times New Roman" w:cs="Times New Roman"/>
              </w:rPr>
            </w:pPr>
          </w:p>
        </w:tc>
        <w:tc>
          <w:tcPr>
            <w:tcW w:w="416" w:type="pct"/>
          </w:tcPr>
          <w:p w14:paraId="1ADD24D8"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lastRenderedPageBreak/>
              <w:t>TBD</w:t>
            </w:r>
          </w:p>
        </w:tc>
        <w:tc>
          <w:tcPr>
            <w:tcW w:w="417" w:type="pct"/>
          </w:tcPr>
          <w:p w14:paraId="30DB29EB"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Increased by 60% in 2018</w:t>
            </w:r>
          </w:p>
          <w:p w14:paraId="62E3DFBB"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60% 2020</w:t>
            </w:r>
          </w:p>
        </w:tc>
        <w:tc>
          <w:tcPr>
            <w:tcW w:w="400" w:type="pct"/>
          </w:tcPr>
          <w:p w14:paraId="5B0AEE16"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 xml:space="preserve">Monthly and quarterly reports and report from CERT training </w:t>
            </w:r>
          </w:p>
        </w:tc>
        <w:tc>
          <w:tcPr>
            <w:tcW w:w="1411" w:type="pct"/>
            <w:shd w:val="clear" w:color="auto" w:fill="FBD4B4" w:themeFill="accent6" w:themeFillTint="66"/>
          </w:tcPr>
          <w:p w14:paraId="760F3DD2" w14:textId="77777777" w:rsidR="00C002AA" w:rsidRPr="009D71C6" w:rsidRDefault="00C002AA" w:rsidP="009D71C6">
            <w:pPr>
              <w:pStyle w:val="ListParagraph"/>
              <w:numPr>
                <w:ilvl w:val="0"/>
                <w:numId w:val="15"/>
              </w:numPr>
              <w:spacing w:after="0" w:line="240" w:lineRule="auto"/>
              <w:ind w:left="346" w:hanging="346"/>
              <w:rPr>
                <w:rFonts w:ascii="Times New Roman" w:hAnsi="Times New Roman" w:cs="Times New Roman"/>
              </w:rPr>
            </w:pPr>
            <w:r w:rsidRPr="009D71C6">
              <w:rPr>
                <w:rFonts w:ascii="Times New Roman" w:hAnsi="Times New Roman" w:cs="Times New Roman"/>
              </w:rPr>
              <w:t>568 community residents and leaders participated in capacity building workshops</w:t>
            </w:r>
          </w:p>
          <w:p w14:paraId="41C3A816" w14:textId="77777777" w:rsidR="00C002AA" w:rsidRPr="009D71C6" w:rsidRDefault="00C002AA" w:rsidP="009D71C6">
            <w:pPr>
              <w:numPr>
                <w:ilvl w:val="0"/>
                <w:numId w:val="14"/>
              </w:numPr>
              <w:spacing w:after="0" w:line="240" w:lineRule="auto"/>
              <w:ind w:left="346" w:hanging="346"/>
              <w:rPr>
                <w:rFonts w:ascii="Times New Roman" w:hAnsi="Times New Roman" w:cs="Times New Roman"/>
                <w:lang w:val="en-GB"/>
              </w:rPr>
            </w:pPr>
            <w:r w:rsidRPr="009D71C6">
              <w:rPr>
                <w:rFonts w:ascii="Times New Roman" w:hAnsi="Times New Roman" w:cs="Times New Roman"/>
                <w:lang w:val="en-GB"/>
              </w:rPr>
              <w:t xml:space="preserve">32 community groups drafted organisation’s vision, missions and objectives </w:t>
            </w:r>
          </w:p>
          <w:p w14:paraId="0A142525" w14:textId="77777777" w:rsidR="00C002AA" w:rsidRPr="009D71C6" w:rsidRDefault="00C002AA" w:rsidP="009D71C6">
            <w:pPr>
              <w:numPr>
                <w:ilvl w:val="0"/>
                <w:numId w:val="14"/>
              </w:numPr>
              <w:spacing w:after="0" w:line="240" w:lineRule="auto"/>
              <w:ind w:left="346" w:hanging="346"/>
              <w:rPr>
                <w:rFonts w:ascii="Times New Roman" w:hAnsi="Times New Roman" w:cs="Times New Roman"/>
                <w:lang w:val="en-GB"/>
              </w:rPr>
            </w:pPr>
            <w:r w:rsidRPr="009D71C6">
              <w:rPr>
                <w:rFonts w:ascii="Times New Roman" w:hAnsi="Times New Roman" w:cs="Times New Roman"/>
                <w:lang w:val="en-GB"/>
              </w:rPr>
              <w:t xml:space="preserve">28 community groups drafted community engagement plans </w:t>
            </w:r>
          </w:p>
          <w:p w14:paraId="41E1A50E" w14:textId="77777777" w:rsidR="00C002AA" w:rsidRPr="009D71C6" w:rsidRDefault="00C002AA" w:rsidP="009D71C6">
            <w:pPr>
              <w:numPr>
                <w:ilvl w:val="0"/>
                <w:numId w:val="14"/>
              </w:numPr>
              <w:spacing w:after="0" w:line="240" w:lineRule="auto"/>
              <w:ind w:left="346" w:hanging="346"/>
              <w:rPr>
                <w:rFonts w:ascii="Times New Roman" w:hAnsi="Times New Roman" w:cs="Times New Roman"/>
                <w:lang w:val="en-GB"/>
              </w:rPr>
            </w:pPr>
            <w:r w:rsidRPr="009D71C6">
              <w:rPr>
                <w:rFonts w:ascii="Times New Roman" w:hAnsi="Times New Roman" w:cs="Times New Roman"/>
                <w:lang w:val="en-GB"/>
              </w:rPr>
              <w:lastRenderedPageBreak/>
              <w:t xml:space="preserve">30 Caribbean Catastrophe Risk Insurance Facility community resilience concept </w:t>
            </w:r>
            <w:proofErr w:type="gramStart"/>
            <w:r w:rsidRPr="009D71C6">
              <w:rPr>
                <w:rFonts w:ascii="Times New Roman" w:hAnsi="Times New Roman" w:cs="Times New Roman"/>
                <w:lang w:val="en-GB"/>
              </w:rPr>
              <w:t>notes  prepared</w:t>
            </w:r>
            <w:proofErr w:type="gramEnd"/>
          </w:p>
          <w:p w14:paraId="105B313E" w14:textId="4E962BDA" w:rsidR="00C002AA" w:rsidRPr="009D71C6" w:rsidRDefault="00C002AA" w:rsidP="009D71C6">
            <w:pPr>
              <w:numPr>
                <w:ilvl w:val="0"/>
                <w:numId w:val="14"/>
              </w:numPr>
              <w:spacing w:after="0" w:line="240" w:lineRule="auto"/>
              <w:ind w:left="346" w:hanging="346"/>
              <w:rPr>
                <w:rFonts w:ascii="Times New Roman" w:hAnsi="Times New Roman" w:cs="Times New Roman"/>
              </w:rPr>
            </w:pPr>
            <w:r w:rsidRPr="009D71C6">
              <w:rPr>
                <w:rFonts w:ascii="Times New Roman" w:hAnsi="Times New Roman" w:cs="Times New Roman"/>
                <w:lang w:val="en-GB"/>
              </w:rPr>
              <w:t xml:space="preserve">14 Global Environmental Facility community resilience concept notes prepared </w:t>
            </w:r>
          </w:p>
        </w:tc>
      </w:tr>
      <w:tr w:rsidR="00C002AA" w:rsidRPr="009D71C6" w14:paraId="38711D05" w14:textId="77777777" w:rsidTr="00D7264A">
        <w:trPr>
          <w:trHeight w:val="2111"/>
        </w:trPr>
        <w:tc>
          <w:tcPr>
            <w:tcW w:w="340" w:type="pct"/>
            <w:vMerge/>
            <w:tcBorders>
              <w:left w:val="single" w:sz="18" w:space="0" w:color="auto"/>
            </w:tcBorders>
            <w:shd w:val="clear" w:color="auto" w:fill="FFC000"/>
          </w:tcPr>
          <w:p w14:paraId="71227E0C" w14:textId="77777777" w:rsidR="00C002AA" w:rsidRPr="009D71C6" w:rsidRDefault="00C002AA" w:rsidP="00D7264A">
            <w:pPr>
              <w:rPr>
                <w:rFonts w:ascii="Times New Roman" w:hAnsi="Times New Roman" w:cs="Times New Roman"/>
              </w:rPr>
            </w:pPr>
          </w:p>
        </w:tc>
        <w:tc>
          <w:tcPr>
            <w:tcW w:w="1151" w:type="pct"/>
            <w:vMerge/>
          </w:tcPr>
          <w:p w14:paraId="534A8021" w14:textId="77777777" w:rsidR="00C002AA" w:rsidRPr="009D71C6" w:rsidRDefault="00C002AA" w:rsidP="009D71C6">
            <w:pPr>
              <w:jc w:val="both"/>
              <w:rPr>
                <w:rFonts w:ascii="Times New Roman" w:hAnsi="Times New Roman" w:cs="Times New Roman"/>
                <w:b/>
                <w:bCs/>
              </w:rPr>
            </w:pPr>
          </w:p>
        </w:tc>
        <w:tc>
          <w:tcPr>
            <w:tcW w:w="865" w:type="pct"/>
          </w:tcPr>
          <w:p w14:paraId="6C224FDF"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1123: Number of </w:t>
            </w:r>
            <w:proofErr w:type="gramStart"/>
            <w:r w:rsidRPr="009D71C6">
              <w:rPr>
                <w:rFonts w:ascii="Times New Roman" w:hAnsi="Times New Roman" w:cs="Times New Roman"/>
              </w:rPr>
              <w:t>national  disaster</w:t>
            </w:r>
            <w:proofErr w:type="gramEnd"/>
            <w:r w:rsidRPr="009D71C6">
              <w:rPr>
                <w:rFonts w:ascii="Times New Roman" w:hAnsi="Times New Roman" w:cs="Times New Roman"/>
              </w:rPr>
              <w:t xml:space="preserve"> risk management, environment, and social sector practitioners participating in regional DRR and CC knowledge building activities</w:t>
            </w:r>
          </w:p>
          <w:p w14:paraId="7B5F0EB3" w14:textId="77777777" w:rsidR="00C002AA" w:rsidRPr="009D71C6" w:rsidRDefault="00C002AA" w:rsidP="009D71C6">
            <w:pPr>
              <w:jc w:val="both"/>
              <w:rPr>
                <w:rFonts w:ascii="Times New Roman" w:hAnsi="Times New Roman" w:cs="Times New Roman"/>
              </w:rPr>
            </w:pPr>
          </w:p>
        </w:tc>
        <w:tc>
          <w:tcPr>
            <w:tcW w:w="416" w:type="pct"/>
          </w:tcPr>
          <w:p w14:paraId="08C3F06D"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w:t>
            </w:r>
          </w:p>
        </w:tc>
        <w:tc>
          <w:tcPr>
            <w:tcW w:w="417" w:type="pct"/>
          </w:tcPr>
          <w:p w14:paraId="5FEB41C3"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10 by 2020</w:t>
            </w:r>
          </w:p>
          <w:p w14:paraId="5F46D092" w14:textId="77777777" w:rsidR="00C002AA" w:rsidRPr="009D71C6" w:rsidRDefault="00C002AA" w:rsidP="00D7264A">
            <w:pPr>
              <w:rPr>
                <w:rFonts w:ascii="Times New Roman" w:hAnsi="Times New Roman" w:cs="Times New Roman"/>
              </w:rPr>
            </w:pPr>
          </w:p>
        </w:tc>
        <w:tc>
          <w:tcPr>
            <w:tcW w:w="400" w:type="pct"/>
          </w:tcPr>
          <w:p w14:paraId="3ABC5F1C"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Workshop reports</w:t>
            </w:r>
          </w:p>
        </w:tc>
        <w:tc>
          <w:tcPr>
            <w:tcW w:w="1411" w:type="pct"/>
            <w:shd w:val="clear" w:color="auto" w:fill="FBD4B4" w:themeFill="accent6" w:themeFillTint="66"/>
          </w:tcPr>
          <w:p w14:paraId="6799887D" w14:textId="77777777" w:rsidR="00C002AA" w:rsidRPr="009D71C6" w:rsidRDefault="00C002AA" w:rsidP="009D71C6">
            <w:pPr>
              <w:pStyle w:val="ListParagraph"/>
              <w:numPr>
                <w:ilvl w:val="0"/>
                <w:numId w:val="15"/>
              </w:numPr>
              <w:spacing w:after="0" w:line="240" w:lineRule="auto"/>
              <w:ind w:left="346" w:hanging="346"/>
              <w:rPr>
                <w:rFonts w:ascii="Times New Roman" w:hAnsi="Times New Roman" w:cs="Times New Roman"/>
              </w:rPr>
            </w:pPr>
            <w:r w:rsidRPr="009D71C6">
              <w:rPr>
                <w:rFonts w:ascii="Times New Roman" w:hAnsi="Times New Roman" w:cs="Times New Roman"/>
              </w:rPr>
              <w:t xml:space="preserve">1-day workshop held for members of 4 water catchment and tank management committees in Jeffrey town- </w:t>
            </w:r>
          </w:p>
          <w:p w14:paraId="08162304" w14:textId="77777777" w:rsidR="00C002AA" w:rsidRPr="009D71C6" w:rsidRDefault="00C002AA" w:rsidP="009D71C6">
            <w:pPr>
              <w:pStyle w:val="ListParagraph"/>
              <w:numPr>
                <w:ilvl w:val="0"/>
                <w:numId w:val="15"/>
              </w:numPr>
              <w:spacing w:after="0" w:line="240" w:lineRule="auto"/>
              <w:ind w:left="346" w:hanging="346"/>
              <w:rPr>
                <w:rFonts w:ascii="Times New Roman" w:hAnsi="Times New Roman" w:cs="Times New Roman"/>
              </w:rPr>
            </w:pPr>
            <w:r w:rsidRPr="009D71C6">
              <w:rPr>
                <w:rFonts w:ascii="Times New Roman" w:hAnsi="Times New Roman" w:cs="Times New Roman"/>
              </w:rPr>
              <w:t>5-day workshop on project implementation and planning attended by 23 persons from national disaster offices in 15 CDB BMCs</w:t>
            </w:r>
          </w:p>
          <w:p w14:paraId="544A10BE" w14:textId="77777777" w:rsidR="00C002AA" w:rsidRPr="009D71C6" w:rsidRDefault="00C002AA" w:rsidP="009D71C6">
            <w:pPr>
              <w:pStyle w:val="ListParagraph"/>
              <w:numPr>
                <w:ilvl w:val="0"/>
                <w:numId w:val="15"/>
              </w:numPr>
              <w:spacing w:after="0" w:line="240" w:lineRule="auto"/>
              <w:ind w:left="346" w:hanging="346"/>
              <w:rPr>
                <w:rFonts w:ascii="Times New Roman" w:hAnsi="Times New Roman" w:cs="Times New Roman"/>
              </w:rPr>
            </w:pPr>
            <w:r w:rsidRPr="009D71C6">
              <w:rPr>
                <w:rFonts w:ascii="Times New Roman" w:hAnsi="Times New Roman" w:cs="Times New Roman"/>
              </w:rPr>
              <w:t xml:space="preserve">44 participants from 8 BMCs provided with training in the preparation of livelihood profiles- </w:t>
            </w:r>
          </w:p>
        </w:tc>
      </w:tr>
      <w:tr w:rsidR="00C002AA" w:rsidRPr="009D71C6" w14:paraId="27019035" w14:textId="77777777" w:rsidTr="00D7264A">
        <w:tc>
          <w:tcPr>
            <w:tcW w:w="340" w:type="pct"/>
            <w:vMerge/>
            <w:tcBorders>
              <w:left w:val="single" w:sz="18" w:space="0" w:color="auto"/>
            </w:tcBorders>
            <w:shd w:val="clear" w:color="auto" w:fill="FFC000"/>
          </w:tcPr>
          <w:p w14:paraId="6673140B" w14:textId="77777777" w:rsidR="00C002AA" w:rsidRPr="009D71C6" w:rsidRDefault="00C002AA" w:rsidP="00D7264A">
            <w:pPr>
              <w:rPr>
                <w:rFonts w:ascii="Times New Roman" w:hAnsi="Times New Roman" w:cs="Times New Roman"/>
              </w:rPr>
            </w:pPr>
          </w:p>
        </w:tc>
        <w:tc>
          <w:tcPr>
            <w:tcW w:w="1151" w:type="pct"/>
          </w:tcPr>
          <w:p w14:paraId="67D4D1EB"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b/>
                <w:bCs/>
                <w:lang w:val="en-CA"/>
              </w:rPr>
              <w:t xml:space="preserve">1130 - </w:t>
            </w:r>
            <w:r w:rsidRPr="009D71C6">
              <w:rPr>
                <w:rFonts w:ascii="Times New Roman" w:hAnsi="Times New Roman" w:cs="Times New Roman"/>
                <w:lang w:val="en-CA"/>
              </w:rPr>
              <w:t xml:space="preserve">Focused and </w:t>
            </w:r>
            <w:r w:rsidRPr="009D71C6">
              <w:rPr>
                <w:rFonts w:ascii="Times New Roman" w:hAnsi="Times New Roman" w:cs="Times New Roman"/>
                <w:u w:val="single"/>
                <w:lang w:val="en-CA"/>
              </w:rPr>
              <w:t>up-scaled/enhanced</w:t>
            </w:r>
            <w:r w:rsidRPr="009D71C6">
              <w:rPr>
                <w:rFonts w:ascii="Times New Roman" w:hAnsi="Times New Roman" w:cs="Times New Roman"/>
                <w:lang w:val="en-CA"/>
              </w:rPr>
              <w:t xml:space="preserve"> regional level </w:t>
            </w:r>
            <w:r w:rsidRPr="009D71C6">
              <w:rPr>
                <w:rFonts w:ascii="Times New Roman" w:hAnsi="Times New Roman" w:cs="Times New Roman"/>
                <w:u w:val="single"/>
                <w:lang w:val="en-CA"/>
              </w:rPr>
              <w:t>resourcing</w:t>
            </w:r>
            <w:r w:rsidRPr="009D71C6">
              <w:rPr>
                <w:rFonts w:ascii="Times New Roman" w:hAnsi="Times New Roman" w:cs="Times New Roman"/>
                <w:lang w:val="en-CA"/>
              </w:rPr>
              <w:t xml:space="preserve"> for building gender sensitive community level resilience to natural hazards and climate change impacts</w:t>
            </w:r>
          </w:p>
        </w:tc>
        <w:tc>
          <w:tcPr>
            <w:tcW w:w="865" w:type="pct"/>
          </w:tcPr>
          <w:p w14:paraId="6A862219" w14:textId="3E1A486B" w:rsidR="00C002AA" w:rsidRPr="009D71C6" w:rsidRDefault="00C002AA" w:rsidP="009D71C6">
            <w:pPr>
              <w:jc w:val="both"/>
              <w:rPr>
                <w:rFonts w:ascii="Times New Roman" w:hAnsi="Times New Roman" w:cs="Times New Roman"/>
              </w:rPr>
            </w:pPr>
            <w:r w:rsidRPr="009D71C6">
              <w:rPr>
                <w:rFonts w:ascii="Times New Roman" w:hAnsi="Times New Roman" w:cs="Times New Roman"/>
              </w:rPr>
              <w:t xml:space="preserve">1131: Value of investment (USD) for community-based, gender sensitive projects addressing </w:t>
            </w:r>
            <w:r w:rsidR="007E3897">
              <w:rPr>
                <w:rFonts w:ascii="Times New Roman" w:hAnsi="Times New Roman" w:cs="Times New Roman"/>
              </w:rPr>
              <w:t xml:space="preserve">DRR </w:t>
            </w:r>
            <w:r w:rsidRPr="009D71C6">
              <w:rPr>
                <w:rFonts w:ascii="Times New Roman" w:hAnsi="Times New Roman" w:cs="Times New Roman"/>
              </w:rPr>
              <w:t>and climate change impacts</w:t>
            </w:r>
          </w:p>
        </w:tc>
        <w:tc>
          <w:tcPr>
            <w:tcW w:w="416" w:type="pct"/>
          </w:tcPr>
          <w:p w14:paraId="36D71158"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0</w:t>
            </w:r>
          </w:p>
        </w:tc>
        <w:tc>
          <w:tcPr>
            <w:tcW w:w="417" w:type="pct"/>
          </w:tcPr>
          <w:p w14:paraId="73C124E6" w14:textId="77777777" w:rsidR="00C002AA" w:rsidRPr="009D71C6" w:rsidRDefault="00C002AA" w:rsidP="00D7264A">
            <w:pPr>
              <w:rPr>
                <w:rFonts w:ascii="Times New Roman" w:hAnsi="Times New Roman" w:cs="Times New Roman"/>
                <w:highlight w:val="yellow"/>
              </w:rPr>
            </w:pPr>
          </w:p>
          <w:p w14:paraId="53B173C7"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USD 5.12 Million by 2017</w:t>
            </w:r>
          </w:p>
        </w:tc>
        <w:tc>
          <w:tcPr>
            <w:tcW w:w="400" w:type="pct"/>
          </w:tcPr>
          <w:p w14:paraId="59B38C9B" w14:textId="77777777" w:rsidR="00C002AA" w:rsidRPr="009D71C6" w:rsidRDefault="00C002AA" w:rsidP="00D7264A">
            <w:pPr>
              <w:rPr>
                <w:rFonts w:ascii="Times New Roman" w:hAnsi="Times New Roman" w:cs="Times New Roman"/>
              </w:rPr>
            </w:pPr>
          </w:p>
          <w:p w14:paraId="5826050D"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CDRRF financial reports</w:t>
            </w:r>
          </w:p>
        </w:tc>
        <w:tc>
          <w:tcPr>
            <w:tcW w:w="1411" w:type="pct"/>
            <w:shd w:val="clear" w:color="auto" w:fill="FBD4B4" w:themeFill="accent6" w:themeFillTint="66"/>
          </w:tcPr>
          <w:p w14:paraId="459CAF65"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Achieved: Commitments made to 8 sub-projects valued at USD5.12 million. All grant agreements signed by October 2017</w:t>
            </w:r>
          </w:p>
        </w:tc>
      </w:tr>
      <w:tr w:rsidR="00C002AA" w:rsidRPr="009D71C6" w14:paraId="554E96A3" w14:textId="77777777" w:rsidTr="00D7264A">
        <w:tc>
          <w:tcPr>
            <w:tcW w:w="340" w:type="pct"/>
            <w:vMerge/>
            <w:tcBorders>
              <w:left w:val="single" w:sz="18" w:space="0" w:color="auto"/>
              <w:bottom w:val="single" w:sz="18" w:space="0" w:color="auto"/>
            </w:tcBorders>
            <w:shd w:val="clear" w:color="auto" w:fill="FFC000"/>
          </w:tcPr>
          <w:p w14:paraId="020604EB" w14:textId="77777777" w:rsidR="00C002AA" w:rsidRPr="009D71C6" w:rsidRDefault="00C002AA" w:rsidP="00D7264A">
            <w:pPr>
              <w:rPr>
                <w:rFonts w:ascii="Times New Roman" w:hAnsi="Times New Roman" w:cs="Times New Roman"/>
              </w:rPr>
            </w:pPr>
          </w:p>
        </w:tc>
        <w:tc>
          <w:tcPr>
            <w:tcW w:w="1151" w:type="pct"/>
            <w:tcBorders>
              <w:bottom w:val="single" w:sz="18" w:space="0" w:color="auto"/>
            </w:tcBorders>
          </w:tcPr>
          <w:p w14:paraId="3BF75FAC"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b/>
                <w:bCs/>
              </w:rPr>
              <w:t xml:space="preserve">1210 </w:t>
            </w:r>
            <w:r w:rsidRPr="009D71C6">
              <w:rPr>
                <w:rFonts w:ascii="Times New Roman" w:hAnsi="Times New Roman" w:cs="Times New Roman"/>
              </w:rPr>
              <w:t xml:space="preserve">- </w:t>
            </w:r>
            <w:r w:rsidRPr="009D71C6">
              <w:rPr>
                <w:rFonts w:ascii="Times New Roman" w:hAnsi="Times New Roman" w:cs="Times New Roman"/>
                <w:lang w:val="en-CA"/>
              </w:rPr>
              <w:t xml:space="preserve">National </w:t>
            </w:r>
            <w:r w:rsidRPr="009D71C6">
              <w:rPr>
                <w:rFonts w:ascii="Times New Roman" w:hAnsi="Times New Roman" w:cs="Times New Roman"/>
                <w:u w:val="single"/>
                <w:lang w:val="en-CA"/>
              </w:rPr>
              <w:t xml:space="preserve">skills and capacities </w:t>
            </w:r>
            <w:r w:rsidRPr="009D71C6">
              <w:rPr>
                <w:rFonts w:ascii="Times New Roman" w:hAnsi="Times New Roman" w:cs="Times New Roman"/>
                <w:lang w:val="en-CA"/>
              </w:rPr>
              <w:t xml:space="preserve">to monitor and reduce natural hazard risk and climate change impact at community and household levels </w:t>
            </w:r>
            <w:r w:rsidRPr="009D71C6">
              <w:rPr>
                <w:rFonts w:ascii="Times New Roman" w:hAnsi="Times New Roman" w:cs="Times New Roman"/>
                <w:u w:val="single"/>
                <w:lang w:val="en-CA"/>
              </w:rPr>
              <w:t>increased</w:t>
            </w:r>
            <w:r w:rsidRPr="009D71C6">
              <w:rPr>
                <w:rFonts w:ascii="Times New Roman" w:hAnsi="Times New Roman" w:cs="Times New Roman"/>
                <w:lang w:val="en-CA"/>
              </w:rPr>
              <w:t xml:space="preserve"> amongst social sector, environment and DRM practitioners, public sector representatives.</w:t>
            </w:r>
          </w:p>
        </w:tc>
        <w:tc>
          <w:tcPr>
            <w:tcW w:w="865" w:type="pct"/>
            <w:tcBorders>
              <w:bottom w:val="single" w:sz="18" w:space="0" w:color="auto"/>
            </w:tcBorders>
          </w:tcPr>
          <w:p w14:paraId="1C1E1B16" w14:textId="77777777" w:rsidR="00C002AA" w:rsidRPr="009D71C6" w:rsidRDefault="00C002AA" w:rsidP="009D71C6">
            <w:pPr>
              <w:jc w:val="both"/>
              <w:rPr>
                <w:rFonts w:ascii="Times New Roman" w:hAnsi="Times New Roman" w:cs="Times New Roman"/>
              </w:rPr>
            </w:pPr>
            <w:r w:rsidRPr="009D71C6">
              <w:rPr>
                <w:rFonts w:ascii="Times New Roman" w:hAnsi="Times New Roman" w:cs="Times New Roman"/>
              </w:rPr>
              <w:t>1211: Number of beneficiary communities with a revitalized or new Disaster Management Committee functional</w:t>
            </w:r>
          </w:p>
        </w:tc>
        <w:tc>
          <w:tcPr>
            <w:tcW w:w="416" w:type="pct"/>
            <w:tcBorders>
              <w:bottom w:val="single" w:sz="18" w:space="0" w:color="auto"/>
            </w:tcBorders>
          </w:tcPr>
          <w:p w14:paraId="4A01DE0D"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TBD via BLS</w:t>
            </w:r>
          </w:p>
          <w:p w14:paraId="44B0885E" w14:textId="77777777" w:rsidR="00C002AA" w:rsidRPr="009D71C6" w:rsidRDefault="00C002AA" w:rsidP="00D7264A">
            <w:pPr>
              <w:rPr>
                <w:rFonts w:ascii="Times New Roman" w:hAnsi="Times New Roman" w:cs="Times New Roman"/>
              </w:rPr>
            </w:pPr>
          </w:p>
        </w:tc>
        <w:tc>
          <w:tcPr>
            <w:tcW w:w="417" w:type="pct"/>
            <w:tcBorders>
              <w:bottom w:val="single" w:sz="18" w:space="0" w:color="auto"/>
            </w:tcBorders>
          </w:tcPr>
          <w:p w14:paraId="436C4A5A"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At least 8 beneficiary communities by 2020</w:t>
            </w:r>
          </w:p>
        </w:tc>
        <w:tc>
          <w:tcPr>
            <w:tcW w:w="400" w:type="pct"/>
            <w:tcBorders>
              <w:bottom w:val="single" w:sz="18" w:space="0" w:color="auto"/>
            </w:tcBorders>
          </w:tcPr>
          <w:p w14:paraId="2C6D2E1F" w14:textId="77777777" w:rsidR="00C002AA" w:rsidRPr="009D71C6" w:rsidRDefault="00C002AA" w:rsidP="00D7264A">
            <w:pPr>
              <w:rPr>
                <w:rFonts w:ascii="Times New Roman" w:hAnsi="Times New Roman" w:cs="Times New Roman"/>
              </w:rPr>
            </w:pPr>
            <w:r w:rsidRPr="009D71C6">
              <w:rPr>
                <w:rFonts w:ascii="Times New Roman" w:hAnsi="Times New Roman" w:cs="Times New Roman"/>
              </w:rPr>
              <w:t>CDRRRF grant agreements</w:t>
            </w:r>
          </w:p>
        </w:tc>
        <w:tc>
          <w:tcPr>
            <w:tcW w:w="1411" w:type="pct"/>
            <w:tcBorders>
              <w:bottom w:val="single" w:sz="18" w:space="0" w:color="auto"/>
            </w:tcBorders>
            <w:shd w:val="clear" w:color="auto" w:fill="FBD4B4" w:themeFill="accent6" w:themeFillTint="66"/>
          </w:tcPr>
          <w:p w14:paraId="738F236A" w14:textId="77777777" w:rsidR="00C002AA" w:rsidRPr="009D71C6" w:rsidRDefault="00C002AA" w:rsidP="00D7264A">
            <w:pPr>
              <w:rPr>
                <w:rFonts w:ascii="Times New Roman" w:hAnsi="Times New Roman" w:cs="Times New Roman"/>
              </w:rPr>
            </w:pPr>
          </w:p>
        </w:tc>
      </w:tr>
    </w:tbl>
    <w:p w14:paraId="280D3CD5" w14:textId="77777777" w:rsidR="007D3138" w:rsidRPr="009D71C6" w:rsidRDefault="007D3138">
      <w:pPr>
        <w:rPr>
          <w:rFonts w:ascii="Times New Roman" w:hAnsi="Times New Roman" w:cs="Times New Roman"/>
        </w:rPr>
      </w:pPr>
    </w:p>
    <w:p w14:paraId="1EE37DD0" w14:textId="77777777" w:rsidR="00794F6E" w:rsidRPr="009D71C6" w:rsidRDefault="00794F6E">
      <w:pPr>
        <w:rPr>
          <w:rFonts w:ascii="Times New Roman" w:hAnsi="Times New Roman" w:cs="Times New Roman"/>
        </w:rPr>
      </w:pPr>
    </w:p>
    <w:sectPr w:rsidR="00794F6E" w:rsidRPr="009D71C6" w:rsidSect="00794F6E">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E07A" w14:textId="77777777" w:rsidR="000607E1" w:rsidRDefault="000607E1" w:rsidP="003D2E50">
      <w:pPr>
        <w:spacing w:after="0" w:line="240" w:lineRule="auto"/>
      </w:pPr>
      <w:r>
        <w:separator/>
      </w:r>
    </w:p>
  </w:endnote>
  <w:endnote w:type="continuationSeparator" w:id="0">
    <w:p w14:paraId="350D484F" w14:textId="77777777" w:rsidR="000607E1" w:rsidRDefault="000607E1" w:rsidP="003D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26436" w14:textId="77777777" w:rsidR="000607E1" w:rsidRDefault="000607E1" w:rsidP="003D2E50">
      <w:pPr>
        <w:spacing w:after="0" w:line="240" w:lineRule="auto"/>
      </w:pPr>
      <w:r>
        <w:separator/>
      </w:r>
    </w:p>
  </w:footnote>
  <w:footnote w:type="continuationSeparator" w:id="0">
    <w:p w14:paraId="3CDAF851" w14:textId="77777777" w:rsidR="000607E1" w:rsidRDefault="000607E1" w:rsidP="003D2E50">
      <w:pPr>
        <w:spacing w:after="0" w:line="240" w:lineRule="auto"/>
      </w:pPr>
      <w:r>
        <w:continuationSeparator/>
      </w:r>
    </w:p>
  </w:footnote>
  <w:footnote w:id="1">
    <w:p w14:paraId="508D15A3" w14:textId="184EC001" w:rsidR="008D3EEB" w:rsidRPr="00184439" w:rsidRDefault="008D3EEB">
      <w:pPr>
        <w:pStyle w:val="FootnoteText"/>
        <w:rPr>
          <w:rFonts w:ascii="Times New Roman" w:hAnsi="Times New Roman" w:cs="Times New Roman"/>
          <w:sz w:val="18"/>
          <w:szCs w:val="18"/>
        </w:rPr>
      </w:pPr>
      <w:r w:rsidRPr="00184439">
        <w:rPr>
          <w:rStyle w:val="FootnoteReference"/>
          <w:rFonts w:ascii="Times New Roman" w:hAnsi="Times New Roman" w:cs="Times New Roman"/>
          <w:sz w:val="18"/>
          <w:szCs w:val="18"/>
        </w:rPr>
        <w:footnoteRef/>
      </w:r>
      <w:r w:rsidRPr="00184439">
        <w:rPr>
          <w:rFonts w:ascii="Times New Roman" w:hAnsi="Times New Roman" w:cs="Times New Roman"/>
          <w:sz w:val="18"/>
          <w:szCs w:val="18"/>
        </w:rPr>
        <w:t xml:space="preserve"> Jamaica, Belize, British Virgin Islands, Saint Vincent and the Grenadines</w:t>
      </w:r>
    </w:p>
  </w:footnote>
  <w:footnote w:id="2">
    <w:p w14:paraId="13343D1C" w14:textId="733B11AB" w:rsidR="00511FE2" w:rsidRPr="00701BEE" w:rsidRDefault="00511FE2" w:rsidP="00184439">
      <w:pPr>
        <w:pStyle w:val="FootnoteText"/>
        <w:ind w:left="360" w:hanging="360"/>
        <w:jc w:val="both"/>
        <w:rPr>
          <w:rFonts w:ascii="Times New Roman" w:hAnsi="Times New Roman" w:cs="Times New Roman"/>
          <w:sz w:val="18"/>
          <w:szCs w:val="18"/>
          <w:lang w:val="en-029"/>
        </w:rPr>
      </w:pPr>
      <w:r w:rsidRPr="00701BEE">
        <w:rPr>
          <w:rStyle w:val="FootnoteReference"/>
          <w:sz w:val="18"/>
          <w:szCs w:val="18"/>
        </w:rPr>
        <w:footnoteRef/>
      </w:r>
      <w:r w:rsidRPr="00701BEE">
        <w:rPr>
          <w:sz w:val="18"/>
          <w:szCs w:val="18"/>
        </w:rPr>
        <w:t xml:space="preserve"> </w:t>
      </w:r>
      <w:r w:rsidR="00184439">
        <w:rPr>
          <w:sz w:val="18"/>
          <w:szCs w:val="18"/>
        </w:rPr>
        <w:tab/>
      </w:r>
      <w:r w:rsidRPr="00ED7D9A">
        <w:rPr>
          <w:rFonts w:ascii="Times New Roman" w:hAnsi="Times New Roman" w:cs="Times New Roman"/>
          <w:sz w:val="18"/>
          <w:szCs w:val="18"/>
        </w:rPr>
        <w:t>Eligible CDB BMCs include</w:t>
      </w:r>
      <w:r w:rsidRPr="00701BEE">
        <w:rPr>
          <w:rFonts w:ascii="Times New Roman" w:hAnsi="Times New Roman" w:cs="Times New Roman"/>
          <w:sz w:val="18"/>
          <w:szCs w:val="18"/>
        </w:rPr>
        <w:t xml:space="preserve">: Anguilla, Antigua and Barbuda, The Bahamas, Barbados, Belize, British Virgin Islands, Cayman Islands, Dominica, Grenada, Guyana, Jamaica, Montserrat, St. Kitts and Nevis, St. Lucia, St. Vincent and the Grenadines, Trinidad and Tobago, the Turks and Caicos Islands and Suriname. Haiti, though a CDB BMC, is not eligible to apply to the CDRRF as it is served by a CIDA programme that is separate and distinct from CIDA’s Caribbean programme. </w:t>
      </w:r>
    </w:p>
  </w:footnote>
  <w:footnote w:id="3">
    <w:p w14:paraId="7EBAD978" w14:textId="18BC477A" w:rsidR="00D00BB4" w:rsidRPr="009D71C6" w:rsidRDefault="00D00BB4" w:rsidP="009D71C6">
      <w:pPr>
        <w:pStyle w:val="FootnoteText"/>
        <w:tabs>
          <w:tab w:val="left" w:pos="360"/>
        </w:tabs>
        <w:ind w:left="450" w:hanging="450"/>
        <w:jc w:val="both"/>
        <w:rPr>
          <w:rFonts w:ascii="Times New Roman" w:hAnsi="Times New Roman" w:cs="Times New Roman"/>
          <w:sz w:val="18"/>
          <w:szCs w:val="18"/>
        </w:rPr>
      </w:pPr>
      <w:r w:rsidRPr="009D71C6">
        <w:rPr>
          <w:rStyle w:val="FootnoteReference"/>
          <w:rFonts w:ascii="Times New Roman" w:hAnsi="Times New Roman" w:cs="Times New Roman"/>
          <w:sz w:val="18"/>
          <w:szCs w:val="18"/>
        </w:rPr>
        <w:footnoteRef/>
      </w:r>
      <w:r w:rsidRPr="009D71C6">
        <w:rPr>
          <w:rFonts w:ascii="Times New Roman" w:hAnsi="Times New Roman" w:cs="Times New Roman"/>
          <w:sz w:val="18"/>
          <w:szCs w:val="18"/>
        </w:rPr>
        <w:t xml:space="preserve">   </w:t>
      </w:r>
      <w:r w:rsidR="009D71C6">
        <w:rPr>
          <w:rFonts w:ascii="Times New Roman" w:hAnsi="Times New Roman" w:cs="Times New Roman"/>
          <w:sz w:val="18"/>
          <w:szCs w:val="18"/>
        </w:rPr>
        <w:tab/>
      </w:r>
      <w:r w:rsidRPr="009D71C6">
        <w:rPr>
          <w:rFonts w:ascii="Times New Roman" w:hAnsi="Times New Roman" w:cs="Times New Roman"/>
          <w:sz w:val="18"/>
          <w:szCs w:val="18"/>
        </w:rPr>
        <w:t xml:space="preserve">The PTRC serves as CDRRF’s technical review committee, recommends community-based sub-projects for the </w:t>
      </w:r>
      <w:r w:rsidRPr="009D71C6">
        <w:rPr>
          <w:rFonts w:ascii="Times New Roman" w:hAnsi="Times New Roman" w:cs="Times New Roman"/>
          <w:sz w:val="18"/>
          <w:szCs w:val="18"/>
        </w:rPr>
        <w:t>appraisal and provides technical advice to the Project Management Unit (PMU).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29B4" w14:textId="77777777" w:rsidR="00184439" w:rsidRPr="001143E3" w:rsidRDefault="00184439" w:rsidP="00184439">
    <w:pPr>
      <w:ind w:left="-900" w:firstLine="180"/>
      <w:jc w:val="right"/>
      <w:rPr>
        <w:rFonts w:ascii="Times New Roman" w:hAnsi="Times New Roman" w:cs="Times New Roman"/>
        <w:b/>
        <w:noProof/>
        <w:u w:val="single"/>
      </w:rPr>
    </w:pPr>
    <w:r w:rsidRPr="001143E3">
      <w:rPr>
        <w:rFonts w:ascii="Times New Roman" w:hAnsi="Times New Roman" w:cs="Times New Roman"/>
        <w:b/>
        <w:noProof/>
        <w:u w:val="single"/>
      </w:rPr>
      <w:t>ANNEX</w:t>
    </w:r>
    <w:r>
      <w:rPr>
        <w:rFonts w:ascii="Times New Roman" w:hAnsi="Times New Roman" w:cs="Times New Roman"/>
        <w:b/>
        <w:noProof/>
        <w:u w:val="single"/>
      </w:rPr>
      <w:t xml:space="preserve"> 1</w:t>
    </w:r>
    <w:r w:rsidRPr="001143E3">
      <w:rPr>
        <w:rFonts w:ascii="Times New Roman" w:hAnsi="Times New Roman" w:cs="Times New Roman"/>
        <w:b/>
        <w:noProof/>
        <w:u w:val="single"/>
      </w:rPr>
      <w:t xml:space="preserve">  </w:t>
    </w:r>
  </w:p>
  <w:p w14:paraId="71E2F0AD" w14:textId="77777777" w:rsidR="00184439" w:rsidRDefault="00184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hybridMultilevel"/>
    <w:tmpl w:val="1B24A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612134"/>
    <w:multiLevelType w:val="hybridMultilevel"/>
    <w:tmpl w:val="22E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B787D"/>
    <w:multiLevelType w:val="hybridMultilevel"/>
    <w:tmpl w:val="B412CF3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15:restartNumberingAfterBreak="0">
    <w:nsid w:val="08391F81"/>
    <w:multiLevelType w:val="hybridMultilevel"/>
    <w:tmpl w:val="DBFA826C"/>
    <w:lvl w:ilvl="0" w:tplc="092C269E">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15:restartNumberingAfterBreak="0">
    <w:nsid w:val="12480CA8"/>
    <w:multiLevelType w:val="hybridMultilevel"/>
    <w:tmpl w:val="4932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A29D4"/>
    <w:multiLevelType w:val="hybridMultilevel"/>
    <w:tmpl w:val="BD308D10"/>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167B8"/>
    <w:multiLevelType w:val="hybridMultilevel"/>
    <w:tmpl w:val="83528A0E"/>
    <w:lvl w:ilvl="0" w:tplc="93186B28">
      <w:start w:val="2"/>
      <w:numFmt w:val="lowerLetter"/>
      <w:lvlText w:val="(%1)"/>
      <w:lvlJc w:val="left"/>
      <w:pPr>
        <w:ind w:left="144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5D9B"/>
    <w:multiLevelType w:val="hybridMultilevel"/>
    <w:tmpl w:val="B762BC66"/>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8EA"/>
    <w:multiLevelType w:val="multilevel"/>
    <w:tmpl w:val="8D4C0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52554"/>
    <w:multiLevelType w:val="hybridMultilevel"/>
    <w:tmpl w:val="DB5027D0"/>
    <w:lvl w:ilvl="0" w:tplc="12F8105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DC5902"/>
    <w:multiLevelType w:val="hybridMultilevel"/>
    <w:tmpl w:val="CC66F1B0"/>
    <w:lvl w:ilvl="0" w:tplc="04090017">
      <w:start w:val="1"/>
      <w:numFmt w:val="lowerLetter"/>
      <w:lvlText w:val="%1)"/>
      <w:lvlJc w:val="left"/>
      <w:pPr>
        <w:ind w:left="1080" w:hanging="360"/>
      </w:p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2" w15:restartNumberingAfterBreak="0">
    <w:nsid w:val="2D0D0D95"/>
    <w:multiLevelType w:val="hybridMultilevel"/>
    <w:tmpl w:val="A6909364"/>
    <w:lvl w:ilvl="0" w:tplc="0E2AD5E8">
      <w:start w:val="1"/>
      <w:numFmt w:val="lowerLetter"/>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3" w15:restartNumberingAfterBreak="0">
    <w:nsid w:val="323305D1"/>
    <w:multiLevelType w:val="hybridMultilevel"/>
    <w:tmpl w:val="95CADABC"/>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5C74C5"/>
    <w:multiLevelType w:val="hybridMultilevel"/>
    <w:tmpl w:val="43569B44"/>
    <w:lvl w:ilvl="0" w:tplc="F478599C">
      <w:start w:val="1"/>
      <w:numFmt w:val="lowerLetter"/>
      <w:lvlText w:val="(%1)"/>
      <w:lvlJc w:val="left"/>
      <w:pPr>
        <w:ind w:left="63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15:restartNumberingAfterBreak="0">
    <w:nsid w:val="37BA2177"/>
    <w:multiLevelType w:val="hybridMultilevel"/>
    <w:tmpl w:val="2D1E2600"/>
    <w:lvl w:ilvl="0" w:tplc="39606D2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D0806"/>
    <w:multiLevelType w:val="hybridMultilevel"/>
    <w:tmpl w:val="16F89702"/>
    <w:lvl w:ilvl="0" w:tplc="2409000F">
      <w:start w:val="1"/>
      <w:numFmt w:val="decimal"/>
      <w:lvlText w:val="%1."/>
      <w:lvlJc w:val="left"/>
      <w:pPr>
        <w:ind w:left="720" w:hanging="360"/>
      </w:pPr>
      <w:rPr>
        <w:rFont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7" w15:restartNumberingAfterBreak="0">
    <w:nsid w:val="3DF3447E"/>
    <w:multiLevelType w:val="hybridMultilevel"/>
    <w:tmpl w:val="D4C2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B7986"/>
    <w:multiLevelType w:val="hybridMultilevel"/>
    <w:tmpl w:val="080891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5277482"/>
    <w:multiLevelType w:val="hybridMultilevel"/>
    <w:tmpl w:val="FE00E1F4"/>
    <w:lvl w:ilvl="0" w:tplc="2966A894">
      <w:start w:val="1"/>
      <w:numFmt w:val="lowerLetter"/>
      <w:lvlText w:val="(%1)"/>
      <w:lvlJc w:val="left"/>
      <w:pPr>
        <w:ind w:left="1080" w:hanging="72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1727B"/>
    <w:multiLevelType w:val="hybridMultilevel"/>
    <w:tmpl w:val="DD32526C"/>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FD59C7"/>
    <w:multiLevelType w:val="hybridMultilevel"/>
    <w:tmpl w:val="E1484240"/>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AF19BA"/>
    <w:multiLevelType w:val="hybridMultilevel"/>
    <w:tmpl w:val="570E3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3D115CA"/>
    <w:multiLevelType w:val="hybridMultilevel"/>
    <w:tmpl w:val="3998C4B0"/>
    <w:lvl w:ilvl="0" w:tplc="C6D8FFD4">
      <w:start w:val="1"/>
      <w:numFmt w:val="lowerLetter"/>
      <w:lvlText w:val="(%1)"/>
      <w:lvlJc w:val="righ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65C86A9F"/>
    <w:multiLevelType w:val="hybridMultilevel"/>
    <w:tmpl w:val="6AEC70D8"/>
    <w:lvl w:ilvl="0" w:tplc="2966A894">
      <w:start w:val="1"/>
      <w:numFmt w:val="lowerLetter"/>
      <w:lvlText w:val="(%1)"/>
      <w:lvlJc w:val="left"/>
      <w:pPr>
        <w:ind w:left="1440" w:hanging="360"/>
      </w:pPr>
      <w:rPr>
        <w:rFonts w:ascii="Times New Roman" w:eastAsia="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37112A"/>
    <w:multiLevelType w:val="hybridMultilevel"/>
    <w:tmpl w:val="3D8A5A42"/>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970266"/>
    <w:multiLevelType w:val="hybridMultilevel"/>
    <w:tmpl w:val="4FFE4190"/>
    <w:lvl w:ilvl="0" w:tplc="12F810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F15EA1"/>
    <w:multiLevelType w:val="hybridMultilevel"/>
    <w:tmpl w:val="2898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2309C"/>
    <w:multiLevelType w:val="multilevel"/>
    <w:tmpl w:val="A70CFFF6"/>
    <w:lvl w:ilvl="0">
      <w:start w:val="1"/>
      <w:numFmt w:val="lowerLetter"/>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9C134C"/>
    <w:multiLevelType w:val="hybridMultilevel"/>
    <w:tmpl w:val="4B9C037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15:restartNumberingAfterBreak="0">
    <w:nsid w:val="74C50A7B"/>
    <w:multiLevelType w:val="hybridMultilevel"/>
    <w:tmpl w:val="6CC89E6E"/>
    <w:lvl w:ilvl="0" w:tplc="39606D2E">
      <w:start w:val="1"/>
      <w:numFmt w:val="lowerRoman"/>
      <w:lvlText w:val="(%1)"/>
      <w:lvlJc w:val="left"/>
      <w:pPr>
        <w:ind w:left="1440" w:hanging="360"/>
      </w:pPr>
      <w:rPr>
        <w:rFonts w:ascii="Times New Roman" w:eastAsiaTheme="minorHAnsi" w:hAnsi="Times New Roman" w:cs="Times New Roman"/>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31" w15:restartNumberingAfterBreak="0">
    <w:nsid w:val="76420540"/>
    <w:multiLevelType w:val="hybridMultilevel"/>
    <w:tmpl w:val="CBF2B8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BB64781"/>
    <w:multiLevelType w:val="hybridMultilevel"/>
    <w:tmpl w:val="A54CDE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C034A98"/>
    <w:multiLevelType w:val="hybridMultilevel"/>
    <w:tmpl w:val="87A4467E"/>
    <w:lvl w:ilvl="0" w:tplc="F478599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A024F"/>
    <w:multiLevelType w:val="hybridMultilevel"/>
    <w:tmpl w:val="88604D2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5" w15:restartNumberingAfterBreak="0">
    <w:nsid w:val="7EB06E06"/>
    <w:multiLevelType w:val="hybridMultilevel"/>
    <w:tmpl w:val="2C365D6A"/>
    <w:lvl w:ilvl="0" w:tplc="F47859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9"/>
  </w:num>
  <w:num w:numId="4">
    <w:abstractNumId w:val="35"/>
  </w:num>
  <w:num w:numId="5">
    <w:abstractNumId w:val="33"/>
  </w:num>
  <w:num w:numId="6">
    <w:abstractNumId w:val="4"/>
  </w:num>
  <w:num w:numId="7">
    <w:abstractNumId w:val="12"/>
  </w:num>
  <w:num w:numId="8">
    <w:abstractNumId w:val="14"/>
  </w:num>
  <w:num w:numId="9">
    <w:abstractNumId w:val="28"/>
  </w:num>
  <w:num w:numId="10">
    <w:abstractNumId w:val="27"/>
  </w:num>
  <w:num w:numId="11">
    <w:abstractNumId w:val="29"/>
  </w:num>
  <w:num w:numId="12">
    <w:abstractNumId w:val="3"/>
  </w:num>
  <w:num w:numId="13">
    <w:abstractNumId w:val="17"/>
  </w:num>
  <w:num w:numId="14">
    <w:abstractNumId w:val="1"/>
  </w:num>
  <w:num w:numId="15">
    <w:abstractNumId w:val="31"/>
  </w:num>
  <w:num w:numId="16">
    <w:abstractNumId w:val="22"/>
  </w:num>
  <w:num w:numId="17">
    <w:abstractNumId w:val="32"/>
  </w:num>
  <w:num w:numId="18">
    <w:abstractNumId w:val="16"/>
  </w:num>
  <w:num w:numId="19">
    <w:abstractNumId w:val="34"/>
  </w:num>
  <w:num w:numId="20">
    <w:abstractNumId w:val="30"/>
  </w:num>
  <w:num w:numId="21">
    <w:abstractNumId w:val="24"/>
  </w:num>
  <w:num w:numId="22">
    <w:abstractNumId w:val="7"/>
  </w:num>
  <w:num w:numId="23">
    <w:abstractNumId w:val="10"/>
  </w:num>
  <w:num w:numId="24">
    <w:abstractNumId w:val="6"/>
  </w:num>
  <w:num w:numId="25">
    <w:abstractNumId w:val="8"/>
  </w:num>
  <w:num w:numId="26">
    <w:abstractNumId w:val="13"/>
  </w:num>
  <w:num w:numId="27">
    <w:abstractNumId w:val="20"/>
  </w:num>
  <w:num w:numId="28">
    <w:abstractNumId w:val="25"/>
  </w:num>
  <w:num w:numId="29">
    <w:abstractNumId w:val="21"/>
  </w:num>
  <w:num w:numId="30">
    <w:abstractNumId w:val="26"/>
  </w:num>
  <w:num w:numId="31">
    <w:abstractNumId w:val="5"/>
  </w:num>
  <w:num w:numId="32">
    <w:abstractNumId w:val="2"/>
  </w:num>
  <w:num w:numId="33">
    <w:abstractNumId w:val="23"/>
  </w:num>
  <w:num w:numId="34">
    <w:abstractNumId w:val="9"/>
  </w:num>
  <w:num w:numId="35">
    <w:abstractNumId w:val="11"/>
  </w:num>
  <w:num w:numId="3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EwNjAyMTY0tTSzNDFV0lEKTi0uzszPAykwqQUAGCR3qSwAAAA="/>
  </w:docVars>
  <w:rsids>
    <w:rsidRoot w:val="00C969E4"/>
    <w:rsid w:val="00002304"/>
    <w:rsid w:val="000042D3"/>
    <w:rsid w:val="00005785"/>
    <w:rsid w:val="00013082"/>
    <w:rsid w:val="00013D47"/>
    <w:rsid w:val="00015DAB"/>
    <w:rsid w:val="00017A7B"/>
    <w:rsid w:val="00025F43"/>
    <w:rsid w:val="00026971"/>
    <w:rsid w:val="00027EB0"/>
    <w:rsid w:val="00031103"/>
    <w:rsid w:val="00036351"/>
    <w:rsid w:val="00037207"/>
    <w:rsid w:val="00042C4D"/>
    <w:rsid w:val="000474FE"/>
    <w:rsid w:val="00050B07"/>
    <w:rsid w:val="00052C39"/>
    <w:rsid w:val="00053848"/>
    <w:rsid w:val="000607E1"/>
    <w:rsid w:val="00066832"/>
    <w:rsid w:val="000672D3"/>
    <w:rsid w:val="00070A46"/>
    <w:rsid w:val="00072041"/>
    <w:rsid w:val="00072B98"/>
    <w:rsid w:val="00073DF4"/>
    <w:rsid w:val="00076FFD"/>
    <w:rsid w:val="00081E45"/>
    <w:rsid w:val="00084AF4"/>
    <w:rsid w:val="0008675C"/>
    <w:rsid w:val="00087E7F"/>
    <w:rsid w:val="00090C8F"/>
    <w:rsid w:val="000917CA"/>
    <w:rsid w:val="000944CB"/>
    <w:rsid w:val="000A261D"/>
    <w:rsid w:val="000A72BB"/>
    <w:rsid w:val="000B2B98"/>
    <w:rsid w:val="000B46FE"/>
    <w:rsid w:val="000B6889"/>
    <w:rsid w:val="000C408D"/>
    <w:rsid w:val="000C5F7E"/>
    <w:rsid w:val="000C71D9"/>
    <w:rsid w:val="000C76E2"/>
    <w:rsid w:val="000D283A"/>
    <w:rsid w:val="000D65DC"/>
    <w:rsid w:val="000E0065"/>
    <w:rsid w:val="000E0172"/>
    <w:rsid w:val="000E48DC"/>
    <w:rsid w:val="000F0398"/>
    <w:rsid w:val="000F3023"/>
    <w:rsid w:val="000F62E9"/>
    <w:rsid w:val="00103265"/>
    <w:rsid w:val="001033D8"/>
    <w:rsid w:val="00105AFE"/>
    <w:rsid w:val="00107698"/>
    <w:rsid w:val="001112DA"/>
    <w:rsid w:val="00112D0B"/>
    <w:rsid w:val="00113D9C"/>
    <w:rsid w:val="001143E3"/>
    <w:rsid w:val="001268A2"/>
    <w:rsid w:val="00127C7C"/>
    <w:rsid w:val="00131E55"/>
    <w:rsid w:val="001342BE"/>
    <w:rsid w:val="001352BA"/>
    <w:rsid w:val="00135E56"/>
    <w:rsid w:val="00137757"/>
    <w:rsid w:val="00141217"/>
    <w:rsid w:val="001418FD"/>
    <w:rsid w:val="0014331F"/>
    <w:rsid w:val="00143C9D"/>
    <w:rsid w:val="00147707"/>
    <w:rsid w:val="00147B7D"/>
    <w:rsid w:val="00151451"/>
    <w:rsid w:val="00155D06"/>
    <w:rsid w:val="00157AD1"/>
    <w:rsid w:val="001836F0"/>
    <w:rsid w:val="00184439"/>
    <w:rsid w:val="00190C76"/>
    <w:rsid w:val="00196DA7"/>
    <w:rsid w:val="001A1F40"/>
    <w:rsid w:val="001A4247"/>
    <w:rsid w:val="001A6F3E"/>
    <w:rsid w:val="001B01BB"/>
    <w:rsid w:val="001B01FB"/>
    <w:rsid w:val="001B05D5"/>
    <w:rsid w:val="001B13AE"/>
    <w:rsid w:val="001B219D"/>
    <w:rsid w:val="001B28AF"/>
    <w:rsid w:val="001B3C49"/>
    <w:rsid w:val="001B3FB9"/>
    <w:rsid w:val="001B64D0"/>
    <w:rsid w:val="001B64DC"/>
    <w:rsid w:val="001B7BCB"/>
    <w:rsid w:val="001C087A"/>
    <w:rsid w:val="001C79C2"/>
    <w:rsid w:val="001D3DCE"/>
    <w:rsid w:val="001D3FF3"/>
    <w:rsid w:val="001D440A"/>
    <w:rsid w:val="001D49AD"/>
    <w:rsid w:val="001D54FF"/>
    <w:rsid w:val="001E1475"/>
    <w:rsid w:val="001E5959"/>
    <w:rsid w:val="001F1033"/>
    <w:rsid w:val="001F11B6"/>
    <w:rsid w:val="001F2B0B"/>
    <w:rsid w:val="001F35B3"/>
    <w:rsid w:val="001F36C5"/>
    <w:rsid w:val="001F38B8"/>
    <w:rsid w:val="001F74CD"/>
    <w:rsid w:val="00200C35"/>
    <w:rsid w:val="00204962"/>
    <w:rsid w:val="00205299"/>
    <w:rsid w:val="00210090"/>
    <w:rsid w:val="00212080"/>
    <w:rsid w:val="002123F5"/>
    <w:rsid w:val="002142B5"/>
    <w:rsid w:val="0021724A"/>
    <w:rsid w:val="00217390"/>
    <w:rsid w:val="0022084B"/>
    <w:rsid w:val="0022129A"/>
    <w:rsid w:val="00222485"/>
    <w:rsid w:val="00223439"/>
    <w:rsid w:val="0022378F"/>
    <w:rsid w:val="002301CD"/>
    <w:rsid w:val="0023182C"/>
    <w:rsid w:val="002325C4"/>
    <w:rsid w:val="00237BB4"/>
    <w:rsid w:val="00244836"/>
    <w:rsid w:val="00251AA8"/>
    <w:rsid w:val="00253D63"/>
    <w:rsid w:val="00263791"/>
    <w:rsid w:val="002719DA"/>
    <w:rsid w:val="00275E92"/>
    <w:rsid w:val="00286BF8"/>
    <w:rsid w:val="00292511"/>
    <w:rsid w:val="00292E3B"/>
    <w:rsid w:val="002945E8"/>
    <w:rsid w:val="002A0B51"/>
    <w:rsid w:val="002A110D"/>
    <w:rsid w:val="002A1CE3"/>
    <w:rsid w:val="002A5C8C"/>
    <w:rsid w:val="002B315F"/>
    <w:rsid w:val="002B7797"/>
    <w:rsid w:val="002C0E00"/>
    <w:rsid w:val="002C3EB6"/>
    <w:rsid w:val="002C442E"/>
    <w:rsid w:val="002C4A18"/>
    <w:rsid w:val="002C4EE5"/>
    <w:rsid w:val="002C7EAD"/>
    <w:rsid w:val="002D7775"/>
    <w:rsid w:val="002E1565"/>
    <w:rsid w:val="002F0D6D"/>
    <w:rsid w:val="003001C8"/>
    <w:rsid w:val="0031140C"/>
    <w:rsid w:val="00312B6F"/>
    <w:rsid w:val="00317239"/>
    <w:rsid w:val="0032124A"/>
    <w:rsid w:val="00322B5E"/>
    <w:rsid w:val="00326263"/>
    <w:rsid w:val="003272DD"/>
    <w:rsid w:val="00330016"/>
    <w:rsid w:val="003427FD"/>
    <w:rsid w:val="003446A4"/>
    <w:rsid w:val="00345DCF"/>
    <w:rsid w:val="00362000"/>
    <w:rsid w:val="0036306D"/>
    <w:rsid w:val="00365A4C"/>
    <w:rsid w:val="003714C7"/>
    <w:rsid w:val="003716CE"/>
    <w:rsid w:val="00375B0A"/>
    <w:rsid w:val="00377F47"/>
    <w:rsid w:val="00380363"/>
    <w:rsid w:val="00383459"/>
    <w:rsid w:val="00390A6C"/>
    <w:rsid w:val="00391BA3"/>
    <w:rsid w:val="00395325"/>
    <w:rsid w:val="00396AD4"/>
    <w:rsid w:val="003A59CB"/>
    <w:rsid w:val="003A7093"/>
    <w:rsid w:val="003B3FBB"/>
    <w:rsid w:val="003B7787"/>
    <w:rsid w:val="003C00ED"/>
    <w:rsid w:val="003C0DEA"/>
    <w:rsid w:val="003C2D1E"/>
    <w:rsid w:val="003C37DF"/>
    <w:rsid w:val="003C4723"/>
    <w:rsid w:val="003C4C41"/>
    <w:rsid w:val="003D2E50"/>
    <w:rsid w:val="003D5372"/>
    <w:rsid w:val="003D7F94"/>
    <w:rsid w:val="003E46D7"/>
    <w:rsid w:val="003E5760"/>
    <w:rsid w:val="003F0DE0"/>
    <w:rsid w:val="003F10BE"/>
    <w:rsid w:val="004016A8"/>
    <w:rsid w:val="00401AF1"/>
    <w:rsid w:val="004073F8"/>
    <w:rsid w:val="0040790B"/>
    <w:rsid w:val="00410955"/>
    <w:rsid w:val="00410C6A"/>
    <w:rsid w:val="00413C1E"/>
    <w:rsid w:val="00414182"/>
    <w:rsid w:val="00417258"/>
    <w:rsid w:val="00437D4C"/>
    <w:rsid w:val="00442481"/>
    <w:rsid w:val="0044275C"/>
    <w:rsid w:val="00444F2D"/>
    <w:rsid w:val="0045078D"/>
    <w:rsid w:val="004507B5"/>
    <w:rsid w:val="00450C6B"/>
    <w:rsid w:val="00454A98"/>
    <w:rsid w:val="00456C0B"/>
    <w:rsid w:val="00461E5D"/>
    <w:rsid w:val="00471024"/>
    <w:rsid w:val="00471659"/>
    <w:rsid w:val="00476E96"/>
    <w:rsid w:val="00481A5E"/>
    <w:rsid w:val="00482447"/>
    <w:rsid w:val="00482CCD"/>
    <w:rsid w:val="004831C6"/>
    <w:rsid w:val="00484B7B"/>
    <w:rsid w:val="004920EB"/>
    <w:rsid w:val="00497EEE"/>
    <w:rsid w:val="004A08DE"/>
    <w:rsid w:val="004A56C3"/>
    <w:rsid w:val="004B0201"/>
    <w:rsid w:val="004B0EC2"/>
    <w:rsid w:val="004B1F6C"/>
    <w:rsid w:val="004B62CF"/>
    <w:rsid w:val="004B675D"/>
    <w:rsid w:val="004C1A97"/>
    <w:rsid w:val="004C2919"/>
    <w:rsid w:val="004C2947"/>
    <w:rsid w:val="004C369D"/>
    <w:rsid w:val="004C44FC"/>
    <w:rsid w:val="004C609E"/>
    <w:rsid w:val="004D2413"/>
    <w:rsid w:val="004D3582"/>
    <w:rsid w:val="004F3A63"/>
    <w:rsid w:val="004F470E"/>
    <w:rsid w:val="004F5250"/>
    <w:rsid w:val="004F64FA"/>
    <w:rsid w:val="004F6B80"/>
    <w:rsid w:val="004F77CA"/>
    <w:rsid w:val="004F7CCE"/>
    <w:rsid w:val="005005C9"/>
    <w:rsid w:val="005038DE"/>
    <w:rsid w:val="005068CA"/>
    <w:rsid w:val="005109D9"/>
    <w:rsid w:val="00511AD9"/>
    <w:rsid w:val="00511FE2"/>
    <w:rsid w:val="00513CA7"/>
    <w:rsid w:val="0052407F"/>
    <w:rsid w:val="005327DF"/>
    <w:rsid w:val="00534456"/>
    <w:rsid w:val="005347B8"/>
    <w:rsid w:val="005357AE"/>
    <w:rsid w:val="005472BB"/>
    <w:rsid w:val="00554A05"/>
    <w:rsid w:val="00561648"/>
    <w:rsid w:val="0056455D"/>
    <w:rsid w:val="005648AA"/>
    <w:rsid w:val="0056544E"/>
    <w:rsid w:val="00565ED9"/>
    <w:rsid w:val="0057356E"/>
    <w:rsid w:val="00575EE7"/>
    <w:rsid w:val="00576742"/>
    <w:rsid w:val="0057771D"/>
    <w:rsid w:val="00580C08"/>
    <w:rsid w:val="005906A8"/>
    <w:rsid w:val="0059131C"/>
    <w:rsid w:val="005946A8"/>
    <w:rsid w:val="005A1770"/>
    <w:rsid w:val="005A21BB"/>
    <w:rsid w:val="005A5075"/>
    <w:rsid w:val="005A5A93"/>
    <w:rsid w:val="005B1FF1"/>
    <w:rsid w:val="005B68CC"/>
    <w:rsid w:val="005B7F15"/>
    <w:rsid w:val="005C153D"/>
    <w:rsid w:val="005C2581"/>
    <w:rsid w:val="005C2FFF"/>
    <w:rsid w:val="005C3CE4"/>
    <w:rsid w:val="005C4675"/>
    <w:rsid w:val="005D1ACE"/>
    <w:rsid w:val="005D5EAA"/>
    <w:rsid w:val="005D636E"/>
    <w:rsid w:val="005E1726"/>
    <w:rsid w:val="005E1874"/>
    <w:rsid w:val="005E23D5"/>
    <w:rsid w:val="005E3FFC"/>
    <w:rsid w:val="005E4964"/>
    <w:rsid w:val="005E4F15"/>
    <w:rsid w:val="006020BD"/>
    <w:rsid w:val="00604A17"/>
    <w:rsid w:val="00605561"/>
    <w:rsid w:val="00622C18"/>
    <w:rsid w:val="00632B78"/>
    <w:rsid w:val="00633F70"/>
    <w:rsid w:val="00635226"/>
    <w:rsid w:val="00637121"/>
    <w:rsid w:val="00643D54"/>
    <w:rsid w:val="00645720"/>
    <w:rsid w:val="00645D76"/>
    <w:rsid w:val="00646EB6"/>
    <w:rsid w:val="006520E0"/>
    <w:rsid w:val="00655218"/>
    <w:rsid w:val="0066161D"/>
    <w:rsid w:val="006645C7"/>
    <w:rsid w:val="00666EB3"/>
    <w:rsid w:val="00667475"/>
    <w:rsid w:val="00670592"/>
    <w:rsid w:val="0068102F"/>
    <w:rsid w:val="0068477E"/>
    <w:rsid w:val="00684E68"/>
    <w:rsid w:val="00690672"/>
    <w:rsid w:val="006906CB"/>
    <w:rsid w:val="00692E7D"/>
    <w:rsid w:val="006965AF"/>
    <w:rsid w:val="006A00A3"/>
    <w:rsid w:val="006A0FA8"/>
    <w:rsid w:val="006A5E7D"/>
    <w:rsid w:val="006A7075"/>
    <w:rsid w:val="006B2873"/>
    <w:rsid w:val="006C33B1"/>
    <w:rsid w:val="006C4130"/>
    <w:rsid w:val="006C5324"/>
    <w:rsid w:val="006C58AC"/>
    <w:rsid w:val="006C6134"/>
    <w:rsid w:val="006C7B4E"/>
    <w:rsid w:val="006D1A10"/>
    <w:rsid w:val="006D20E2"/>
    <w:rsid w:val="006D3E2A"/>
    <w:rsid w:val="006D6887"/>
    <w:rsid w:val="006D6FBC"/>
    <w:rsid w:val="006E0693"/>
    <w:rsid w:val="006E0B4B"/>
    <w:rsid w:val="006E1C60"/>
    <w:rsid w:val="006E4374"/>
    <w:rsid w:val="006E65E2"/>
    <w:rsid w:val="006E6C36"/>
    <w:rsid w:val="006F77C9"/>
    <w:rsid w:val="00701CB2"/>
    <w:rsid w:val="00707A56"/>
    <w:rsid w:val="007103FD"/>
    <w:rsid w:val="00713004"/>
    <w:rsid w:val="00713C55"/>
    <w:rsid w:val="00724875"/>
    <w:rsid w:val="00724B40"/>
    <w:rsid w:val="007262BF"/>
    <w:rsid w:val="00730D45"/>
    <w:rsid w:val="00736072"/>
    <w:rsid w:val="0073719E"/>
    <w:rsid w:val="00737545"/>
    <w:rsid w:val="007376AB"/>
    <w:rsid w:val="00737B9E"/>
    <w:rsid w:val="00740AB6"/>
    <w:rsid w:val="00745636"/>
    <w:rsid w:val="00745E31"/>
    <w:rsid w:val="007470B9"/>
    <w:rsid w:val="0074738A"/>
    <w:rsid w:val="007525BA"/>
    <w:rsid w:val="00755E6C"/>
    <w:rsid w:val="00756881"/>
    <w:rsid w:val="00756D1A"/>
    <w:rsid w:val="00763E61"/>
    <w:rsid w:val="00764D4F"/>
    <w:rsid w:val="007709F9"/>
    <w:rsid w:val="0078271F"/>
    <w:rsid w:val="0079437B"/>
    <w:rsid w:val="007945AC"/>
    <w:rsid w:val="00794F6E"/>
    <w:rsid w:val="00796ED2"/>
    <w:rsid w:val="007A171F"/>
    <w:rsid w:val="007A334C"/>
    <w:rsid w:val="007A6C32"/>
    <w:rsid w:val="007A7347"/>
    <w:rsid w:val="007A7ED6"/>
    <w:rsid w:val="007B0989"/>
    <w:rsid w:val="007B0E4D"/>
    <w:rsid w:val="007B7B7A"/>
    <w:rsid w:val="007C2A81"/>
    <w:rsid w:val="007C3E71"/>
    <w:rsid w:val="007C4E34"/>
    <w:rsid w:val="007C6619"/>
    <w:rsid w:val="007D0B01"/>
    <w:rsid w:val="007D2220"/>
    <w:rsid w:val="007D28EF"/>
    <w:rsid w:val="007D29A6"/>
    <w:rsid w:val="007D3138"/>
    <w:rsid w:val="007D45D1"/>
    <w:rsid w:val="007D4CCE"/>
    <w:rsid w:val="007D4CE0"/>
    <w:rsid w:val="007D6839"/>
    <w:rsid w:val="007E152F"/>
    <w:rsid w:val="007E34B8"/>
    <w:rsid w:val="007E3897"/>
    <w:rsid w:val="007F3764"/>
    <w:rsid w:val="007F56C6"/>
    <w:rsid w:val="008000C7"/>
    <w:rsid w:val="0080374B"/>
    <w:rsid w:val="008073E7"/>
    <w:rsid w:val="00810347"/>
    <w:rsid w:val="00813783"/>
    <w:rsid w:val="0081378C"/>
    <w:rsid w:val="008141E8"/>
    <w:rsid w:val="00816DB0"/>
    <w:rsid w:val="00816E7D"/>
    <w:rsid w:val="008219B2"/>
    <w:rsid w:val="008227C6"/>
    <w:rsid w:val="008250A7"/>
    <w:rsid w:val="00832F4A"/>
    <w:rsid w:val="008352A7"/>
    <w:rsid w:val="00837F1B"/>
    <w:rsid w:val="00841509"/>
    <w:rsid w:val="0084193D"/>
    <w:rsid w:val="00843D36"/>
    <w:rsid w:val="00844282"/>
    <w:rsid w:val="008502A8"/>
    <w:rsid w:val="00851089"/>
    <w:rsid w:val="00851A10"/>
    <w:rsid w:val="00851A21"/>
    <w:rsid w:val="008555FC"/>
    <w:rsid w:val="00855FB6"/>
    <w:rsid w:val="00863DF6"/>
    <w:rsid w:val="00866FC8"/>
    <w:rsid w:val="00874F08"/>
    <w:rsid w:val="00876FCB"/>
    <w:rsid w:val="00877A02"/>
    <w:rsid w:val="00877EC4"/>
    <w:rsid w:val="00881E0A"/>
    <w:rsid w:val="008861AB"/>
    <w:rsid w:val="0089006C"/>
    <w:rsid w:val="008912B6"/>
    <w:rsid w:val="00892C55"/>
    <w:rsid w:val="008A300A"/>
    <w:rsid w:val="008A5959"/>
    <w:rsid w:val="008A75B4"/>
    <w:rsid w:val="008A7678"/>
    <w:rsid w:val="008B3AED"/>
    <w:rsid w:val="008C0B56"/>
    <w:rsid w:val="008C1090"/>
    <w:rsid w:val="008C46A1"/>
    <w:rsid w:val="008C69A3"/>
    <w:rsid w:val="008D03C4"/>
    <w:rsid w:val="008D0A40"/>
    <w:rsid w:val="008D0EAA"/>
    <w:rsid w:val="008D2F9F"/>
    <w:rsid w:val="008D3EEB"/>
    <w:rsid w:val="008D479B"/>
    <w:rsid w:val="008D4C9C"/>
    <w:rsid w:val="008D66F2"/>
    <w:rsid w:val="008E0390"/>
    <w:rsid w:val="008F1038"/>
    <w:rsid w:val="008F7D07"/>
    <w:rsid w:val="0090031B"/>
    <w:rsid w:val="0090172D"/>
    <w:rsid w:val="00901DF6"/>
    <w:rsid w:val="00902A1D"/>
    <w:rsid w:val="009041DB"/>
    <w:rsid w:val="00904AEF"/>
    <w:rsid w:val="00913987"/>
    <w:rsid w:val="0091425C"/>
    <w:rsid w:val="009156B4"/>
    <w:rsid w:val="009254E9"/>
    <w:rsid w:val="009263DF"/>
    <w:rsid w:val="00926BED"/>
    <w:rsid w:val="009312EF"/>
    <w:rsid w:val="00934B34"/>
    <w:rsid w:val="00936945"/>
    <w:rsid w:val="00945630"/>
    <w:rsid w:val="0094742C"/>
    <w:rsid w:val="0095092B"/>
    <w:rsid w:val="00952AFA"/>
    <w:rsid w:val="009536E4"/>
    <w:rsid w:val="0095379A"/>
    <w:rsid w:val="009574C5"/>
    <w:rsid w:val="009604FB"/>
    <w:rsid w:val="00960D00"/>
    <w:rsid w:val="00961465"/>
    <w:rsid w:val="00962713"/>
    <w:rsid w:val="00962E05"/>
    <w:rsid w:val="00963593"/>
    <w:rsid w:val="009651D1"/>
    <w:rsid w:val="00965A39"/>
    <w:rsid w:val="00965B2F"/>
    <w:rsid w:val="00974773"/>
    <w:rsid w:val="00976821"/>
    <w:rsid w:val="0097691B"/>
    <w:rsid w:val="00980796"/>
    <w:rsid w:val="00980BB6"/>
    <w:rsid w:val="009816B6"/>
    <w:rsid w:val="00983A30"/>
    <w:rsid w:val="00990D1F"/>
    <w:rsid w:val="0099233D"/>
    <w:rsid w:val="00992AEB"/>
    <w:rsid w:val="00993803"/>
    <w:rsid w:val="009948E8"/>
    <w:rsid w:val="009976CF"/>
    <w:rsid w:val="009A3737"/>
    <w:rsid w:val="009A5117"/>
    <w:rsid w:val="009A7DB6"/>
    <w:rsid w:val="009B1760"/>
    <w:rsid w:val="009C727A"/>
    <w:rsid w:val="009D0A7D"/>
    <w:rsid w:val="009D3D5A"/>
    <w:rsid w:val="009D3EE0"/>
    <w:rsid w:val="009D71C6"/>
    <w:rsid w:val="009E0686"/>
    <w:rsid w:val="009E1E7A"/>
    <w:rsid w:val="009E5131"/>
    <w:rsid w:val="009E51B4"/>
    <w:rsid w:val="009F217B"/>
    <w:rsid w:val="009F2B55"/>
    <w:rsid w:val="009F6143"/>
    <w:rsid w:val="009F648A"/>
    <w:rsid w:val="00A0197D"/>
    <w:rsid w:val="00A0454E"/>
    <w:rsid w:val="00A04FB1"/>
    <w:rsid w:val="00A060E3"/>
    <w:rsid w:val="00A1066D"/>
    <w:rsid w:val="00A10C06"/>
    <w:rsid w:val="00A11117"/>
    <w:rsid w:val="00A11E29"/>
    <w:rsid w:val="00A13FD3"/>
    <w:rsid w:val="00A14AAE"/>
    <w:rsid w:val="00A15477"/>
    <w:rsid w:val="00A179A0"/>
    <w:rsid w:val="00A20183"/>
    <w:rsid w:val="00A211E1"/>
    <w:rsid w:val="00A22AF0"/>
    <w:rsid w:val="00A23713"/>
    <w:rsid w:val="00A24719"/>
    <w:rsid w:val="00A24DCB"/>
    <w:rsid w:val="00A270BB"/>
    <w:rsid w:val="00A33034"/>
    <w:rsid w:val="00A332AD"/>
    <w:rsid w:val="00A34DD9"/>
    <w:rsid w:val="00A36D39"/>
    <w:rsid w:val="00A37A67"/>
    <w:rsid w:val="00A42915"/>
    <w:rsid w:val="00A42D8B"/>
    <w:rsid w:val="00A50014"/>
    <w:rsid w:val="00A51B58"/>
    <w:rsid w:val="00A52812"/>
    <w:rsid w:val="00A53D32"/>
    <w:rsid w:val="00A5654F"/>
    <w:rsid w:val="00A64397"/>
    <w:rsid w:val="00A64CB3"/>
    <w:rsid w:val="00A66211"/>
    <w:rsid w:val="00A668E5"/>
    <w:rsid w:val="00A72378"/>
    <w:rsid w:val="00A757D1"/>
    <w:rsid w:val="00A76B33"/>
    <w:rsid w:val="00A82099"/>
    <w:rsid w:val="00A835D3"/>
    <w:rsid w:val="00A83B43"/>
    <w:rsid w:val="00A864C3"/>
    <w:rsid w:val="00A93915"/>
    <w:rsid w:val="00A94C7C"/>
    <w:rsid w:val="00AA78A5"/>
    <w:rsid w:val="00AB059B"/>
    <w:rsid w:val="00AB2A30"/>
    <w:rsid w:val="00AB361F"/>
    <w:rsid w:val="00AB5469"/>
    <w:rsid w:val="00AB7077"/>
    <w:rsid w:val="00AC0943"/>
    <w:rsid w:val="00AD1B2B"/>
    <w:rsid w:val="00AD1F11"/>
    <w:rsid w:val="00AD2E73"/>
    <w:rsid w:val="00AD3D1D"/>
    <w:rsid w:val="00AD52BF"/>
    <w:rsid w:val="00AD5829"/>
    <w:rsid w:val="00AD5DDB"/>
    <w:rsid w:val="00AE141D"/>
    <w:rsid w:val="00AE1DC4"/>
    <w:rsid w:val="00AE3D3C"/>
    <w:rsid w:val="00AE51C9"/>
    <w:rsid w:val="00B011B0"/>
    <w:rsid w:val="00B01282"/>
    <w:rsid w:val="00B03C74"/>
    <w:rsid w:val="00B102F0"/>
    <w:rsid w:val="00B1042E"/>
    <w:rsid w:val="00B13369"/>
    <w:rsid w:val="00B13AA5"/>
    <w:rsid w:val="00B244B1"/>
    <w:rsid w:val="00B264D9"/>
    <w:rsid w:val="00B26562"/>
    <w:rsid w:val="00B279EF"/>
    <w:rsid w:val="00B30D5E"/>
    <w:rsid w:val="00B3190F"/>
    <w:rsid w:val="00B327C5"/>
    <w:rsid w:val="00B329E3"/>
    <w:rsid w:val="00B33D58"/>
    <w:rsid w:val="00B36CCD"/>
    <w:rsid w:val="00B37CC1"/>
    <w:rsid w:val="00B41D79"/>
    <w:rsid w:val="00B4489F"/>
    <w:rsid w:val="00B44FE9"/>
    <w:rsid w:val="00B46269"/>
    <w:rsid w:val="00B500E3"/>
    <w:rsid w:val="00B509C3"/>
    <w:rsid w:val="00B536BE"/>
    <w:rsid w:val="00B5454C"/>
    <w:rsid w:val="00B551E2"/>
    <w:rsid w:val="00B56946"/>
    <w:rsid w:val="00B576FF"/>
    <w:rsid w:val="00B62BE8"/>
    <w:rsid w:val="00B654E5"/>
    <w:rsid w:val="00B70FD8"/>
    <w:rsid w:val="00B7124C"/>
    <w:rsid w:val="00B728C5"/>
    <w:rsid w:val="00B7314C"/>
    <w:rsid w:val="00B73458"/>
    <w:rsid w:val="00B814C7"/>
    <w:rsid w:val="00B81E0B"/>
    <w:rsid w:val="00B846E2"/>
    <w:rsid w:val="00B878AF"/>
    <w:rsid w:val="00B96026"/>
    <w:rsid w:val="00BA2519"/>
    <w:rsid w:val="00BA2F56"/>
    <w:rsid w:val="00BB4E85"/>
    <w:rsid w:val="00BB5BD1"/>
    <w:rsid w:val="00BB6BF8"/>
    <w:rsid w:val="00BC0647"/>
    <w:rsid w:val="00BC5453"/>
    <w:rsid w:val="00BD3192"/>
    <w:rsid w:val="00BD7AF1"/>
    <w:rsid w:val="00BE15E7"/>
    <w:rsid w:val="00BE1B75"/>
    <w:rsid w:val="00BE272D"/>
    <w:rsid w:val="00BE7D49"/>
    <w:rsid w:val="00BF1A10"/>
    <w:rsid w:val="00BF385F"/>
    <w:rsid w:val="00BF6797"/>
    <w:rsid w:val="00C002AA"/>
    <w:rsid w:val="00C0399E"/>
    <w:rsid w:val="00C03E1F"/>
    <w:rsid w:val="00C04C3B"/>
    <w:rsid w:val="00C04E6F"/>
    <w:rsid w:val="00C07B0D"/>
    <w:rsid w:val="00C1281A"/>
    <w:rsid w:val="00C1326E"/>
    <w:rsid w:val="00C146F7"/>
    <w:rsid w:val="00C1470D"/>
    <w:rsid w:val="00C15725"/>
    <w:rsid w:val="00C17E5B"/>
    <w:rsid w:val="00C210EB"/>
    <w:rsid w:val="00C25056"/>
    <w:rsid w:val="00C273C1"/>
    <w:rsid w:val="00C300E7"/>
    <w:rsid w:val="00C3083E"/>
    <w:rsid w:val="00C34BEB"/>
    <w:rsid w:val="00C34D71"/>
    <w:rsid w:val="00C36F37"/>
    <w:rsid w:val="00C460D8"/>
    <w:rsid w:val="00C46BBD"/>
    <w:rsid w:val="00C5208F"/>
    <w:rsid w:val="00C64643"/>
    <w:rsid w:val="00C67E8E"/>
    <w:rsid w:val="00C70B2D"/>
    <w:rsid w:val="00C75E4B"/>
    <w:rsid w:val="00C76DEE"/>
    <w:rsid w:val="00C779F9"/>
    <w:rsid w:val="00C77F62"/>
    <w:rsid w:val="00C81E51"/>
    <w:rsid w:val="00C90409"/>
    <w:rsid w:val="00C92A06"/>
    <w:rsid w:val="00C93378"/>
    <w:rsid w:val="00C94F63"/>
    <w:rsid w:val="00C95298"/>
    <w:rsid w:val="00C969E4"/>
    <w:rsid w:val="00C9732A"/>
    <w:rsid w:val="00C97471"/>
    <w:rsid w:val="00C97B68"/>
    <w:rsid w:val="00CA3316"/>
    <w:rsid w:val="00CA57A7"/>
    <w:rsid w:val="00CB132B"/>
    <w:rsid w:val="00CB2D8F"/>
    <w:rsid w:val="00CB5C69"/>
    <w:rsid w:val="00CB5F40"/>
    <w:rsid w:val="00CB6639"/>
    <w:rsid w:val="00CC0320"/>
    <w:rsid w:val="00CC081E"/>
    <w:rsid w:val="00CD2B26"/>
    <w:rsid w:val="00CD602C"/>
    <w:rsid w:val="00CE1AA1"/>
    <w:rsid w:val="00CE6F0F"/>
    <w:rsid w:val="00CF4702"/>
    <w:rsid w:val="00CF4C82"/>
    <w:rsid w:val="00D00BB4"/>
    <w:rsid w:val="00D0588C"/>
    <w:rsid w:val="00D1256B"/>
    <w:rsid w:val="00D20834"/>
    <w:rsid w:val="00D248F7"/>
    <w:rsid w:val="00D271AB"/>
    <w:rsid w:val="00D27313"/>
    <w:rsid w:val="00D319A5"/>
    <w:rsid w:val="00D34774"/>
    <w:rsid w:val="00D37F85"/>
    <w:rsid w:val="00D403EF"/>
    <w:rsid w:val="00D42C5E"/>
    <w:rsid w:val="00D43FBB"/>
    <w:rsid w:val="00D4493D"/>
    <w:rsid w:val="00D44B91"/>
    <w:rsid w:val="00D46A1C"/>
    <w:rsid w:val="00D47754"/>
    <w:rsid w:val="00D50872"/>
    <w:rsid w:val="00D5170F"/>
    <w:rsid w:val="00D55271"/>
    <w:rsid w:val="00D56F1F"/>
    <w:rsid w:val="00D62A16"/>
    <w:rsid w:val="00D64942"/>
    <w:rsid w:val="00D67B05"/>
    <w:rsid w:val="00D719A3"/>
    <w:rsid w:val="00D7264A"/>
    <w:rsid w:val="00D72C02"/>
    <w:rsid w:val="00D738C3"/>
    <w:rsid w:val="00D75E9D"/>
    <w:rsid w:val="00D853E6"/>
    <w:rsid w:val="00D92459"/>
    <w:rsid w:val="00D94730"/>
    <w:rsid w:val="00DA0C47"/>
    <w:rsid w:val="00DA0CDD"/>
    <w:rsid w:val="00DA3D2E"/>
    <w:rsid w:val="00DA6DE0"/>
    <w:rsid w:val="00DA6F4D"/>
    <w:rsid w:val="00DB04BF"/>
    <w:rsid w:val="00DB1336"/>
    <w:rsid w:val="00DB140F"/>
    <w:rsid w:val="00DB1F01"/>
    <w:rsid w:val="00DB2D84"/>
    <w:rsid w:val="00DB3036"/>
    <w:rsid w:val="00DC17AE"/>
    <w:rsid w:val="00DC1B8C"/>
    <w:rsid w:val="00DC3C14"/>
    <w:rsid w:val="00DC4E65"/>
    <w:rsid w:val="00DC67C6"/>
    <w:rsid w:val="00DD014C"/>
    <w:rsid w:val="00DD0642"/>
    <w:rsid w:val="00DD07A0"/>
    <w:rsid w:val="00DD3BFA"/>
    <w:rsid w:val="00DD404C"/>
    <w:rsid w:val="00DD68E3"/>
    <w:rsid w:val="00DE1CEC"/>
    <w:rsid w:val="00DE56FA"/>
    <w:rsid w:val="00DE5B8C"/>
    <w:rsid w:val="00DE61C2"/>
    <w:rsid w:val="00DE67C6"/>
    <w:rsid w:val="00DF02B1"/>
    <w:rsid w:val="00DF2B82"/>
    <w:rsid w:val="00DF6CBA"/>
    <w:rsid w:val="00E00C36"/>
    <w:rsid w:val="00E02187"/>
    <w:rsid w:val="00E10C56"/>
    <w:rsid w:val="00E155D7"/>
    <w:rsid w:val="00E22B05"/>
    <w:rsid w:val="00E23BC6"/>
    <w:rsid w:val="00E2577B"/>
    <w:rsid w:val="00E26CF4"/>
    <w:rsid w:val="00E26F06"/>
    <w:rsid w:val="00E30095"/>
    <w:rsid w:val="00E324C5"/>
    <w:rsid w:val="00E37095"/>
    <w:rsid w:val="00E427A1"/>
    <w:rsid w:val="00E46FBB"/>
    <w:rsid w:val="00E5124F"/>
    <w:rsid w:val="00E525A6"/>
    <w:rsid w:val="00E54C1F"/>
    <w:rsid w:val="00E55AC1"/>
    <w:rsid w:val="00E60746"/>
    <w:rsid w:val="00E61171"/>
    <w:rsid w:val="00E61272"/>
    <w:rsid w:val="00E63EDA"/>
    <w:rsid w:val="00E82504"/>
    <w:rsid w:val="00E90493"/>
    <w:rsid w:val="00E9649E"/>
    <w:rsid w:val="00EA4B5C"/>
    <w:rsid w:val="00EA7608"/>
    <w:rsid w:val="00EB5599"/>
    <w:rsid w:val="00EB5BA3"/>
    <w:rsid w:val="00EB6EFA"/>
    <w:rsid w:val="00EC2690"/>
    <w:rsid w:val="00EC320D"/>
    <w:rsid w:val="00EC6C30"/>
    <w:rsid w:val="00ED17E7"/>
    <w:rsid w:val="00ED738D"/>
    <w:rsid w:val="00EE4639"/>
    <w:rsid w:val="00EE4A75"/>
    <w:rsid w:val="00EE4F4F"/>
    <w:rsid w:val="00EE6466"/>
    <w:rsid w:val="00EF1985"/>
    <w:rsid w:val="00EF2426"/>
    <w:rsid w:val="00EF4646"/>
    <w:rsid w:val="00EF46A8"/>
    <w:rsid w:val="00EF4A78"/>
    <w:rsid w:val="00EF771D"/>
    <w:rsid w:val="00F04B1D"/>
    <w:rsid w:val="00F04D85"/>
    <w:rsid w:val="00F04E61"/>
    <w:rsid w:val="00F112B8"/>
    <w:rsid w:val="00F125B9"/>
    <w:rsid w:val="00F17796"/>
    <w:rsid w:val="00F215ED"/>
    <w:rsid w:val="00F24956"/>
    <w:rsid w:val="00F24ECE"/>
    <w:rsid w:val="00F3253C"/>
    <w:rsid w:val="00F32AE1"/>
    <w:rsid w:val="00F3658D"/>
    <w:rsid w:val="00F36758"/>
    <w:rsid w:val="00F3795C"/>
    <w:rsid w:val="00F4248D"/>
    <w:rsid w:val="00F4508A"/>
    <w:rsid w:val="00F46D3A"/>
    <w:rsid w:val="00F60BC8"/>
    <w:rsid w:val="00F65F2F"/>
    <w:rsid w:val="00F66959"/>
    <w:rsid w:val="00F73089"/>
    <w:rsid w:val="00F7465D"/>
    <w:rsid w:val="00F74ADF"/>
    <w:rsid w:val="00F7798A"/>
    <w:rsid w:val="00F80231"/>
    <w:rsid w:val="00F8144C"/>
    <w:rsid w:val="00F87890"/>
    <w:rsid w:val="00F91959"/>
    <w:rsid w:val="00F91B2E"/>
    <w:rsid w:val="00F9291E"/>
    <w:rsid w:val="00F935AE"/>
    <w:rsid w:val="00F97C61"/>
    <w:rsid w:val="00FA2DF2"/>
    <w:rsid w:val="00FA55B7"/>
    <w:rsid w:val="00FA59B8"/>
    <w:rsid w:val="00FB1797"/>
    <w:rsid w:val="00FB17A0"/>
    <w:rsid w:val="00FB302F"/>
    <w:rsid w:val="00FB44BB"/>
    <w:rsid w:val="00FB49D8"/>
    <w:rsid w:val="00FD15EF"/>
    <w:rsid w:val="00FD19D7"/>
    <w:rsid w:val="00FD1F7D"/>
    <w:rsid w:val="00FD581B"/>
    <w:rsid w:val="00FD5C30"/>
    <w:rsid w:val="00FD682D"/>
    <w:rsid w:val="00FE2373"/>
    <w:rsid w:val="00FE447F"/>
    <w:rsid w:val="00FE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A6F259"/>
  <w14:defaultImageDpi w14:val="300"/>
  <w15:docId w15:val="{53FFF889-4DE0-4641-AC6B-E8976A19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List Paragraph2,CV text,Table text,F5 List Paragraph,Dot pt,List Paragraph111,Medium Grid 1 - Accent 21,Numbered Paragraph,Bullet text,Bullet 1,Numbered Para 1,No Spacing1,Indicator Text"/>
    <w:basedOn w:val="Normal"/>
    <w:link w:val="ListParagraphChar"/>
    <w:uiPriority w:val="34"/>
    <w:qFormat/>
    <w:rsid w:val="001D440A"/>
    <w:pPr>
      <w:ind w:left="720"/>
      <w:contextualSpacing/>
    </w:pPr>
  </w:style>
  <w:style w:type="paragraph" w:styleId="BalloonText">
    <w:name w:val="Balloon Text"/>
    <w:basedOn w:val="Normal"/>
    <w:link w:val="BalloonTextChar"/>
    <w:uiPriority w:val="99"/>
    <w:semiHidden/>
    <w:unhideWhenUsed/>
    <w:rsid w:val="005654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44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B6889"/>
    <w:rPr>
      <w:sz w:val="18"/>
      <w:szCs w:val="18"/>
    </w:rPr>
  </w:style>
  <w:style w:type="paragraph" w:styleId="CommentText">
    <w:name w:val="annotation text"/>
    <w:basedOn w:val="Normal"/>
    <w:link w:val="CommentTextChar"/>
    <w:uiPriority w:val="99"/>
    <w:semiHidden/>
    <w:unhideWhenUsed/>
    <w:rsid w:val="000B6889"/>
  </w:style>
  <w:style w:type="character" w:customStyle="1" w:styleId="CommentTextChar">
    <w:name w:val="Comment Text Char"/>
    <w:basedOn w:val="DefaultParagraphFont"/>
    <w:link w:val="CommentText"/>
    <w:uiPriority w:val="99"/>
    <w:semiHidden/>
    <w:rsid w:val="000B6889"/>
  </w:style>
  <w:style w:type="paragraph" w:styleId="CommentSubject">
    <w:name w:val="annotation subject"/>
    <w:basedOn w:val="CommentText"/>
    <w:next w:val="CommentText"/>
    <w:link w:val="CommentSubjectChar"/>
    <w:uiPriority w:val="99"/>
    <w:semiHidden/>
    <w:unhideWhenUsed/>
    <w:rsid w:val="000B6889"/>
    <w:rPr>
      <w:b/>
      <w:bCs/>
      <w:sz w:val="20"/>
      <w:szCs w:val="20"/>
    </w:rPr>
  </w:style>
  <w:style w:type="character" w:customStyle="1" w:styleId="CommentSubjectChar">
    <w:name w:val="Comment Subject Char"/>
    <w:basedOn w:val="CommentTextChar"/>
    <w:link w:val="CommentSubject"/>
    <w:uiPriority w:val="99"/>
    <w:semiHidden/>
    <w:rsid w:val="000B6889"/>
    <w:rPr>
      <w:b/>
      <w:bCs/>
      <w:sz w:val="20"/>
      <w:szCs w:val="20"/>
    </w:rPr>
  </w:style>
  <w:style w:type="table" w:styleId="TableGrid">
    <w:name w:val="Table Grid"/>
    <w:basedOn w:val="TableNormal"/>
    <w:uiPriority w:val="59"/>
    <w:rsid w:val="00FB3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List Paragraph2 Char,CV text Char,Table text Char,F5 List Paragraph Char,Dot pt Char,List Paragraph111 Char,Medium Grid 1 - Accent 21 Char,Numbered Paragraph Char"/>
    <w:link w:val="ListParagraph"/>
    <w:uiPriority w:val="34"/>
    <w:locked/>
    <w:rsid w:val="001B13AE"/>
  </w:style>
  <w:style w:type="paragraph" w:styleId="TableofFigures">
    <w:name w:val="table of figures"/>
    <w:basedOn w:val="Normal"/>
    <w:next w:val="Normal"/>
    <w:uiPriority w:val="99"/>
    <w:unhideWhenUsed/>
    <w:rsid w:val="008D479B"/>
    <w:rPr>
      <w:i/>
      <w:sz w:val="20"/>
      <w:szCs w:val="20"/>
    </w:rPr>
  </w:style>
  <w:style w:type="table" w:customStyle="1" w:styleId="TableGrid1">
    <w:name w:val="Table Grid1"/>
    <w:basedOn w:val="TableNormal"/>
    <w:next w:val="TableGrid"/>
    <w:uiPriority w:val="59"/>
    <w:rsid w:val="0020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heading3,Body Text - Level 2,b,Body,bt,body text,BodyText,body,text,t,book,bullet,bullets,Concepto,ELI PD text,Concepto Char,bt Char,Body Text - Level 2 Char,heading3 Char,ELI PD text Char,Body Char,body text Char"/>
    <w:basedOn w:val="Normal"/>
    <w:link w:val="BodyTextChar"/>
    <w:uiPriority w:val="1"/>
    <w:rsid w:val="009A5117"/>
    <w:pPr>
      <w:overflowPunct w:val="0"/>
      <w:autoSpaceDE w:val="0"/>
      <w:autoSpaceDN w:val="0"/>
      <w:adjustRightInd w:val="0"/>
      <w:spacing w:before="100" w:after="120" w:line="276" w:lineRule="auto"/>
      <w:jc w:val="center"/>
      <w:textAlignment w:val="baseline"/>
    </w:pPr>
    <w:rPr>
      <w:rFonts w:ascii="Calibri" w:eastAsia="Corbel" w:hAnsi="Calibri" w:cs="Times New Roman"/>
      <w:sz w:val="20"/>
      <w:szCs w:val="20"/>
      <w:lang w:val="fr-CA" w:eastAsia="fr-FR"/>
    </w:rPr>
  </w:style>
  <w:style w:type="character" w:customStyle="1" w:styleId="BodyTextChar">
    <w:name w:val="Body Text Char"/>
    <w:aliases w:val="heading3 Char1,Body Text - Level 2 Char1,b Char,Body Char1,bt Char1,body text Char1,BodyText Char,body Char,text Char,t Char,book Char,bullet Char,bullets Char,Concepto Char1,ELI PD text Char1,Concepto Char Char,bt Char Char"/>
    <w:basedOn w:val="DefaultParagraphFont"/>
    <w:link w:val="BodyText"/>
    <w:uiPriority w:val="1"/>
    <w:rsid w:val="009A5117"/>
    <w:rPr>
      <w:rFonts w:ascii="Calibri" w:eastAsia="Corbel" w:hAnsi="Calibri" w:cs="Times New Roman"/>
      <w:sz w:val="20"/>
      <w:szCs w:val="20"/>
      <w:lang w:val="fr-CA" w:eastAsia="fr-FR"/>
    </w:rPr>
  </w:style>
  <w:style w:type="paragraph" w:styleId="Caption">
    <w:name w:val="caption"/>
    <w:aliases w:val="Baastel Caption"/>
    <w:basedOn w:val="Normal"/>
    <w:next w:val="Normal"/>
    <w:uiPriority w:val="35"/>
    <w:semiHidden/>
    <w:unhideWhenUsed/>
    <w:qFormat/>
    <w:rsid w:val="009A5117"/>
    <w:pPr>
      <w:spacing w:after="200" w:line="240" w:lineRule="auto"/>
    </w:pPr>
    <w:rPr>
      <w:i/>
      <w:iCs/>
      <w:color w:val="1F497D" w:themeColor="text2"/>
      <w:sz w:val="18"/>
      <w:szCs w:val="18"/>
    </w:rPr>
  </w:style>
  <w:style w:type="paragraph" w:styleId="NoSpacing">
    <w:name w:val="No Spacing"/>
    <w:uiPriority w:val="1"/>
    <w:qFormat/>
    <w:rsid w:val="00F3658D"/>
    <w:pPr>
      <w:spacing w:after="0" w:line="240" w:lineRule="auto"/>
    </w:pPr>
  </w:style>
  <w:style w:type="paragraph" w:styleId="Header">
    <w:name w:val="header"/>
    <w:basedOn w:val="Normal"/>
    <w:link w:val="HeaderChar"/>
    <w:uiPriority w:val="99"/>
    <w:unhideWhenUsed/>
    <w:rsid w:val="003D2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E50"/>
  </w:style>
  <w:style w:type="paragraph" w:styleId="Footer">
    <w:name w:val="footer"/>
    <w:basedOn w:val="Normal"/>
    <w:link w:val="FooterChar"/>
    <w:uiPriority w:val="99"/>
    <w:unhideWhenUsed/>
    <w:rsid w:val="003D2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E50"/>
  </w:style>
  <w:style w:type="character" w:styleId="Hyperlink">
    <w:name w:val="Hyperlink"/>
    <w:basedOn w:val="DefaultParagraphFont"/>
    <w:uiPriority w:val="99"/>
    <w:unhideWhenUsed/>
    <w:rsid w:val="00962713"/>
    <w:rPr>
      <w:color w:val="0000FF" w:themeColor="hyperlink"/>
      <w:u w:val="single"/>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
    <w:basedOn w:val="Normal"/>
    <w:link w:val="FootnoteTextChar"/>
    <w:uiPriority w:val="99"/>
    <w:unhideWhenUsed/>
    <w:rsid w:val="002A110D"/>
    <w:pPr>
      <w:spacing w:after="0" w:line="240" w:lineRule="auto"/>
    </w:pPr>
    <w:rPr>
      <w:rFonts w:eastAsiaTheme="minorEastAsia"/>
      <w:sz w:val="24"/>
      <w:szCs w:val="24"/>
    </w:rPr>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
    <w:basedOn w:val="DefaultParagraphFont"/>
    <w:link w:val="FootnoteText"/>
    <w:uiPriority w:val="99"/>
    <w:rsid w:val="002A110D"/>
    <w:rPr>
      <w:rFonts w:eastAsiaTheme="minorEastAsia"/>
      <w:sz w:val="24"/>
      <w:szCs w:val="24"/>
    </w:rPr>
  </w:style>
  <w:style w:type="character" w:styleId="FootnoteReference">
    <w:name w:val="footnote reference"/>
    <w:aliases w:val="ftref"/>
    <w:basedOn w:val="DefaultParagraphFont"/>
    <w:uiPriority w:val="99"/>
    <w:unhideWhenUsed/>
    <w:rsid w:val="002A1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8002-C999-46D0-9901-099AADA9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Persad</dc:creator>
  <cp:keywords/>
  <dc:description/>
  <cp:lastModifiedBy>Johanna Pelaez</cp:lastModifiedBy>
  <cp:revision>2</cp:revision>
  <cp:lastPrinted>2016-10-25T15:53:00Z</cp:lastPrinted>
  <dcterms:created xsi:type="dcterms:W3CDTF">2020-10-23T23:31:00Z</dcterms:created>
  <dcterms:modified xsi:type="dcterms:W3CDTF">2020-10-23T23:31:00Z</dcterms:modified>
</cp:coreProperties>
</file>