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5B6" w:rsidRPr="00EE1F6B" w:rsidRDefault="00EB55B6" w:rsidP="00B915B3">
      <w:pPr>
        <w:widowControl/>
        <w:tabs>
          <w:tab w:val="left" w:pos="-1440"/>
        </w:tabs>
        <w:autoSpaceDE/>
        <w:autoSpaceDN/>
        <w:adjustRightInd/>
        <w:contextualSpacing/>
        <w:jc w:val="center"/>
        <w:rPr>
          <w:rFonts w:ascii="Times New Roman" w:eastAsia="Calibri" w:hAnsi="Times New Roman"/>
          <w:b/>
          <w:bCs/>
          <w:sz w:val="22"/>
          <w:szCs w:val="22"/>
          <w:u w:val="single"/>
          <w:lang w:val="en-GB"/>
        </w:rPr>
      </w:pPr>
      <w:bookmarkStart w:id="0" w:name="_GoBack"/>
      <w:bookmarkEnd w:id="0"/>
      <w:r w:rsidRPr="00EE1F6B">
        <w:rPr>
          <w:rFonts w:ascii="Times New Roman" w:eastAsia="Calibri" w:hAnsi="Times New Roman"/>
          <w:b/>
          <w:bCs/>
          <w:sz w:val="22"/>
          <w:szCs w:val="22"/>
          <w:u w:val="single"/>
          <w:lang w:val="en-GB"/>
        </w:rPr>
        <w:t>TERMS OF REFERENCE</w:t>
      </w:r>
    </w:p>
    <w:p w:rsidR="00EB55B6" w:rsidRPr="00EE1F6B" w:rsidRDefault="00EB55B6" w:rsidP="00B915B3">
      <w:pPr>
        <w:widowControl/>
        <w:autoSpaceDE/>
        <w:autoSpaceDN/>
        <w:adjustRightInd/>
        <w:rPr>
          <w:rFonts w:ascii="Times New Roman" w:hAnsi="Times New Roman"/>
          <w:sz w:val="22"/>
          <w:szCs w:val="22"/>
        </w:rPr>
      </w:pPr>
    </w:p>
    <w:p w:rsidR="00B915B3" w:rsidRPr="00EE1F6B" w:rsidRDefault="00EB55B6" w:rsidP="00B915B3">
      <w:pPr>
        <w:widowControl/>
        <w:tabs>
          <w:tab w:val="left" w:pos="-1440"/>
        </w:tabs>
        <w:autoSpaceDE/>
        <w:autoSpaceDN/>
        <w:adjustRightInd/>
        <w:contextualSpacing/>
        <w:jc w:val="center"/>
        <w:rPr>
          <w:rFonts w:ascii="Times New Roman" w:hAnsi="Times New Roman"/>
          <w:b/>
          <w:sz w:val="22"/>
          <w:szCs w:val="22"/>
          <w:u w:val="single"/>
          <w:lang w:val="en-GB"/>
        </w:rPr>
      </w:pPr>
      <w:r w:rsidRPr="00EE1F6B">
        <w:rPr>
          <w:rFonts w:ascii="Times New Roman" w:hAnsi="Times New Roman"/>
          <w:b/>
          <w:sz w:val="22"/>
          <w:szCs w:val="22"/>
          <w:u w:val="single"/>
          <w:lang w:val="en-GB"/>
        </w:rPr>
        <w:t xml:space="preserve">CONSULTANCY SERVICES FOR THE </w:t>
      </w:r>
      <w:r w:rsidR="00A33AA4" w:rsidRPr="00EE1F6B">
        <w:rPr>
          <w:rFonts w:ascii="Times New Roman" w:hAnsi="Times New Roman"/>
          <w:b/>
          <w:sz w:val="22"/>
          <w:szCs w:val="22"/>
          <w:u w:val="single"/>
          <w:lang w:val="en-GB"/>
        </w:rPr>
        <w:t xml:space="preserve">DEVELOPMENT OF A </w:t>
      </w:r>
      <w:r w:rsidR="00883D43" w:rsidRPr="00EE1F6B">
        <w:rPr>
          <w:rFonts w:ascii="Times New Roman" w:hAnsi="Times New Roman"/>
          <w:b/>
          <w:sz w:val="22"/>
          <w:szCs w:val="22"/>
          <w:u w:val="single"/>
          <w:lang w:val="en-GB"/>
        </w:rPr>
        <w:t>PARTIAL CREDIT</w:t>
      </w:r>
      <w:r w:rsidR="00A33AA4" w:rsidRPr="00EE1F6B">
        <w:rPr>
          <w:rFonts w:ascii="Times New Roman" w:hAnsi="Times New Roman"/>
          <w:b/>
          <w:sz w:val="22"/>
          <w:szCs w:val="22"/>
          <w:u w:val="single"/>
          <w:lang w:val="en-GB"/>
        </w:rPr>
        <w:t xml:space="preserve"> GU</w:t>
      </w:r>
      <w:r w:rsidR="00802616" w:rsidRPr="00EE1F6B">
        <w:rPr>
          <w:rFonts w:ascii="Times New Roman" w:hAnsi="Times New Roman"/>
          <w:b/>
          <w:sz w:val="22"/>
          <w:szCs w:val="22"/>
          <w:u w:val="single"/>
          <w:lang w:val="en-GB"/>
        </w:rPr>
        <w:t>A</w:t>
      </w:r>
      <w:r w:rsidR="00A33AA4" w:rsidRPr="00EE1F6B">
        <w:rPr>
          <w:rFonts w:ascii="Times New Roman" w:hAnsi="Times New Roman"/>
          <w:b/>
          <w:sz w:val="22"/>
          <w:szCs w:val="22"/>
          <w:u w:val="single"/>
          <w:lang w:val="en-GB"/>
        </w:rPr>
        <w:t>RANTEE SCHEME FOR MI</w:t>
      </w:r>
      <w:r w:rsidR="00366B46" w:rsidRPr="00EE1F6B">
        <w:rPr>
          <w:rFonts w:ascii="Times New Roman" w:hAnsi="Times New Roman"/>
          <w:b/>
          <w:sz w:val="22"/>
          <w:szCs w:val="22"/>
          <w:u w:val="single"/>
          <w:lang w:val="en-GB"/>
        </w:rPr>
        <w:t>C</w:t>
      </w:r>
      <w:r w:rsidR="00A33AA4" w:rsidRPr="00EE1F6B">
        <w:rPr>
          <w:rFonts w:ascii="Times New Roman" w:hAnsi="Times New Roman"/>
          <w:b/>
          <w:sz w:val="22"/>
          <w:szCs w:val="22"/>
          <w:u w:val="single"/>
          <w:lang w:val="en-GB"/>
        </w:rPr>
        <w:t>RO SMALL AND MEDIUM</w:t>
      </w:r>
      <w:r w:rsidR="00B915B3" w:rsidRPr="00EE1F6B">
        <w:rPr>
          <w:rFonts w:ascii="Times New Roman" w:hAnsi="Times New Roman"/>
          <w:b/>
          <w:sz w:val="22"/>
          <w:szCs w:val="22"/>
          <w:u w:val="single"/>
          <w:lang w:val="en-GB"/>
        </w:rPr>
        <w:t>-</w:t>
      </w:r>
      <w:r w:rsidR="00A33AA4" w:rsidRPr="00EE1F6B">
        <w:rPr>
          <w:rFonts w:ascii="Times New Roman" w:hAnsi="Times New Roman"/>
          <w:b/>
          <w:sz w:val="22"/>
          <w:szCs w:val="22"/>
          <w:u w:val="single"/>
          <w:lang w:val="en-GB"/>
        </w:rPr>
        <w:t>SIZE ENTERPRISES</w:t>
      </w:r>
    </w:p>
    <w:p w:rsidR="00EB55B6" w:rsidRPr="00EE1F6B" w:rsidRDefault="00A33AA4" w:rsidP="00B915B3">
      <w:pPr>
        <w:widowControl/>
        <w:tabs>
          <w:tab w:val="left" w:pos="-1440"/>
        </w:tabs>
        <w:autoSpaceDE/>
        <w:autoSpaceDN/>
        <w:adjustRightInd/>
        <w:contextualSpacing/>
        <w:jc w:val="center"/>
        <w:rPr>
          <w:rFonts w:ascii="Times New Roman" w:eastAsia="Calibri" w:hAnsi="Times New Roman"/>
          <w:b/>
          <w:bCs/>
          <w:sz w:val="22"/>
          <w:szCs w:val="22"/>
          <w:u w:val="single"/>
          <w:lang w:val="en-GB"/>
        </w:rPr>
      </w:pPr>
      <w:r w:rsidRPr="00EE1F6B">
        <w:rPr>
          <w:rFonts w:ascii="Times New Roman" w:hAnsi="Times New Roman"/>
          <w:b/>
          <w:sz w:val="22"/>
          <w:szCs w:val="22"/>
          <w:u w:val="single"/>
          <w:lang w:val="en-GB"/>
        </w:rPr>
        <w:t>IN THE CARIBBEAN</w:t>
      </w:r>
    </w:p>
    <w:p w:rsidR="00EB55B6" w:rsidRPr="00EE1F6B" w:rsidRDefault="00EB55B6" w:rsidP="00B915B3">
      <w:pPr>
        <w:widowControl/>
        <w:jc w:val="both"/>
        <w:rPr>
          <w:rFonts w:ascii="Times New Roman" w:eastAsia="Calibri" w:hAnsi="Times New Roman"/>
          <w:sz w:val="22"/>
          <w:szCs w:val="22"/>
          <w:u w:val="single"/>
          <w:lang w:val="en-GB"/>
        </w:rPr>
      </w:pPr>
    </w:p>
    <w:p w:rsidR="00EB55B6" w:rsidRPr="00EE1F6B" w:rsidRDefault="00EB55B6" w:rsidP="00B915B3">
      <w:pPr>
        <w:widowControl/>
        <w:jc w:val="both"/>
        <w:rPr>
          <w:rFonts w:ascii="Times New Roman" w:eastAsia="Calibri" w:hAnsi="Times New Roman"/>
          <w:sz w:val="22"/>
          <w:szCs w:val="22"/>
          <w:u w:val="single"/>
          <w:lang w:val="en-GB"/>
        </w:rPr>
      </w:pPr>
    </w:p>
    <w:p w:rsidR="00EB55B6" w:rsidRPr="00EE1F6B" w:rsidRDefault="00EB55B6" w:rsidP="001D13E5">
      <w:pPr>
        <w:widowControl/>
        <w:numPr>
          <w:ilvl w:val="3"/>
          <w:numId w:val="3"/>
        </w:numPr>
        <w:autoSpaceDE/>
        <w:autoSpaceDN/>
        <w:adjustRightInd/>
        <w:ind w:left="720" w:hanging="720"/>
        <w:rPr>
          <w:rFonts w:ascii="Times New Roman" w:hAnsi="Times New Roman"/>
          <w:b/>
          <w:sz w:val="22"/>
          <w:szCs w:val="22"/>
          <w:u w:val="single"/>
          <w:lang w:val="en-GB"/>
        </w:rPr>
      </w:pPr>
      <w:r w:rsidRPr="00EE1F6B">
        <w:rPr>
          <w:rFonts w:ascii="Times New Roman" w:hAnsi="Times New Roman"/>
          <w:b/>
          <w:sz w:val="22"/>
          <w:szCs w:val="22"/>
          <w:u w:val="single"/>
          <w:lang w:val="en-GB"/>
        </w:rPr>
        <w:t>BACKGROUND</w:t>
      </w:r>
    </w:p>
    <w:p w:rsidR="00EB55B6" w:rsidRPr="00EE1F6B" w:rsidRDefault="00EB55B6" w:rsidP="00B915B3">
      <w:pPr>
        <w:jc w:val="both"/>
        <w:rPr>
          <w:rFonts w:ascii="Times New Roman" w:hAnsi="Times New Roman"/>
          <w:sz w:val="22"/>
          <w:szCs w:val="22"/>
          <w:lang w:val="en-GB"/>
        </w:rPr>
      </w:pPr>
    </w:p>
    <w:p w:rsidR="00D47343" w:rsidRPr="00EE1F6B" w:rsidRDefault="00B915B3" w:rsidP="00B915B3">
      <w:pPr>
        <w:widowControl/>
        <w:autoSpaceDE/>
        <w:autoSpaceDN/>
        <w:adjustRightInd/>
        <w:jc w:val="both"/>
        <w:rPr>
          <w:rFonts w:ascii="Times New Roman" w:hAnsi="Times New Roman"/>
          <w:color w:val="000000"/>
          <w:sz w:val="22"/>
          <w:szCs w:val="22"/>
          <w:lang w:val="en-GB"/>
        </w:rPr>
      </w:pPr>
      <w:r w:rsidRPr="00EE1F6B">
        <w:rPr>
          <w:rFonts w:ascii="Times New Roman" w:hAnsi="Times New Roman"/>
          <w:color w:val="000000"/>
          <w:sz w:val="22"/>
          <w:szCs w:val="22"/>
          <w:lang w:val="en-GB"/>
        </w:rPr>
        <w:t>1.01</w:t>
      </w:r>
      <w:r w:rsidRPr="00EE1F6B">
        <w:rPr>
          <w:rFonts w:ascii="Times New Roman" w:hAnsi="Times New Roman"/>
          <w:color w:val="000000"/>
          <w:sz w:val="22"/>
          <w:szCs w:val="22"/>
          <w:lang w:val="en-GB"/>
        </w:rPr>
        <w:tab/>
      </w:r>
      <w:r w:rsidR="00D47343" w:rsidRPr="00EE1F6B">
        <w:rPr>
          <w:rFonts w:ascii="Times New Roman" w:hAnsi="Times New Roman"/>
          <w:color w:val="000000"/>
          <w:sz w:val="22"/>
          <w:szCs w:val="22"/>
          <w:lang w:val="en-GB"/>
        </w:rPr>
        <w:t xml:space="preserve">In 2015, all Caribbean Community (CARICOM) countries became signatories to the United Nations 2030 Sustainable Development Agenda. </w:t>
      </w:r>
      <w:r w:rsidRPr="00EE1F6B">
        <w:rPr>
          <w:rFonts w:ascii="Times New Roman" w:hAnsi="Times New Roman"/>
          <w:color w:val="000000"/>
          <w:sz w:val="22"/>
          <w:szCs w:val="22"/>
          <w:lang w:val="en-GB"/>
        </w:rPr>
        <w:t xml:space="preserve"> </w:t>
      </w:r>
      <w:r w:rsidR="00D47343" w:rsidRPr="00EE1F6B">
        <w:rPr>
          <w:rFonts w:ascii="Times New Roman" w:hAnsi="Times New Roman"/>
          <w:sz w:val="22"/>
          <w:szCs w:val="22"/>
          <w:lang w:val="en"/>
        </w:rPr>
        <w:t>Micro, Small and Medium</w:t>
      </w:r>
      <w:r w:rsidRPr="00EE1F6B">
        <w:rPr>
          <w:rFonts w:ascii="Times New Roman" w:hAnsi="Times New Roman"/>
          <w:sz w:val="22"/>
          <w:szCs w:val="22"/>
          <w:lang w:val="en"/>
        </w:rPr>
        <w:t>-</w:t>
      </w:r>
      <w:r w:rsidR="00D47343" w:rsidRPr="00EE1F6B">
        <w:rPr>
          <w:rFonts w:ascii="Times New Roman" w:hAnsi="Times New Roman"/>
          <w:sz w:val="22"/>
          <w:szCs w:val="22"/>
          <w:lang w:val="en"/>
        </w:rPr>
        <w:t>size</w:t>
      </w:r>
      <w:r w:rsidR="006F1F7A" w:rsidRPr="00EE1F6B">
        <w:rPr>
          <w:rFonts w:ascii="Times New Roman" w:hAnsi="Times New Roman"/>
          <w:sz w:val="22"/>
          <w:szCs w:val="22"/>
          <w:lang w:val="en"/>
        </w:rPr>
        <w:t>d</w:t>
      </w:r>
      <w:r w:rsidR="00D47343" w:rsidRPr="00EE1F6B">
        <w:rPr>
          <w:rFonts w:ascii="Times New Roman" w:hAnsi="Times New Roman"/>
          <w:sz w:val="22"/>
          <w:szCs w:val="22"/>
          <w:lang w:val="en"/>
        </w:rPr>
        <w:t xml:space="preserve"> Enterprise</w:t>
      </w:r>
      <w:r w:rsidR="00ED5496" w:rsidRPr="00EE1F6B">
        <w:rPr>
          <w:rFonts w:ascii="Times New Roman" w:hAnsi="Times New Roman"/>
          <w:sz w:val="22"/>
          <w:szCs w:val="22"/>
          <w:lang w:val="en"/>
        </w:rPr>
        <w:t>s</w:t>
      </w:r>
      <w:r w:rsidR="00D47343" w:rsidRPr="00EE1F6B">
        <w:rPr>
          <w:rFonts w:ascii="Times New Roman" w:hAnsi="Times New Roman"/>
          <w:sz w:val="22"/>
          <w:szCs w:val="22"/>
          <w:lang w:val="en"/>
        </w:rPr>
        <w:t xml:space="preserve"> (</w:t>
      </w:r>
      <w:r w:rsidR="00D47343" w:rsidRPr="00EE1F6B">
        <w:rPr>
          <w:rFonts w:ascii="Times New Roman" w:hAnsi="Times New Roman"/>
          <w:color w:val="000000"/>
          <w:sz w:val="22"/>
          <w:szCs w:val="22"/>
          <w:lang w:val="en-GB"/>
        </w:rPr>
        <w:t>MSMEs) are regarded as an important vehicle for achieving the Sustainable Development Goals (SDGs), through their significant role in job creation and reducing poverty and income inequality, especially amongst women and youth.</w:t>
      </w:r>
    </w:p>
    <w:p w:rsidR="00B915B3" w:rsidRPr="00EE1F6B" w:rsidRDefault="00B915B3" w:rsidP="00B915B3">
      <w:pPr>
        <w:widowControl/>
        <w:autoSpaceDE/>
        <w:autoSpaceDN/>
        <w:adjustRightInd/>
        <w:contextualSpacing/>
        <w:jc w:val="both"/>
        <w:textAlignment w:val="baseline"/>
        <w:rPr>
          <w:rFonts w:ascii="Times New Roman" w:hAnsi="Times New Roman"/>
          <w:color w:val="000000"/>
          <w:sz w:val="22"/>
          <w:szCs w:val="22"/>
          <w:lang w:val="en-GB"/>
        </w:rPr>
      </w:pPr>
    </w:p>
    <w:p w:rsidR="00D47343" w:rsidRPr="00EE1F6B" w:rsidRDefault="00B915B3" w:rsidP="00B915B3">
      <w:pPr>
        <w:widowControl/>
        <w:autoSpaceDE/>
        <w:autoSpaceDN/>
        <w:adjustRightInd/>
        <w:contextualSpacing/>
        <w:jc w:val="both"/>
        <w:textAlignment w:val="baseline"/>
        <w:rPr>
          <w:rFonts w:ascii="Times New Roman" w:hAnsi="Times New Roman"/>
          <w:color w:val="000000"/>
          <w:sz w:val="22"/>
          <w:szCs w:val="22"/>
          <w:lang w:val="en-GB"/>
        </w:rPr>
      </w:pPr>
      <w:r w:rsidRPr="00EE1F6B">
        <w:rPr>
          <w:rFonts w:ascii="Times New Roman" w:hAnsi="Times New Roman"/>
          <w:color w:val="000000"/>
          <w:sz w:val="22"/>
          <w:szCs w:val="22"/>
          <w:lang w:val="en-GB"/>
        </w:rPr>
        <w:t>1.02</w:t>
      </w:r>
      <w:r w:rsidRPr="00EE1F6B">
        <w:rPr>
          <w:rFonts w:ascii="Times New Roman" w:hAnsi="Times New Roman"/>
          <w:color w:val="000000"/>
          <w:sz w:val="22"/>
          <w:szCs w:val="22"/>
          <w:lang w:val="en-GB"/>
        </w:rPr>
        <w:tab/>
      </w:r>
      <w:r w:rsidR="00D47343" w:rsidRPr="00EE1F6B">
        <w:rPr>
          <w:rFonts w:ascii="Times New Roman" w:hAnsi="Times New Roman"/>
          <w:color w:val="000000"/>
          <w:sz w:val="22"/>
          <w:szCs w:val="22"/>
          <w:lang w:val="en-GB"/>
        </w:rPr>
        <w:t xml:space="preserve">The MSME sector is arguably the most important in combating poverty </w:t>
      </w:r>
      <w:r w:rsidR="00EA5EBD" w:rsidRPr="00EE1F6B">
        <w:rPr>
          <w:rFonts w:ascii="Times New Roman" w:hAnsi="Times New Roman"/>
          <w:color w:val="000000"/>
          <w:sz w:val="22"/>
          <w:szCs w:val="22"/>
          <w:lang w:val="en-GB"/>
        </w:rPr>
        <w:t xml:space="preserve">and stimulating economic growth </w:t>
      </w:r>
      <w:r w:rsidR="00D47343" w:rsidRPr="00EE1F6B">
        <w:rPr>
          <w:rFonts w:ascii="Times New Roman" w:hAnsi="Times New Roman"/>
          <w:color w:val="000000"/>
          <w:sz w:val="22"/>
          <w:szCs w:val="22"/>
          <w:lang w:val="en-GB"/>
        </w:rPr>
        <w:t xml:space="preserve">within the Region.  Based on a MSME Development Study by </w:t>
      </w:r>
      <w:r w:rsidR="00757619" w:rsidRPr="00EE1F6B">
        <w:rPr>
          <w:rFonts w:ascii="Times New Roman" w:hAnsi="Times New Roman"/>
          <w:color w:val="000000"/>
          <w:sz w:val="22"/>
          <w:szCs w:val="22"/>
          <w:lang w:val="en-GB"/>
        </w:rPr>
        <w:t>the Caribbean Development Bank (</w:t>
      </w:r>
      <w:r w:rsidR="00D47343" w:rsidRPr="00EE1F6B">
        <w:rPr>
          <w:rFonts w:ascii="Times New Roman" w:hAnsi="Times New Roman"/>
          <w:color w:val="000000"/>
          <w:sz w:val="22"/>
          <w:szCs w:val="22"/>
          <w:lang w:val="en-GB"/>
        </w:rPr>
        <w:t>CDB</w:t>
      </w:r>
      <w:r w:rsidR="00757619" w:rsidRPr="00EE1F6B">
        <w:rPr>
          <w:rFonts w:ascii="Times New Roman" w:hAnsi="Times New Roman"/>
          <w:color w:val="000000"/>
          <w:sz w:val="22"/>
          <w:szCs w:val="22"/>
          <w:lang w:val="en-GB"/>
        </w:rPr>
        <w:t>)</w:t>
      </w:r>
      <w:r w:rsidR="00D47343" w:rsidRPr="00EE1F6B">
        <w:rPr>
          <w:rFonts w:ascii="Times New Roman" w:hAnsi="Times New Roman"/>
          <w:color w:val="000000"/>
          <w:sz w:val="22"/>
          <w:szCs w:val="22"/>
          <w:vertAlign w:val="superscript"/>
          <w:lang w:val="en-GB"/>
        </w:rPr>
        <w:footnoteReference w:id="1"/>
      </w:r>
      <w:r w:rsidR="00D47343" w:rsidRPr="00EE1F6B">
        <w:rPr>
          <w:rFonts w:ascii="Times New Roman" w:hAnsi="Times New Roman"/>
          <w:color w:val="000000"/>
          <w:sz w:val="22"/>
          <w:szCs w:val="22"/>
          <w:vertAlign w:val="superscript"/>
          <w:lang w:val="en-GB"/>
        </w:rPr>
        <w:t>/</w:t>
      </w:r>
      <w:r w:rsidR="00D47343" w:rsidRPr="00EE1F6B">
        <w:rPr>
          <w:rFonts w:ascii="Times New Roman" w:hAnsi="Times New Roman"/>
          <w:color w:val="000000"/>
          <w:sz w:val="22"/>
          <w:szCs w:val="22"/>
          <w:lang w:val="en-GB"/>
        </w:rPr>
        <w:t xml:space="preserve">, it is estimated that between 70 percent (%) to 85% of all enterprises within </w:t>
      </w:r>
      <w:r w:rsidR="00757619" w:rsidRPr="00EE1F6B">
        <w:rPr>
          <w:rFonts w:ascii="Times New Roman" w:hAnsi="Times New Roman"/>
          <w:color w:val="000000"/>
          <w:sz w:val="22"/>
          <w:szCs w:val="22"/>
          <w:lang w:val="en-GB"/>
        </w:rPr>
        <w:t>Borrowing Member Countries (</w:t>
      </w:r>
      <w:r w:rsidR="00D47343" w:rsidRPr="00EE1F6B">
        <w:rPr>
          <w:rFonts w:ascii="Times New Roman" w:hAnsi="Times New Roman"/>
          <w:color w:val="000000"/>
          <w:sz w:val="22"/>
          <w:szCs w:val="22"/>
          <w:lang w:val="en-GB"/>
        </w:rPr>
        <w:t>BMCs</w:t>
      </w:r>
      <w:r w:rsidR="00757619" w:rsidRPr="00EE1F6B">
        <w:rPr>
          <w:rFonts w:ascii="Times New Roman" w:hAnsi="Times New Roman"/>
          <w:color w:val="000000"/>
          <w:sz w:val="22"/>
          <w:szCs w:val="22"/>
          <w:lang w:val="en-GB"/>
        </w:rPr>
        <w:t>)</w:t>
      </w:r>
      <w:r w:rsidR="00D47343" w:rsidRPr="00EE1F6B">
        <w:rPr>
          <w:rFonts w:ascii="Times New Roman" w:hAnsi="Times New Roman"/>
          <w:color w:val="000000"/>
          <w:sz w:val="22"/>
          <w:szCs w:val="22"/>
          <w:lang w:val="en-GB"/>
        </w:rPr>
        <w:t xml:space="preserve"> are MSMEs and they contribute between 60% and 70% of gross domestic product (GDP)</w:t>
      </w:r>
      <w:r w:rsidR="000458BA" w:rsidRPr="00EE1F6B">
        <w:rPr>
          <w:rFonts w:ascii="Times New Roman" w:hAnsi="Times New Roman"/>
          <w:color w:val="000000"/>
          <w:sz w:val="22"/>
          <w:szCs w:val="22"/>
          <w:lang w:val="en-GB"/>
        </w:rPr>
        <w:t xml:space="preserve">. Additionally, MSMEs </w:t>
      </w:r>
      <w:r w:rsidR="00D47343" w:rsidRPr="00EE1F6B">
        <w:rPr>
          <w:rFonts w:ascii="Times New Roman" w:hAnsi="Times New Roman"/>
          <w:color w:val="000000"/>
          <w:sz w:val="22"/>
          <w:szCs w:val="22"/>
          <w:lang w:val="en-GB"/>
        </w:rPr>
        <w:t>account for approximately 50% of employment</w:t>
      </w:r>
      <w:r w:rsidR="000458BA" w:rsidRPr="00EE1F6B">
        <w:rPr>
          <w:rFonts w:ascii="Times New Roman" w:hAnsi="Times New Roman"/>
          <w:color w:val="000000"/>
          <w:sz w:val="22"/>
          <w:szCs w:val="22"/>
          <w:lang w:val="en-GB"/>
        </w:rPr>
        <w:t xml:space="preserve"> </w:t>
      </w:r>
      <w:r w:rsidR="00D47343" w:rsidRPr="00EE1F6B">
        <w:rPr>
          <w:rFonts w:ascii="Times New Roman" w:hAnsi="Times New Roman"/>
          <w:color w:val="000000"/>
          <w:sz w:val="22"/>
          <w:szCs w:val="22"/>
          <w:vertAlign w:val="superscript"/>
          <w:lang w:val="en-GB"/>
        </w:rPr>
        <w:footnoteReference w:id="2"/>
      </w:r>
      <w:r w:rsidR="000458BA" w:rsidRPr="00EE1F6B">
        <w:rPr>
          <w:rFonts w:ascii="Times New Roman" w:hAnsi="Times New Roman"/>
          <w:color w:val="000000"/>
          <w:sz w:val="22"/>
          <w:szCs w:val="22"/>
          <w:vertAlign w:val="superscript"/>
          <w:lang w:val="en-GB"/>
        </w:rPr>
        <w:t>/</w:t>
      </w:r>
      <w:r w:rsidR="000458BA" w:rsidRPr="00EE1F6B">
        <w:rPr>
          <w:rFonts w:ascii="Times New Roman" w:hAnsi="Times New Roman"/>
          <w:color w:val="000000"/>
          <w:sz w:val="22"/>
          <w:szCs w:val="22"/>
          <w:lang w:val="en-GB"/>
        </w:rPr>
        <w:t xml:space="preserve"> in BMCs and an even higher percentage when considering m</w:t>
      </w:r>
      <w:r w:rsidR="00D47343" w:rsidRPr="00EE1F6B">
        <w:rPr>
          <w:rFonts w:ascii="Times New Roman" w:hAnsi="Times New Roman"/>
          <w:color w:val="000000"/>
          <w:sz w:val="22"/>
          <w:szCs w:val="22"/>
          <w:lang w:val="en-GB"/>
        </w:rPr>
        <w:t>arginalised groups</w:t>
      </w:r>
      <w:r w:rsidR="00BA5A34" w:rsidRPr="00EE1F6B">
        <w:rPr>
          <w:rFonts w:ascii="Times New Roman" w:hAnsi="Times New Roman"/>
          <w:color w:val="000000"/>
          <w:sz w:val="22"/>
          <w:szCs w:val="22"/>
          <w:lang w:val="en-GB"/>
        </w:rPr>
        <w:t>,</w:t>
      </w:r>
      <w:r w:rsidR="00D47343" w:rsidRPr="00EE1F6B">
        <w:rPr>
          <w:rFonts w:ascii="Times New Roman" w:hAnsi="Times New Roman"/>
          <w:color w:val="000000"/>
          <w:sz w:val="22"/>
          <w:szCs w:val="22"/>
          <w:lang w:val="en-GB"/>
        </w:rPr>
        <w:t xml:space="preserve"> including</w:t>
      </w:r>
      <w:r w:rsidR="00D47343" w:rsidRPr="00EE1F6B">
        <w:rPr>
          <w:rFonts w:ascii="Times New Roman" w:eastAsia="Calibri" w:hAnsi="Times New Roman"/>
          <w:sz w:val="22"/>
          <w:szCs w:val="22"/>
        </w:rPr>
        <w:t xml:space="preserve"> w</w:t>
      </w:r>
      <w:r w:rsidR="00D47343" w:rsidRPr="00EE1F6B">
        <w:rPr>
          <w:rFonts w:ascii="Times New Roman" w:hAnsi="Times New Roman"/>
          <w:color w:val="000000"/>
          <w:sz w:val="22"/>
          <w:szCs w:val="22"/>
          <w:lang w:val="en-GB"/>
        </w:rPr>
        <w:t>omen, youth, indigenous groups</w:t>
      </w:r>
      <w:r w:rsidR="00BA5A34" w:rsidRPr="00EE1F6B">
        <w:rPr>
          <w:rFonts w:ascii="Times New Roman" w:hAnsi="Times New Roman"/>
          <w:color w:val="000000"/>
          <w:sz w:val="22"/>
          <w:szCs w:val="22"/>
          <w:lang w:val="en-GB"/>
        </w:rPr>
        <w:t>,</w:t>
      </w:r>
      <w:r w:rsidR="00D47343" w:rsidRPr="00EE1F6B">
        <w:rPr>
          <w:rFonts w:ascii="Times New Roman" w:hAnsi="Times New Roman"/>
          <w:color w:val="000000"/>
          <w:sz w:val="22"/>
          <w:szCs w:val="22"/>
          <w:lang w:val="en-GB"/>
        </w:rPr>
        <w:t xml:space="preserve"> and persons with disabilities (PWDs).  </w:t>
      </w:r>
    </w:p>
    <w:p w:rsidR="00632B0F" w:rsidRPr="00EE1F6B" w:rsidRDefault="00632B0F" w:rsidP="00B915B3">
      <w:pPr>
        <w:contextualSpacing/>
        <w:jc w:val="both"/>
        <w:rPr>
          <w:rFonts w:ascii="Times New Roman" w:eastAsia="Calibri" w:hAnsi="Times New Roman"/>
          <w:color w:val="000000"/>
          <w:sz w:val="22"/>
          <w:szCs w:val="22"/>
          <w:lang w:val="en-GB"/>
        </w:rPr>
      </w:pPr>
    </w:p>
    <w:p w:rsidR="00CA49DC" w:rsidRPr="00EE1F6B" w:rsidRDefault="00B915B3" w:rsidP="00B915B3">
      <w:pPr>
        <w:contextualSpacing/>
        <w:jc w:val="both"/>
        <w:rPr>
          <w:rFonts w:ascii="Times New Roman" w:hAnsi="Times New Roman"/>
          <w:sz w:val="22"/>
          <w:szCs w:val="22"/>
          <w:lang w:val="en"/>
        </w:rPr>
      </w:pPr>
      <w:r w:rsidRPr="00EE1F6B">
        <w:rPr>
          <w:rFonts w:ascii="Times New Roman" w:hAnsi="Times New Roman"/>
          <w:sz w:val="22"/>
          <w:szCs w:val="22"/>
          <w:lang w:val="en"/>
        </w:rPr>
        <w:t>1.03</w:t>
      </w:r>
      <w:r w:rsidRPr="00EE1F6B">
        <w:rPr>
          <w:rFonts w:ascii="Times New Roman" w:hAnsi="Times New Roman"/>
          <w:sz w:val="22"/>
          <w:szCs w:val="22"/>
          <w:lang w:val="en"/>
        </w:rPr>
        <w:tab/>
      </w:r>
      <w:r w:rsidR="00D4718C" w:rsidRPr="00EE1F6B">
        <w:rPr>
          <w:rFonts w:ascii="Times New Roman" w:hAnsi="Times New Roman"/>
          <w:sz w:val="22"/>
          <w:szCs w:val="22"/>
          <w:lang w:val="en"/>
        </w:rPr>
        <w:t xml:space="preserve">The </w:t>
      </w:r>
      <w:r w:rsidR="003361AC" w:rsidRPr="00EE1F6B">
        <w:rPr>
          <w:rFonts w:ascii="Times New Roman" w:hAnsi="Times New Roman"/>
          <w:sz w:val="22"/>
          <w:szCs w:val="22"/>
          <w:lang w:val="en"/>
        </w:rPr>
        <w:t xml:space="preserve">sustainability of the economies </w:t>
      </w:r>
      <w:r w:rsidR="000458BA" w:rsidRPr="00EE1F6B">
        <w:rPr>
          <w:rFonts w:ascii="Times New Roman" w:hAnsi="Times New Roman"/>
          <w:sz w:val="22"/>
          <w:szCs w:val="22"/>
          <w:lang w:val="en"/>
        </w:rPr>
        <w:t xml:space="preserve">in </w:t>
      </w:r>
      <w:r w:rsidR="00D4718C" w:rsidRPr="00EE1F6B">
        <w:rPr>
          <w:rFonts w:ascii="Times New Roman" w:hAnsi="Times New Roman"/>
          <w:sz w:val="22"/>
          <w:szCs w:val="22"/>
          <w:lang w:val="en"/>
        </w:rPr>
        <w:t>Caribbean</w:t>
      </w:r>
      <w:r w:rsidR="003361AC" w:rsidRPr="00EE1F6B">
        <w:rPr>
          <w:rFonts w:ascii="Times New Roman" w:hAnsi="Times New Roman"/>
          <w:sz w:val="22"/>
          <w:szCs w:val="22"/>
          <w:lang w:val="en"/>
        </w:rPr>
        <w:t xml:space="preserve"> countries</w:t>
      </w:r>
      <w:r w:rsidR="00D4718C" w:rsidRPr="00EE1F6B">
        <w:rPr>
          <w:rFonts w:ascii="Times New Roman" w:hAnsi="Times New Roman"/>
          <w:sz w:val="22"/>
          <w:szCs w:val="22"/>
          <w:lang w:val="en"/>
        </w:rPr>
        <w:t xml:space="preserve"> remains </w:t>
      </w:r>
      <w:r w:rsidR="003F76A5" w:rsidRPr="00EE1F6B">
        <w:rPr>
          <w:rFonts w:ascii="Times New Roman" w:hAnsi="Times New Roman"/>
          <w:sz w:val="22"/>
          <w:szCs w:val="22"/>
          <w:lang w:val="en"/>
        </w:rPr>
        <w:t>threatened</w:t>
      </w:r>
      <w:r w:rsidR="00D4718C" w:rsidRPr="00EE1F6B">
        <w:rPr>
          <w:rFonts w:ascii="Times New Roman" w:hAnsi="Times New Roman"/>
          <w:sz w:val="22"/>
          <w:szCs w:val="22"/>
          <w:lang w:val="en"/>
        </w:rPr>
        <w:t xml:space="preserve"> by the </w:t>
      </w:r>
      <w:r w:rsidR="00116434" w:rsidRPr="00EE1F6B">
        <w:rPr>
          <w:rFonts w:ascii="Times New Roman" w:hAnsi="Times New Roman"/>
          <w:sz w:val="22"/>
          <w:szCs w:val="22"/>
          <w:lang w:val="en"/>
        </w:rPr>
        <w:t>continued impact</w:t>
      </w:r>
      <w:r w:rsidR="00D4718C" w:rsidRPr="00EE1F6B">
        <w:rPr>
          <w:rFonts w:ascii="Times New Roman" w:hAnsi="Times New Roman"/>
          <w:sz w:val="22"/>
          <w:szCs w:val="22"/>
          <w:lang w:val="en"/>
        </w:rPr>
        <w:t xml:space="preserve"> of the </w:t>
      </w:r>
      <w:r w:rsidRPr="00EE1F6B">
        <w:rPr>
          <w:rFonts w:ascii="Times New Roman" w:hAnsi="Times New Roman"/>
          <w:sz w:val="22"/>
          <w:szCs w:val="22"/>
          <w:lang w:val="en"/>
        </w:rPr>
        <w:t>coronavirus (</w:t>
      </w:r>
      <w:r w:rsidR="00D4718C" w:rsidRPr="00EE1F6B">
        <w:rPr>
          <w:rFonts w:ascii="Times New Roman" w:hAnsi="Times New Roman"/>
          <w:sz w:val="22"/>
          <w:szCs w:val="22"/>
          <w:lang w:val="en"/>
        </w:rPr>
        <w:t>COVID</w:t>
      </w:r>
      <w:r w:rsidR="003361AC" w:rsidRPr="00EE1F6B">
        <w:rPr>
          <w:rFonts w:ascii="Times New Roman" w:hAnsi="Times New Roman"/>
          <w:sz w:val="22"/>
          <w:szCs w:val="22"/>
          <w:lang w:val="en"/>
        </w:rPr>
        <w:t>-</w:t>
      </w:r>
      <w:r w:rsidR="00D4718C" w:rsidRPr="00EE1F6B">
        <w:rPr>
          <w:rFonts w:ascii="Times New Roman" w:hAnsi="Times New Roman"/>
          <w:sz w:val="22"/>
          <w:szCs w:val="22"/>
          <w:lang w:val="en"/>
        </w:rPr>
        <w:t>19</w:t>
      </w:r>
      <w:r w:rsidRPr="00EE1F6B">
        <w:rPr>
          <w:rFonts w:ascii="Times New Roman" w:hAnsi="Times New Roman"/>
          <w:sz w:val="22"/>
          <w:szCs w:val="22"/>
          <w:lang w:val="en"/>
        </w:rPr>
        <w:t>)</w:t>
      </w:r>
      <w:r w:rsidR="00D4718C" w:rsidRPr="00EE1F6B">
        <w:rPr>
          <w:rFonts w:ascii="Times New Roman" w:hAnsi="Times New Roman"/>
          <w:sz w:val="22"/>
          <w:szCs w:val="22"/>
          <w:lang w:val="en"/>
        </w:rPr>
        <w:t xml:space="preserve"> pandemic</w:t>
      </w:r>
      <w:r w:rsidR="003361AC" w:rsidRPr="00EE1F6B">
        <w:rPr>
          <w:rFonts w:ascii="Times New Roman" w:hAnsi="Times New Roman"/>
          <w:sz w:val="22"/>
          <w:szCs w:val="22"/>
          <w:lang w:val="en"/>
        </w:rPr>
        <w:t>,</w:t>
      </w:r>
      <w:r w:rsidR="00D4718C" w:rsidRPr="00EE1F6B">
        <w:rPr>
          <w:rFonts w:ascii="Times New Roman" w:hAnsi="Times New Roman"/>
          <w:sz w:val="22"/>
          <w:szCs w:val="22"/>
          <w:lang w:val="en"/>
        </w:rPr>
        <w:t xml:space="preserve"> but </w:t>
      </w:r>
      <w:r w:rsidR="003361AC" w:rsidRPr="00EE1F6B">
        <w:rPr>
          <w:rFonts w:ascii="Times New Roman" w:hAnsi="Times New Roman"/>
          <w:sz w:val="22"/>
          <w:szCs w:val="22"/>
          <w:lang w:val="en"/>
        </w:rPr>
        <w:t>governments</w:t>
      </w:r>
      <w:r w:rsidR="00D54873" w:rsidRPr="00EE1F6B">
        <w:rPr>
          <w:rFonts w:ascii="Times New Roman" w:hAnsi="Times New Roman"/>
          <w:sz w:val="22"/>
          <w:szCs w:val="22"/>
          <w:lang w:val="en"/>
        </w:rPr>
        <w:t xml:space="preserve"> remain </w:t>
      </w:r>
      <w:r w:rsidR="00D4718C" w:rsidRPr="00EE1F6B">
        <w:rPr>
          <w:rFonts w:ascii="Times New Roman" w:hAnsi="Times New Roman"/>
          <w:sz w:val="22"/>
          <w:szCs w:val="22"/>
          <w:lang w:val="en"/>
        </w:rPr>
        <w:t xml:space="preserve">at the forefront of the fight. </w:t>
      </w:r>
      <w:r w:rsidRPr="00EE1F6B">
        <w:rPr>
          <w:rFonts w:ascii="Times New Roman" w:hAnsi="Times New Roman"/>
          <w:sz w:val="22"/>
          <w:szCs w:val="22"/>
          <w:lang w:val="en"/>
        </w:rPr>
        <w:t xml:space="preserve"> </w:t>
      </w:r>
      <w:r w:rsidR="00116434" w:rsidRPr="00EE1F6B">
        <w:rPr>
          <w:rFonts w:ascii="Times New Roman" w:hAnsi="Times New Roman"/>
          <w:sz w:val="22"/>
          <w:szCs w:val="22"/>
          <w:lang w:val="en"/>
        </w:rPr>
        <w:t>They have</w:t>
      </w:r>
      <w:r w:rsidR="00D4718C" w:rsidRPr="00EE1F6B">
        <w:rPr>
          <w:rFonts w:ascii="Times New Roman" w:hAnsi="Times New Roman"/>
          <w:sz w:val="22"/>
          <w:szCs w:val="22"/>
          <w:lang w:val="en"/>
        </w:rPr>
        <w:t xml:space="preserve"> led with clarity and decisiveness when implementing measures to combat the spread of </w:t>
      </w:r>
      <w:r w:rsidRPr="00EE1F6B">
        <w:rPr>
          <w:rFonts w:ascii="Times New Roman" w:hAnsi="Times New Roman"/>
          <w:sz w:val="22"/>
          <w:szCs w:val="22"/>
          <w:lang w:val="en"/>
        </w:rPr>
        <w:t xml:space="preserve">COVID-19 </w:t>
      </w:r>
      <w:r w:rsidR="00D4718C" w:rsidRPr="00EE1F6B">
        <w:rPr>
          <w:rFonts w:ascii="Times New Roman" w:hAnsi="Times New Roman"/>
          <w:sz w:val="22"/>
          <w:szCs w:val="22"/>
          <w:lang w:val="en"/>
        </w:rPr>
        <w:t>with means such as travel restrictions</w:t>
      </w:r>
      <w:r w:rsidR="003361AC" w:rsidRPr="00EE1F6B">
        <w:rPr>
          <w:rFonts w:ascii="Times New Roman" w:hAnsi="Times New Roman"/>
          <w:sz w:val="22"/>
          <w:szCs w:val="22"/>
          <w:lang w:val="en"/>
        </w:rPr>
        <w:t>,</w:t>
      </w:r>
      <w:r w:rsidR="00D4718C" w:rsidRPr="00EE1F6B">
        <w:rPr>
          <w:rFonts w:ascii="Times New Roman" w:hAnsi="Times New Roman"/>
          <w:sz w:val="22"/>
          <w:szCs w:val="22"/>
          <w:lang w:val="en"/>
        </w:rPr>
        <w:t xml:space="preserve"> including closing borders, mandatory quarantine, lockdowns, curfews</w:t>
      </w:r>
      <w:r w:rsidR="004C45B3" w:rsidRPr="00EE1F6B">
        <w:rPr>
          <w:rFonts w:ascii="Times New Roman" w:hAnsi="Times New Roman"/>
          <w:sz w:val="22"/>
          <w:szCs w:val="22"/>
          <w:lang w:val="en"/>
        </w:rPr>
        <w:t>,</w:t>
      </w:r>
      <w:r w:rsidR="00D4718C" w:rsidRPr="00EE1F6B">
        <w:rPr>
          <w:rFonts w:ascii="Times New Roman" w:hAnsi="Times New Roman"/>
          <w:sz w:val="22"/>
          <w:szCs w:val="22"/>
          <w:lang w:val="en"/>
        </w:rPr>
        <w:t xml:space="preserve"> and social distancing measures </w:t>
      </w:r>
      <w:r w:rsidR="00797AF2" w:rsidRPr="00EE1F6B">
        <w:rPr>
          <w:rFonts w:ascii="Times New Roman" w:hAnsi="Times New Roman"/>
          <w:sz w:val="22"/>
          <w:szCs w:val="22"/>
          <w:lang w:val="en"/>
        </w:rPr>
        <w:t xml:space="preserve">all of </w:t>
      </w:r>
      <w:r w:rsidR="00D4718C" w:rsidRPr="00EE1F6B">
        <w:rPr>
          <w:rFonts w:ascii="Times New Roman" w:hAnsi="Times New Roman"/>
          <w:sz w:val="22"/>
          <w:szCs w:val="22"/>
          <w:lang w:val="en"/>
        </w:rPr>
        <w:t xml:space="preserve">which </w:t>
      </w:r>
      <w:r w:rsidR="00116434" w:rsidRPr="00EE1F6B">
        <w:rPr>
          <w:rFonts w:ascii="Times New Roman" w:hAnsi="Times New Roman"/>
          <w:sz w:val="22"/>
          <w:szCs w:val="22"/>
          <w:lang w:val="en"/>
        </w:rPr>
        <w:t>have had</w:t>
      </w:r>
      <w:r w:rsidR="00D4718C" w:rsidRPr="00EE1F6B">
        <w:rPr>
          <w:rFonts w:ascii="Times New Roman" w:hAnsi="Times New Roman"/>
          <w:sz w:val="22"/>
          <w:szCs w:val="22"/>
          <w:lang w:val="en"/>
        </w:rPr>
        <w:t xml:space="preserve"> an adverse impact on the MSME sector.  Most countries in the Region had a complete or partial lockdown of their economies from the </w:t>
      </w:r>
      <w:r w:rsidRPr="00EE1F6B">
        <w:rPr>
          <w:rFonts w:ascii="Times New Roman" w:hAnsi="Times New Roman"/>
          <w:sz w:val="22"/>
          <w:szCs w:val="22"/>
          <w:lang w:val="en"/>
        </w:rPr>
        <w:t>first</w:t>
      </w:r>
      <w:r w:rsidR="00D4718C" w:rsidRPr="00EE1F6B">
        <w:rPr>
          <w:rFonts w:ascii="Times New Roman" w:hAnsi="Times New Roman"/>
          <w:sz w:val="22"/>
          <w:szCs w:val="22"/>
          <w:lang w:val="en"/>
        </w:rPr>
        <w:t xml:space="preserve"> quarter of March 2020 to </w:t>
      </w:r>
      <w:r w:rsidR="00BA5A34" w:rsidRPr="00EE1F6B">
        <w:rPr>
          <w:rFonts w:ascii="Times New Roman" w:hAnsi="Times New Roman"/>
          <w:sz w:val="22"/>
          <w:szCs w:val="22"/>
          <w:lang w:val="en"/>
        </w:rPr>
        <w:t xml:space="preserve">the </w:t>
      </w:r>
      <w:r w:rsidRPr="00EE1F6B">
        <w:rPr>
          <w:rFonts w:ascii="Times New Roman" w:hAnsi="Times New Roman"/>
          <w:sz w:val="22"/>
          <w:szCs w:val="22"/>
          <w:lang w:val="en"/>
        </w:rPr>
        <w:t>second</w:t>
      </w:r>
      <w:r w:rsidR="00D4718C" w:rsidRPr="00EE1F6B">
        <w:rPr>
          <w:rFonts w:ascii="Times New Roman" w:hAnsi="Times New Roman"/>
          <w:sz w:val="22"/>
          <w:szCs w:val="22"/>
          <w:lang w:val="en"/>
        </w:rPr>
        <w:t xml:space="preserve"> quarter of June 2020.</w:t>
      </w:r>
      <w:r w:rsidR="004C45B3" w:rsidRPr="00EE1F6B">
        <w:rPr>
          <w:rFonts w:ascii="Times New Roman" w:hAnsi="Times New Roman"/>
          <w:sz w:val="22"/>
          <w:szCs w:val="22"/>
          <w:lang w:val="en"/>
        </w:rPr>
        <w:t xml:space="preserve"> </w:t>
      </w:r>
      <w:r w:rsidR="00D4718C" w:rsidRPr="00EE1F6B">
        <w:rPr>
          <w:rFonts w:ascii="Times New Roman" w:hAnsi="Times New Roman"/>
          <w:sz w:val="22"/>
          <w:szCs w:val="22"/>
          <w:lang w:val="en"/>
        </w:rPr>
        <w:t xml:space="preserve"> This lockdown combined with </w:t>
      </w:r>
      <w:r w:rsidR="00797AF2" w:rsidRPr="00EE1F6B">
        <w:rPr>
          <w:rFonts w:ascii="Times New Roman" w:hAnsi="Times New Roman"/>
          <w:sz w:val="22"/>
          <w:szCs w:val="22"/>
          <w:lang w:val="en"/>
        </w:rPr>
        <w:t xml:space="preserve">an </w:t>
      </w:r>
      <w:r w:rsidR="00D4718C" w:rsidRPr="00EE1F6B">
        <w:rPr>
          <w:rFonts w:ascii="Times New Roman" w:hAnsi="Times New Roman"/>
          <w:sz w:val="22"/>
          <w:szCs w:val="22"/>
          <w:lang w:val="en"/>
        </w:rPr>
        <w:t>already challenging business enabling environment</w:t>
      </w:r>
      <w:r w:rsidR="00CA49DC" w:rsidRPr="00EE1F6B">
        <w:rPr>
          <w:rFonts w:ascii="Times New Roman" w:hAnsi="Times New Roman"/>
          <w:sz w:val="22"/>
          <w:szCs w:val="22"/>
          <w:lang w:val="en"/>
        </w:rPr>
        <w:t xml:space="preserve"> </w:t>
      </w:r>
      <w:proofErr w:type="spellStart"/>
      <w:r w:rsidR="00CA49DC" w:rsidRPr="00EE1F6B">
        <w:rPr>
          <w:rFonts w:ascii="Times New Roman" w:hAnsi="Times New Roman"/>
          <w:sz w:val="22"/>
          <w:szCs w:val="22"/>
          <w:lang w:val="en"/>
        </w:rPr>
        <w:t>characterised</w:t>
      </w:r>
      <w:proofErr w:type="spellEnd"/>
      <w:r w:rsidR="00CA49DC" w:rsidRPr="00EE1F6B">
        <w:rPr>
          <w:rFonts w:ascii="Times New Roman" w:hAnsi="Times New Roman"/>
          <w:sz w:val="22"/>
          <w:szCs w:val="22"/>
          <w:lang w:val="en"/>
        </w:rPr>
        <w:t xml:space="preserve"> by</w:t>
      </w:r>
      <w:r w:rsidR="00D4718C" w:rsidRPr="00EE1F6B">
        <w:rPr>
          <w:rFonts w:ascii="Times New Roman" w:hAnsi="Times New Roman"/>
          <w:sz w:val="22"/>
          <w:szCs w:val="22"/>
          <w:lang w:val="en"/>
        </w:rPr>
        <w:t xml:space="preserve"> </w:t>
      </w:r>
      <w:r w:rsidR="00BA5A34" w:rsidRPr="00EE1F6B">
        <w:rPr>
          <w:rFonts w:ascii="Times New Roman" w:hAnsi="Times New Roman"/>
          <w:sz w:val="22"/>
          <w:szCs w:val="22"/>
          <w:lang w:val="en"/>
        </w:rPr>
        <w:t xml:space="preserve">the </w:t>
      </w:r>
      <w:r w:rsidR="00D4718C" w:rsidRPr="00EE1F6B">
        <w:rPr>
          <w:rFonts w:ascii="Times New Roman" w:hAnsi="Times New Roman"/>
          <w:sz w:val="22"/>
          <w:szCs w:val="22"/>
          <w:lang w:val="en"/>
        </w:rPr>
        <w:t>high cost of inputs</w:t>
      </w:r>
      <w:r w:rsidR="0006468D" w:rsidRPr="00EE1F6B">
        <w:rPr>
          <w:rFonts w:ascii="Times New Roman" w:hAnsi="Times New Roman"/>
          <w:sz w:val="22"/>
          <w:szCs w:val="22"/>
          <w:lang w:val="en"/>
        </w:rPr>
        <w:t xml:space="preserve">, </w:t>
      </w:r>
      <w:r w:rsidR="0006468D" w:rsidRPr="00EE1F6B">
        <w:rPr>
          <w:rFonts w:ascii="Times New Roman" w:hAnsi="Times New Roman"/>
          <w:color w:val="000000"/>
          <w:sz w:val="22"/>
          <w:szCs w:val="22"/>
          <w:lang w:val="en-GB"/>
        </w:rPr>
        <w:t xml:space="preserve">weak data infrastructure, limited access </w:t>
      </w:r>
      <w:r w:rsidR="00797AF2" w:rsidRPr="00EE1F6B">
        <w:rPr>
          <w:rFonts w:ascii="Times New Roman" w:hAnsi="Times New Roman"/>
          <w:color w:val="000000"/>
          <w:sz w:val="22"/>
          <w:szCs w:val="22"/>
          <w:lang w:val="en-GB"/>
        </w:rPr>
        <w:t xml:space="preserve">to </w:t>
      </w:r>
      <w:r w:rsidR="0006468D" w:rsidRPr="00EE1F6B">
        <w:rPr>
          <w:rFonts w:ascii="Times New Roman" w:hAnsi="Times New Roman"/>
          <w:color w:val="000000"/>
          <w:sz w:val="22"/>
          <w:szCs w:val="22"/>
          <w:lang w:val="en-GB"/>
        </w:rPr>
        <w:t>quality business support services, high levels of informality</w:t>
      </w:r>
      <w:r w:rsidR="004C45B3" w:rsidRPr="00EE1F6B">
        <w:rPr>
          <w:rFonts w:ascii="Times New Roman" w:hAnsi="Times New Roman"/>
          <w:color w:val="000000"/>
          <w:sz w:val="22"/>
          <w:szCs w:val="22"/>
          <w:lang w:val="en-GB"/>
        </w:rPr>
        <w:t>,</w:t>
      </w:r>
      <w:r w:rsidR="00D4718C" w:rsidRPr="00EE1F6B">
        <w:rPr>
          <w:rFonts w:ascii="Times New Roman" w:hAnsi="Times New Roman"/>
          <w:sz w:val="22"/>
          <w:szCs w:val="22"/>
          <w:lang w:val="en"/>
        </w:rPr>
        <w:t xml:space="preserve"> </w:t>
      </w:r>
      <w:r w:rsidR="0006468D" w:rsidRPr="00EE1F6B">
        <w:rPr>
          <w:rFonts w:ascii="Times New Roman" w:hAnsi="Times New Roman"/>
          <w:sz w:val="22"/>
          <w:szCs w:val="22"/>
          <w:lang w:val="en"/>
        </w:rPr>
        <w:t xml:space="preserve">and </w:t>
      </w:r>
      <w:r w:rsidR="0006468D" w:rsidRPr="00EE1F6B">
        <w:rPr>
          <w:rFonts w:ascii="Times New Roman" w:hAnsi="Times New Roman"/>
          <w:color w:val="000000"/>
          <w:sz w:val="22"/>
          <w:szCs w:val="22"/>
          <w:lang w:val="en-GB"/>
        </w:rPr>
        <w:t>disparities among disadvantaged groups</w:t>
      </w:r>
      <w:r w:rsidR="00797AF2" w:rsidRPr="00EE1F6B">
        <w:rPr>
          <w:rFonts w:ascii="Times New Roman" w:hAnsi="Times New Roman"/>
          <w:color w:val="000000"/>
          <w:sz w:val="22"/>
          <w:szCs w:val="22"/>
          <w:lang w:val="en-GB"/>
        </w:rPr>
        <w:t xml:space="preserve"> </w:t>
      </w:r>
      <w:r w:rsidR="00883D43" w:rsidRPr="00EE1F6B">
        <w:rPr>
          <w:rFonts w:ascii="Times New Roman" w:hAnsi="Times New Roman"/>
          <w:color w:val="000000"/>
          <w:sz w:val="22"/>
          <w:szCs w:val="22"/>
          <w:lang w:val="en-GB"/>
        </w:rPr>
        <w:t>(women</w:t>
      </w:r>
      <w:r w:rsidR="0006468D" w:rsidRPr="00EE1F6B">
        <w:rPr>
          <w:rFonts w:ascii="Times New Roman" w:hAnsi="Times New Roman"/>
          <w:color w:val="000000"/>
          <w:sz w:val="22"/>
          <w:szCs w:val="22"/>
          <w:lang w:val="en-GB"/>
        </w:rPr>
        <w:t>, youths and people with disabilities</w:t>
      </w:r>
      <w:r w:rsidR="00797AF2" w:rsidRPr="00EE1F6B">
        <w:rPr>
          <w:rFonts w:ascii="Times New Roman" w:hAnsi="Times New Roman"/>
          <w:color w:val="000000"/>
          <w:sz w:val="22"/>
          <w:szCs w:val="22"/>
          <w:lang w:val="en-GB"/>
        </w:rPr>
        <w:t>)</w:t>
      </w:r>
      <w:r w:rsidR="00D4718C" w:rsidRPr="00EE1F6B">
        <w:rPr>
          <w:rFonts w:ascii="Times New Roman" w:hAnsi="Times New Roman"/>
          <w:sz w:val="22"/>
          <w:szCs w:val="22"/>
          <w:lang w:val="en"/>
        </w:rPr>
        <w:t xml:space="preserve"> </w:t>
      </w:r>
      <w:r w:rsidR="00BA5A34" w:rsidRPr="00EE1F6B">
        <w:rPr>
          <w:rFonts w:ascii="Times New Roman" w:hAnsi="Times New Roman"/>
          <w:sz w:val="22"/>
          <w:szCs w:val="22"/>
          <w:lang w:val="en"/>
        </w:rPr>
        <w:t>is</w:t>
      </w:r>
      <w:r w:rsidR="00D4718C" w:rsidRPr="00EE1F6B">
        <w:rPr>
          <w:rFonts w:ascii="Times New Roman" w:hAnsi="Times New Roman"/>
          <w:sz w:val="22"/>
          <w:szCs w:val="22"/>
          <w:lang w:val="en"/>
        </w:rPr>
        <w:t xml:space="preserve"> further crippling the MSME sector.</w:t>
      </w:r>
      <w:r w:rsidR="00797AF2" w:rsidRPr="00EE1F6B">
        <w:rPr>
          <w:rFonts w:ascii="Times New Roman" w:hAnsi="Times New Roman"/>
          <w:sz w:val="22"/>
          <w:szCs w:val="22"/>
          <w:lang w:val="en"/>
        </w:rPr>
        <w:t xml:space="preserve"> </w:t>
      </w:r>
    </w:p>
    <w:p w:rsidR="00CA49DC" w:rsidRPr="00EE1F6B" w:rsidRDefault="00CA49DC" w:rsidP="00B915B3">
      <w:pPr>
        <w:contextualSpacing/>
        <w:jc w:val="both"/>
        <w:rPr>
          <w:rFonts w:ascii="Times New Roman" w:hAnsi="Times New Roman"/>
          <w:sz w:val="22"/>
          <w:szCs w:val="22"/>
          <w:lang w:val="en"/>
        </w:rPr>
      </w:pPr>
    </w:p>
    <w:p w:rsidR="00F4032A" w:rsidRPr="00EE1F6B" w:rsidRDefault="004135D7" w:rsidP="00B915B3">
      <w:pPr>
        <w:contextualSpacing/>
        <w:jc w:val="both"/>
        <w:rPr>
          <w:rFonts w:ascii="Times New Roman" w:hAnsi="Times New Roman"/>
          <w:sz w:val="22"/>
          <w:szCs w:val="22"/>
          <w:lang w:val="en"/>
        </w:rPr>
      </w:pPr>
      <w:r w:rsidRPr="00EE1F6B">
        <w:rPr>
          <w:rFonts w:ascii="Times New Roman" w:hAnsi="Times New Roman"/>
          <w:sz w:val="22"/>
          <w:szCs w:val="22"/>
          <w:lang w:val="en"/>
        </w:rPr>
        <w:t>1.04</w:t>
      </w:r>
      <w:r w:rsidRPr="00EE1F6B">
        <w:rPr>
          <w:rFonts w:ascii="Times New Roman" w:hAnsi="Times New Roman"/>
          <w:sz w:val="22"/>
          <w:szCs w:val="22"/>
          <w:lang w:val="en"/>
        </w:rPr>
        <w:tab/>
      </w:r>
      <w:r w:rsidR="00566020" w:rsidRPr="00EE1F6B">
        <w:rPr>
          <w:rFonts w:ascii="Times New Roman" w:hAnsi="Times New Roman"/>
          <w:sz w:val="22"/>
          <w:szCs w:val="22"/>
          <w:lang w:val="en"/>
        </w:rPr>
        <w:t>Financial systems across several of CDB’s BMCs are dominated by commercial banks, and their preferences for extending finance tend to be influence</w:t>
      </w:r>
      <w:r w:rsidR="004C45B3" w:rsidRPr="00EE1F6B">
        <w:rPr>
          <w:rFonts w:ascii="Times New Roman" w:hAnsi="Times New Roman"/>
          <w:sz w:val="22"/>
          <w:szCs w:val="22"/>
          <w:lang w:val="en"/>
        </w:rPr>
        <w:t>d</w:t>
      </w:r>
      <w:r w:rsidR="00566020" w:rsidRPr="00EE1F6B">
        <w:rPr>
          <w:rFonts w:ascii="Times New Roman" w:hAnsi="Times New Roman"/>
          <w:sz w:val="22"/>
          <w:szCs w:val="22"/>
          <w:lang w:val="en"/>
        </w:rPr>
        <w:t xml:space="preserve"> by lower risk consumer</w:t>
      </w:r>
      <w:r w:rsidR="004C45B3" w:rsidRPr="00EE1F6B">
        <w:rPr>
          <w:rFonts w:ascii="Times New Roman" w:hAnsi="Times New Roman"/>
          <w:sz w:val="22"/>
          <w:szCs w:val="22"/>
          <w:lang w:val="en"/>
        </w:rPr>
        <w:t>-</w:t>
      </w:r>
      <w:r w:rsidR="00566020" w:rsidRPr="00EE1F6B">
        <w:rPr>
          <w:rFonts w:ascii="Times New Roman" w:hAnsi="Times New Roman"/>
          <w:sz w:val="22"/>
          <w:szCs w:val="22"/>
          <w:lang w:val="en"/>
        </w:rPr>
        <w:t xml:space="preserve">type investments.  </w:t>
      </w:r>
      <w:r w:rsidR="00497C81" w:rsidRPr="00EE1F6B">
        <w:rPr>
          <w:rFonts w:ascii="Times New Roman" w:hAnsi="Times New Roman"/>
          <w:sz w:val="22"/>
          <w:szCs w:val="22"/>
          <w:lang w:val="en"/>
        </w:rPr>
        <w:t>Consequently,</w:t>
      </w:r>
      <w:r w:rsidR="002C4AC8" w:rsidRPr="00EE1F6B">
        <w:rPr>
          <w:rFonts w:ascii="Times New Roman" w:hAnsi="Times New Roman"/>
          <w:sz w:val="22"/>
          <w:szCs w:val="22"/>
          <w:lang w:val="en"/>
        </w:rPr>
        <w:t xml:space="preserve"> access </w:t>
      </w:r>
      <w:r w:rsidR="00566020" w:rsidRPr="00EE1F6B">
        <w:rPr>
          <w:rFonts w:ascii="Times New Roman" w:hAnsi="Times New Roman"/>
          <w:sz w:val="22"/>
          <w:szCs w:val="22"/>
          <w:lang w:val="en"/>
        </w:rPr>
        <w:t xml:space="preserve">by MSMEs </w:t>
      </w:r>
      <w:r w:rsidR="002C4AC8" w:rsidRPr="00EE1F6B">
        <w:rPr>
          <w:rFonts w:ascii="Times New Roman" w:hAnsi="Times New Roman"/>
          <w:sz w:val="22"/>
          <w:szCs w:val="22"/>
          <w:lang w:val="en"/>
        </w:rPr>
        <w:t xml:space="preserve">to </w:t>
      </w:r>
      <w:r w:rsidR="00CA49DC" w:rsidRPr="00EE1F6B">
        <w:rPr>
          <w:rFonts w:ascii="Times New Roman" w:hAnsi="Times New Roman"/>
          <w:sz w:val="22"/>
          <w:szCs w:val="22"/>
          <w:lang w:val="en"/>
        </w:rPr>
        <w:t>appropriate and affordable finance</w:t>
      </w:r>
      <w:r w:rsidR="002C4AC8" w:rsidRPr="00EE1F6B">
        <w:rPr>
          <w:rFonts w:ascii="Times New Roman" w:hAnsi="Times New Roman"/>
          <w:sz w:val="22"/>
          <w:szCs w:val="22"/>
          <w:lang w:val="en"/>
        </w:rPr>
        <w:t xml:space="preserve"> options </w:t>
      </w:r>
      <w:r w:rsidR="00FE7FE3" w:rsidRPr="00EE1F6B">
        <w:rPr>
          <w:rFonts w:ascii="Times New Roman" w:hAnsi="Times New Roman"/>
          <w:sz w:val="22"/>
          <w:szCs w:val="22"/>
          <w:lang w:val="en"/>
        </w:rPr>
        <w:t>along with a conductive enabling environment are</w:t>
      </w:r>
      <w:r w:rsidR="00CA49DC" w:rsidRPr="00EE1F6B">
        <w:rPr>
          <w:rFonts w:ascii="Times New Roman" w:hAnsi="Times New Roman"/>
          <w:sz w:val="22"/>
          <w:szCs w:val="22"/>
          <w:lang w:val="en"/>
        </w:rPr>
        <w:t xml:space="preserve"> essential for MSMEs to operate effectively, spur growth, promote job creation</w:t>
      </w:r>
      <w:r w:rsidR="00BA5A34" w:rsidRPr="00EE1F6B">
        <w:rPr>
          <w:rFonts w:ascii="Times New Roman" w:hAnsi="Times New Roman"/>
          <w:sz w:val="22"/>
          <w:szCs w:val="22"/>
          <w:lang w:val="en"/>
        </w:rPr>
        <w:t>,</w:t>
      </w:r>
      <w:r w:rsidR="00CA49DC" w:rsidRPr="00EE1F6B">
        <w:rPr>
          <w:rFonts w:ascii="Times New Roman" w:hAnsi="Times New Roman"/>
          <w:sz w:val="22"/>
          <w:szCs w:val="22"/>
          <w:lang w:val="en"/>
        </w:rPr>
        <w:t xml:space="preserve"> and facilitate wealth generation.  However, access to finance remains </w:t>
      </w:r>
      <w:r w:rsidR="00FE7FE3" w:rsidRPr="00EE1F6B">
        <w:rPr>
          <w:rFonts w:ascii="Times New Roman" w:hAnsi="Times New Roman"/>
          <w:sz w:val="22"/>
          <w:szCs w:val="22"/>
          <w:lang w:val="en"/>
        </w:rPr>
        <w:t xml:space="preserve">one of the </w:t>
      </w:r>
      <w:r w:rsidR="00CA49DC" w:rsidRPr="00EE1F6B">
        <w:rPr>
          <w:rFonts w:ascii="Times New Roman" w:hAnsi="Times New Roman"/>
          <w:sz w:val="22"/>
          <w:szCs w:val="22"/>
          <w:lang w:val="en"/>
        </w:rPr>
        <w:t xml:space="preserve">binding </w:t>
      </w:r>
      <w:r w:rsidR="002C4AC8" w:rsidRPr="00EE1F6B">
        <w:rPr>
          <w:rFonts w:ascii="Times New Roman" w:hAnsi="Times New Roman"/>
          <w:sz w:val="22"/>
          <w:szCs w:val="22"/>
          <w:lang w:val="en"/>
        </w:rPr>
        <w:t>constraint</w:t>
      </w:r>
      <w:r w:rsidR="00FE7FE3" w:rsidRPr="00EE1F6B">
        <w:rPr>
          <w:rFonts w:ascii="Times New Roman" w:hAnsi="Times New Roman"/>
          <w:sz w:val="22"/>
          <w:szCs w:val="22"/>
          <w:lang w:val="en"/>
        </w:rPr>
        <w:t>s</w:t>
      </w:r>
      <w:r w:rsidR="002C4AC8" w:rsidRPr="00EE1F6B">
        <w:rPr>
          <w:rFonts w:ascii="Times New Roman" w:hAnsi="Times New Roman"/>
          <w:sz w:val="22"/>
          <w:szCs w:val="22"/>
          <w:lang w:val="en"/>
        </w:rPr>
        <w:t xml:space="preserve"> as</w:t>
      </w:r>
      <w:r w:rsidR="00CA49DC" w:rsidRPr="00EE1F6B">
        <w:rPr>
          <w:rFonts w:ascii="Times New Roman" w:hAnsi="Times New Roman"/>
          <w:sz w:val="22"/>
          <w:szCs w:val="22"/>
          <w:lang w:val="en"/>
        </w:rPr>
        <w:t xml:space="preserve"> outlined in the latest World Bank Doing Business Report 2020, which showed the Caribbean averaging 135 of the 190 countries surveyed with Jamaica having the highest rank of 15 and Suriname the lowest of 181 on the access to credit indicator.</w:t>
      </w:r>
      <w:r w:rsidR="00EA5EBD" w:rsidRPr="00EE1F6B">
        <w:rPr>
          <w:rStyle w:val="FootnoteReference"/>
          <w:rFonts w:ascii="Times New Roman" w:hAnsi="Times New Roman"/>
          <w:sz w:val="22"/>
          <w:szCs w:val="22"/>
          <w:vertAlign w:val="superscript"/>
          <w:lang w:val="en"/>
        </w:rPr>
        <w:footnoteReference w:id="3"/>
      </w:r>
      <w:r w:rsidR="00E8573D" w:rsidRPr="00EE1F6B">
        <w:rPr>
          <w:rFonts w:ascii="Times New Roman" w:hAnsi="Times New Roman"/>
          <w:sz w:val="22"/>
          <w:szCs w:val="22"/>
          <w:vertAlign w:val="superscript"/>
          <w:lang w:val="en"/>
        </w:rPr>
        <w:t>/</w:t>
      </w:r>
      <w:r w:rsidR="00CA49DC" w:rsidRPr="00EE1F6B">
        <w:rPr>
          <w:rFonts w:ascii="Times New Roman" w:hAnsi="Times New Roman"/>
          <w:sz w:val="22"/>
          <w:szCs w:val="22"/>
          <w:lang w:val="en"/>
        </w:rPr>
        <w:t xml:space="preserve">   </w:t>
      </w:r>
    </w:p>
    <w:p w:rsidR="00E8573D" w:rsidRPr="00EE1F6B" w:rsidRDefault="00E8573D" w:rsidP="00B915B3">
      <w:pPr>
        <w:contextualSpacing/>
        <w:jc w:val="both"/>
        <w:rPr>
          <w:rFonts w:ascii="Times New Roman" w:eastAsia="Calibri" w:hAnsi="Times New Roman"/>
          <w:color w:val="000000"/>
          <w:sz w:val="22"/>
          <w:szCs w:val="22"/>
          <w:lang w:val="en-GB"/>
        </w:rPr>
      </w:pPr>
      <w:r w:rsidRPr="00EE1F6B">
        <w:rPr>
          <w:rFonts w:ascii="Times New Roman" w:eastAsia="Calibri" w:hAnsi="Times New Roman"/>
          <w:color w:val="000000"/>
          <w:sz w:val="22"/>
          <w:szCs w:val="22"/>
          <w:lang w:val="en-GB"/>
        </w:rPr>
        <w:br w:type="page"/>
      </w:r>
    </w:p>
    <w:p w:rsidR="00422F33" w:rsidRPr="00EE1F6B" w:rsidRDefault="004135D7" w:rsidP="00B915B3">
      <w:pPr>
        <w:widowControl/>
        <w:autoSpaceDE/>
        <w:autoSpaceDN/>
        <w:adjustRightInd/>
        <w:contextualSpacing/>
        <w:jc w:val="both"/>
        <w:rPr>
          <w:rFonts w:ascii="Times New Roman" w:eastAsia="Calibri" w:hAnsi="Times New Roman"/>
          <w:sz w:val="22"/>
          <w:szCs w:val="22"/>
          <w:lang w:val="en-GB"/>
        </w:rPr>
      </w:pPr>
      <w:r w:rsidRPr="00EE1F6B">
        <w:rPr>
          <w:rFonts w:ascii="Times New Roman" w:eastAsia="Calibri" w:hAnsi="Times New Roman"/>
          <w:sz w:val="22"/>
          <w:szCs w:val="22"/>
          <w:lang w:val="en-GB"/>
        </w:rPr>
        <w:lastRenderedPageBreak/>
        <w:t>1.05</w:t>
      </w:r>
      <w:r w:rsidRPr="00EE1F6B">
        <w:rPr>
          <w:rFonts w:ascii="Times New Roman" w:eastAsia="Calibri" w:hAnsi="Times New Roman"/>
          <w:sz w:val="22"/>
          <w:szCs w:val="22"/>
          <w:lang w:val="en-GB"/>
        </w:rPr>
        <w:tab/>
      </w:r>
      <w:r w:rsidR="00FE7FE3" w:rsidRPr="00EE1F6B">
        <w:rPr>
          <w:rFonts w:ascii="Times New Roman" w:eastAsia="Calibri" w:hAnsi="Times New Roman"/>
          <w:sz w:val="22"/>
          <w:szCs w:val="22"/>
          <w:lang w:val="en-GB"/>
        </w:rPr>
        <w:t>M</w:t>
      </w:r>
      <w:r w:rsidR="00422F33" w:rsidRPr="00EE1F6B">
        <w:rPr>
          <w:rFonts w:ascii="Times New Roman" w:eastAsia="Calibri" w:hAnsi="Times New Roman"/>
          <w:sz w:val="22"/>
          <w:szCs w:val="22"/>
          <w:lang w:val="en-GB"/>
        </w:rPr>
        <w:t>ajor inhibitor</w:t>
      </w:r>
      <w:r w:rsidR="00FE7FE3" w:rsidRPr="00EE1F6B">
        <w:rPr>
          <w:rFonts w:ascii="Times New Roman" w:eastAsia="Calibri" w:hAnsi="Times New Roman"/>
          <w:sz w:val="22"/>
          <w:szCs w:val="22"/>
          <w:lang w:val="en-GB"/>
        </w:rPr>
        <w:t>s</w:t>
      </w:r>
      <w:r w:rsidR="00422F33" w:rsidRPr="00EE1F6B">
        <w:rPr>
          <w:rFonts w:ascii="Times New Roman" w:eastAsia="Calibri" w:hAnsi="Times New Roman"/>
          <w:sz w:val="22"/>
          <w:szCs w:val="22"/>
          <w:lang w:val="en-GB"/>
        </w:rPr>
        <w:t xml:space="preserve"> to MSME</w:t>
      </w:r>
      <w:r w:rsidR="00E52260" w:rsidRPr="00EE1F6B">
        <w:rPr>
          <w:rFonts w:ascii="Times New Roman" w:eastAsia="Calibri" w:hAnsi="Times New Roman"/>
          <w:sz w:val="22"/>
          <w:szCs w:val="22"/>
          <w:lang w:val="en-GB"/>
        </w:rPr>
        <w:t>s</w:t>
      </w:r>
      <w:r w:rsidR="00422F33" w:rsidRPr="00EE1F6B">
        <w:rPr>
          <w:rFonts w:ascii="Times New Roman" w:eastAsia="Calibri" w:hAnsi="Times New Roman"/>
          <w:sz w:val="22"/>
          <w:szCs w:val="22"/>
          <w:lang w:val="en-GB"/>
        </w:rPr>
        <w:t xml:space="preserve"> accessing finance in the Caribbean </w:t>
      </w:r>
      <w:r w:rsidR="00FE7FE3" w:rsidRPr="00EE1F6B">
        <w:rPr>
          <w:rFonts w:ascii="Times New Roman" w:eastAsia="Calibri" w:hAnsi="Times New Roman"/>
          <w:sz w:val="22"/>
          <w:szCs w:val="22"/>
          <w:lang w:val="en-GB"/>
        </w:rPr>
        <w:t>not only relate to</w:t>
      </w:r>
      <w:r w:rsidR="00422F33" w:rsidRPr="00EE1F6B">
        <w:rPr>
          <w:rFonts w:ascii="Times New Roman" w:eastAsia="Calibri" w:hAnsi="Times New Roman"/>
          <w:sz w:val="22"/>
          <w:szCs w:val="22"/>
          <w:lang w:val="en-GB"/>
        </w:rPr>
        <w:t xml:space="preserve"> their inability to </w:t>
      </w:r>
      <w:r w:rsidR="00FE7FE3" w:rsidRPr="00EE1F6B">
        <w:rPr>
          <w:rFonts w:ascii="Times New Roman" w:eastAsia="Calibri" w:hAnsi="Times New Roman"/>
          <w:sz w:val="22"/>
          <w:szCs w:val="22"/>
          <w:lang w:val="en-GB"/>
        </w:rPr>
        <w:t xml:space="preserve">provide acceptable </w:t>
      </w:r>
      <w:r w:rsidR="00422F33" w:rsidRPr="00EE1F6B">
        <w:rPr>
          <w:rFonts w:ascii="Times New Roman" w:eastAsia="Calibri" w:hAnsi="Times New Roman"/>
          <w:sz w:val="22"/>
          <w:szCs w:val="22"/>
          <w:lang w:val="en-GB"/>
        </w:rPr>
        <w:t xml:space="preserve">collateral </w:t>
      </w:r>
      <w:r w:rsidR="00FE7FE3" w:rsidRPr="00EE1F6B">
        <w:rPr>
          <w:rFonts w:ascii="Times New Roman" w:eastAsia="Calibri" w:hAnsi="Times New Roman"/>
          <w:sz w:val="22"/>
          <w:szCs w:val="22"/>
          <w:lang w:val="en-GB"/>
        </w:rPr>
        <w:t xml:space="preserve">but also </w:t>
      </w:r>
      <w:r w:rsidR="008258A4" w:rsidRPr="00EE1F6B">
        <w:rPr>
          <w:rFonts w:ascii="Times New Roman" w:eastAsia="Calibri" w:hAnsi="Times New Roman"/>
          <w:sz w:val="22"/>
          <w:szCs w:val="22"/>
          <w:lang w:val="en-GB"/>
        </w:rPr>
        <w:t>an unwillingness to finance business start-ups and a lack of business support institutions such as credit bureaus.</w:t>
      </w:r>
      <w:r w:rsidR="00E8573D" w:rsidRPr="00EE1F6B">
        <w:rPr>
          <w:rFonts w:ascii="Times New Roman" w:eastAsia="Calibri" w:hAnsi="Times New Roman"/>
          <w:sz w:val="22"/>
          <w:szCs w:val="22"/>
          <w:lang w:val="en-GB"/>
        </w:rPr>
        <w:t xml:space="preserve"> </w:t>
      </w:r>
      <w:r w:rsidR="00422F33" w:rsidRPr="00EE1F6B">
        <w:rPr>
          <w:rFonts w:ascii="Times New Roman" w:eastAsia="Calibri" w:hAnsi="Times New Roman"/>
          <w:sz w:val="22"/>
          <w:szCs w:val="22"/>
          <w:lang w:val="en-GB"/>
        </w:rPr>
        <w:t xml:space="preserve"> In countries such as Barbados and Belize</w:t>
      </w:r>
      <w:r w:rsidR="002C4AC8" w:rsidRPr="00EE1F6B">
        <w:rPr>
          <w:rFonts w:ascii="Times New Roman" w:eastAsia="Calibri" w:hAnsi="Times New Roman"/>
          <w:sz w:val="22"/>
          <w:szCs w:val="22"/>
          <w:lang w:val="en-GB"/>
        </w:rPr>
        <w:t>,</w:t>
      </w:r>
      <w:r w:rsidR="00422F33" w:rsidRPr="00EE1F6B">
        <w:rPr>
          <w:rFonts w:ascii="Times New Roman" w:eastAsia="Calibri" w:hAnsi="Times New Roman"/>
          <w:sz w:val="22"/>
          <w:szCs w:val="22"/>
          <w:lang w:val="en-GB"/>
        </w:rPr>
        <w:t xml:space="preserve"> MSMEs</w:t>
      </w:r>
      <w:r w:rsidR="00BA5A34" w:rsidRPr="00EE1F6B">
        <w:rPr>
          <w:rFonts w:ascii="Times New Roman" w:eastAsia="Calibri" w:hAnsi="Times New Roman"/>
          <w:sz w:val="22"/>
          <w:szCs w:val="22"/>
          <w:lang w:val="en-GB"/>
        </w:rPr>
        <w:t>’</w:t>
      </w:r>
      <w:r w:rsidR="00422F33" w:rsidRPr="00EE1F6B">
        <w:rPr>
          <w:rFonts w:ascii="Times New Roman" w:eastAsia="Calibri" w:hAnsi="Times New Roman"/>
          <w:sz w:val="22"/>
          <w:szCs w:val="22"/>
          <w:lang w:val="en-GB"/>
        </w:rPr>
        <w:t xml:space="preserve"> collateral requirements </w:t>
      </w:r>
      <w:r w:rsidR="00294AC1" w:rsidRPr="00EE1F6B">
        <w:rPr>
          <w:rFonts w:ascii="Times New Roman" w:eastAsia="Calibri" w:hAnsi="Times New Roman"/>
          <w:sz w:val="22"/>
          <w:szCs w:val="22"/>
          <w:lang w:val="en-GB"/>
        </w:rPr>
        <w:t xml:space="preserve">can be as </w:t>
      </w:r>
      <w:r w:rsidR="00422F33" w:rsidRPr="00EE1F6B">
        <w:rPr>
          <w:rFonts w:ascii="Times New Roman" w:eastAsia="Calibri" w:hAnsi="Times New Roman"/>
          <w:sz w:val="22"/>
          <w:szCs w:val="22"/>
          <w:lang w:val="en-GB"/>
        </w:rPr>
        <w:t>high as 180% of the loan amount</w:t>
      </w:r>
      <w:r w:rsidR="00EA5EBD" w:rsidRPr="00EE1F6B">
        <w:rPr>
          <w:rFonts w:ascii="Times New Roman" w:eastAsia="Calibri" w:hAnsi="Times New Roman"/>
          <w:sz w:val="22"/>
          <w:szCs w:val="22"/>
          <w:lang w:val="en-GB"/>
        </w:rPr>
        <w:t>.</w:t>
      </w:r>
      <w:r w:rsidR="00497C81" w:rsidRPr="00EE1F6B" w:rsidDel="00497C81">
        <w:rPr>
          <w:rStyle w:val="FootnoteReference"/>
          <w:rFonts w:ascii="Times New Roman" w:eastAsia="Calibri" w:hAnsi="Times New Roman"/>
          <w:sz w:val="22"/>
          <w:szCs w:val="22"/>
          <w:vertAlign w:val="superscript"/>
          <w:lang w:val="en-GB"/>
        </w:rPr>
        <w:t xml:space="preserve"> </w:t>
      </w:r>
      <w:r w:rsidR="00294AC1" w:rsidRPr="00EE1F6B">
        <w:rPr>
          <w:rFonts w:ascii="Times New Roman" w:eastAsia="Calibri" w:hAnsi="Times New Roman"/>
          <w:sz w:val="22"/>
          <w:szCs w:val="22"/>
          <w:vertAlign w:val="superscript"/>
          <w:lang w:val="en-GB"/>
        </w:rPr>
        <w:t xml:space="preserve"> </w:t>
      </w:r>
    </w:p>
    <w:p w:rsidR="00422F33" w:rsidRPr="00EE1F6B" w:rsidRDefault="00422F33" w:rsidP="00B915B3">
      <w:pPr>
        <w:widowControl/>
        <w:autoSpaceDE/>
        <w:autoSpaceDN/>
        <w:adjustRightInd/>
        <w:contextualSpacing/>
        <w:jc w:val="both"/>
        <w:rPr>
          <w:rFonts w:ascii="Times New Roman" w:eastAsia="Calibri" w:hAnsi="Times New Roman"/>
          <w:sz w:val="22"/>
          <w:szCs w:val="22"/>
          <w:lang w:val="en-GB"/>
        </w:rPr>
      </w:pPr>
    </w:p>
    <w:p w:rsidR="00F67A9F" w:rsidRPr="00EE1F6B" w:rsidRDefault="004135D7" w:rsidP="00B915B3">
      <w:pPr>
        <w:widowControl/>
        <w:autoSpaceDE/>
        <w:autoSpaceDN/>
        <w:adjustRightInd/>
        <w:contextualSpacing/>
        <w:jc w:val="both"/>
        <w:rPr>
          <w:rFonts w:ascii="Times New Roman" w:eastAsia="Calibri" w:hAnsi="Times New Roman"/>
          <w:sz w:val="22"/>
          <w:szCs w:val="22"/>
          <w:lang w:val="en-GB"/>
        </w:rPr>
      </w:pPr>
      <w:r w:rsidRPr="00EE1F6B">
        <w:rPr>
          <w:rFonts w:ascii="Times New Roman" w:eastAsia="Calibri" w:hAnsi="Times New Roman"/>
          <w:sz w:val="22"/>
          <w:szCs w:val="22"/>
          <w:lang w:val="en-GB"/>
        </w:rPr>
        <w:t>1.06</w:t>
      </w:r>
      <w:r w:rsidRPr="00EE1F6B">
        <w:rPr>
          <w:rFonts w:ascii="Times New Roman" w:eastAsia="Calibri" w:hAnsi="Times New Roman"/>
          <w:sz w:val="22"/>
          <w:szCs w:val="22"/>
          <w:lang w:val="en-GB"/>
        </w:rPr>
        <w:tab/>
      </w:r>
      <w:r w:rsidR="00F67A9F" w:rsidRPr="00EE1F6B">
        <w:rPr>
          <w:rFonts w:ascii="Times New Roman" w:eastAsia="Calibri" w:hAnsi="Times New Roman"/>
          <w:sz w:val="22"/>
          <w:szCs w:val="22"/>
          <w:lang w:val="en-GB"/>
        </w:rPr>
        <w:t xml:space="preserve">The </w:t>
      </w:r>
      <w:r w:rsidR="002C4AC8" w:rsidRPr="00EE1F6B">
        <w:rPr>
          <w:rFonts w:ascii="Times New Roman" w:eastAsia="Calibri" w:hAnsi="Times New Roman"/>
          <w:sz w:val="22"/>
          <w:szCs w:val="22"/>
          <w:lang w:val="en-GB"/>
        </w:rPr>
        <w:t xml:space="preserve">ability </w:t>
      </w:r>
      <w:r w:rsidR="00F67A9F" w:rsidRPr="00EE1F6B">
        <w:rPr>
          <w:rFonts w:ascii="Times New Roman" w:eastAsia="Calibri" w:hAnsi="Times New Roman"/>
          <w:sz w:val="22"/>
          <w:szCs w:val="22"/>
          <w:lang w:val="en-GB"/>
        </w:rPr>
        <w:t xml:space="preserve">to meet commercial banks’ collateral requirements is a key deciding factor </w:t>
      </w:r>
      <w:r w:rsidR="0057176A" w:rsidRPr="00EE1F6B">
        <w:rPr>
          <w:rFonts w:ascii="Times New Roman" w:eastAsia="Calibri" w:hAnsi="Times New Roman"/>
          <w:sz w:val="22"/>
          <w:szCs w:val="22"/>
          <w:lang w:val="en-GB"/>
        </w:rPr>
        <w:t>for</w:t>
      </w:r>
      <w:r w:rsidR="00F67A9F" w:rsidRPr="00EE1F6B">
        <w:rPr>
          <w:rFonts w:ascii="Times New Roman" w:eastAsia="Calibri" w:hAnsi="Times New Roman"/>
          <w:sz w:val="22"/>
          <w:szCs w:val="22"/>
          <w:lang w:val="en-GB"/>
        </w:rPr>
        <w:t xml:space="preserve"> MSME</w:t>
      </w:r>
      <w:r w:rsidR="0057176A" w:rsidRPr="00EE1F6B">
        <w:rPr>
          <w:rFonts w:ascii="Times New Roman" w:eastAsia="Calibri" w:hAnsi="Times New Roman"/>
          <w:sz w:val="22"/>
          <w:szCs w:val="22"/>
          <w:lang w:val="en-GB"/>
        </w:rPr>
        <w:t>s to</w:t>
      </w:r>
      <w:r w:rsidR="00F67A9F" w:rsidRPr="00EE1F6B">
        <w:rPr>
          <w:rFonts w:ascii="Times New Roman" w:eastAsia="Calibri" w:hAnsi="Times New Roman"/>
          <w:sz w:val="22"/>
          <w:szCs w:val="22"/>
          <w:lang w:val="en-GB"/>
        </w:rPr>
        <w:t xml:space="preserve"> access finance.  Two reasons for such high requirements </w:t>
      </w:r>
      <w:r w:rsidR="002C4AC8" w:rsidRPr="00EE1F6B">
        <w:rPr>
          <w:rFonts w:ascii="Times New Roman" w:eastAsia="Calibri" w:hAnsi="Times New Roman"/>
          <w:sz w:val="22"/>
          <w:szCs w:val="22"/>
          <w:lang w:val="en-GB"/>
        </w:rPr>
        <w:t>are</w:t>
      </w:r>
      <w:r w:rsidR="00F67A9F" w:rsidRPr="00EE1F6B">
        <w:rPr>
          <w:rFonts w:ascii="Times New Roman" w:eastAsia="Calibri" w:hAnsi="Times New Roman"/>
          <w:sz w:val="22"/>
          <w:szCs w:val="22"/>
          <w:lang w:val="en-GB"/>
        </w:rPr>
        <w:t>:</w:t>
      </w:r>
    </w:p>
    <w:p w:rsidR="00F67A9F" w:rsidRPr="00EE1F6B" w:rsidRDefault="00F67A9F" w:rsidP="00B915B3">
      <w:pPr>
        <w:widowControl/>
        <w:autoSpaceDE/>
        <w:autoSpaceDN/>
        <w:adjustRightInd/>
        <w:jc w:val="both"/>
        <w:rPr>
          <w:rFonts w:ascii="Times New Roman" w:eastAsia="Calibri" w:hAnsi="Times New Roman"/>
          <w:sz w:val="22"/>
          <w:szCs w:val="22"/>
          <w:lang w:val="en-GB"/>
        </w:rPr>
      </w:pPr>
    </w:p>
    <w:p w:rsidR="00F67A9F" w:rsidRPr="00EE1F6B" w:rsidRDefault="00F67A9F" w:rsidP="001D13E5">
      <w:pPr>
        <w:pStyle w:val="ListParagraph"/>
        <w:numPr>
          <w:ilvl w:val="0"/>
          <w:numId w:val="7"/>
        </w:numPr>
        <w:tabs>
          <w:tab w:val="left" w:pos="1440"/>
        </w:tabs>
        <w:ind w:hanging="720"/>
        <w:contextualSpacing/>
        <w:jc w:val="both"/>
        <w:rPr>
          <w:rFonts w:eastAsia="Calibri"/>
          <w:sz w:val="22"/>
          <w:szCs w:val="22"/>
          <w:lang w:val="en-GB"/>
        </w:rPr>
      </w:pPr>
      <w:r w:rsidRPr="00EE1F6B">
        <w:rPr>
          <w:rFonts w:eastAsia="Calibri"/>
          <w:sz w:val="22"/>
          <w:szCs w:val="22"/>
          <w:lang w:val="en-GB"/>
        </w:rPr>
        <w:t>The absence of a robust secondary market for fixed assets</w:t>
      </w:r>
      <w:r w:rsidR="008258A4" w:rsidRPr="00EE1F6B">
        <w:rPr>
          <w:rFonts w:eastAsia="Calibri"/>
          <w:sz w:val="22"/>
          <w:szCs w:val="22"/>
          <w:lang w:val="en-GB"/>
        </w:rPr>
        <w:t>, especially in small markets</w:t>
      </w:r>
      <w:r w:rsidRPr="00EE1F6B">
        <w:rPr>
          <w:rFonts w:eastAsia="Calibri"/>
          <w:sz w:val="22"/>
          <w:szCs w:val="22"/>
          <w:lang w:val="en-GB"/>
        </w:rPr>
        <w:t>. Therefore, banks overcompensate and demand high levels of collateral</w:t>
      </w:r>
      <w:r w:rsidR="00E8573D" w:rsidRPr="00EE1F6B">
        <w:rPr>
          <w:rFonts w:eastAsia="Calibri"/>
          <w:sz w:val="22"/>
          <w:szCs w:val="22"/>
          <w:lang w:val="en-GB"/>
        </w:rPr>
        <w:t>.</w:t>
      </w:r>
    </w:p>
    <w:p w:rsidR="00F67A9F" w:rsidRPr="00EE1F6B" w:rsidRDefault="00F67A9F" w:rsidP="00B915B3">
      <w:pPr>
        <w:widowControl/>
        <w:tabs>
          <w:tab w:val="left" w:pos="1440"/>
        </w:tabs>
        <w:autoSpaceDE/>
        <w:autoSpaceDN/>
        <w:adjustRightInd/>
        <w:ind w:left="2340"/>
        <w:contextualSpacing/>
        <w:jc w:val="both"/>
        <w:rPr>
          <w:rFonts w:ascii="Times New Roman" w:eastAsia="Calibri" w:hAnsi="Times New Roman"/>
          <w:sz w:val="22"/>
          <w:szCs w:val="22"/>
          <w:lang w:val="en-GB"/>
        </w:rPr>
      </w:pPr>
    </w:p>
    <w:p w:rsidR="00F67A9F" w:rsidRPr="00EE1F6B" w:rsidRDefault="00F67A9F" w:rsidP="001D13E5">
      <w:pPr>
        <w:pStyle w:val="ListParagraph"/>
        <w:numPr>
          <w:ilvl w:val="0"/>
          <w:numId w:val="7"/>
        </w:numPr>
        <w:tabs>
          <w:tab w:val="left" w:pos="1440"/>
        </w:tabs>
        <w:ind w:hanging="720"/>
        <w:contextualSpacing/>
        <w:jc w:val="both"/>
        <w:rPr>
          <w:rFonts w:eastAsia="Calibri"/>
          <w:sz w:val="22"/>
          <w:szCs w:val="22"/>
          <w:lang w:val="en-GB"/>
        </w:rPr>
      </w:pPr>
      <w:r w:rsidRPr="00EE1F6B">
        <w:rPr>
          <w:rFonts w:eastAsia="Calibri"/>
          <w:sz w:val="22"/>
          <w:szCs w:val="22"/>
          <w:lang w:val="en-GB"/>
        </w:rPr>
        <w:t>Central Bank’s prudential regulations stipulate that banks must secure adequate cover (i.e. </w:t>
      </w:r>
      <w:r w:rsidR="004C45B3" w:rsidRPr="00EE1F6B">
        <w:rPr>
          <w:rFonts w:eastAsia="Calibri"/>
          <w:sz w:val="22"/>
          <w:szCs w:val="22"/>
          <w:lang w:val="en-GB"/>
        </w:rPr>
        <w:t xml:space="preserve">the </w:t>
      </w:r>
      <w:r w:rsidRPr="00EE1F6B">
        <w:rPr>
          <w:rFonts w:eastAsia="Calibri"/>
          <w:sz w:val="22"/>
          <w:szCs w:val="22"/>
          <w:lang w:val="en-GB"/>
        </w:rPr>
        <w:t>collateral) for their loans.</w:t>
      </w:r>
    </w:p>
    <w:p w:rsidR="00F67A9F" w:rsidRPr="00EE1F6B" w:rsidRDefault="00F67A9F" w:rsidP="00B915B3">
      <w:pPr>
        <w:widowControl/>
        <w:autoSpaceDE/>
        <w:autoSpaceDN/>
        <w:adjustRightInd/>
        <w:ind w:left="1620"/>
        <w:contextualSpacing/>
        <w:rPr>
          <w:rFonts w:ascii="Times New Roman" w:eastAsia="Calibri" w:hAnsi="Times New Roman"/>
          <w:sz w:val="22"/>
          <w:szCs w:val="22"/>
          <w:lang w:val="en-GB"/>
        </w:rPr>
      </w:pPr>
    </w:p>
    <w:p w:rsidR="00F4032A" w:rsidRPr="00EE1F6B" w:rsidRDefault="004135D7" w:rsidP="00E8573D">
      <w:pPr>
        <w:widowControl/>
        <w:autoSpaceDE/>
        <w:autoSpaceDN/>
        <w:adjustRightInd/>
        <w:contextualSpacing/>
        <w:jc w:val="both"/>
        <w:rPr>
          <w:rFonts w:ascii="Times New Roman" w:eastAsia="Calibri" w:hAnsi="Times New Roman"/>
          <w:sz w:val="22"/>
          <w:szCs w:val="22"/>
        </w:rPr>
      </w:pPr>
      <w:r w:rsidRPr="00EE1F6B">
        <w:rPr>
          <w:rFonts w:ascii="Times New Roman" w:eastAsia="Calibri" w:hAnsi="Times New Roman"/>
          <w:sz w:val="22"/>
          <w:szCs w:val="22"/>
        </w:rPr>
        <w:t>1.07</w:t>
      </w:r>
      <w:r w:rsidRPr="00EE1F6B">
        <w:rPr>
          <w:rFonts w:ascii="Times New Roman" w:eastAsia="Calibri" w:hAnsi="Times New Roman"/>
          <w:sz w:val="22"/>
          <w:szCs w:val="22"/>
        </w:rPr>
        <w:tab/>
      </w:r>
      <w:r w:rsidR="00B4536F" w:rsidRPr="00EE1F6B">
        <w:rPr>
          <w:rFonts w:ascii="Times New Roman" w:eastAsia="Calibri" w:hAnsi="Times New Roman"/>
          <w:sz w:val="22"/>
          <w:szCs w:val="22"/>
        </w:rPr>
        <w:t>O</w:t>
      </w:r>
      <w:r w:rsidR="002C4AC8" w:rsidRPr="00EE1F6B">
        <w:rPr>
          <w:rFonts w:ascii="Times New Roman" w:eastAsia="Calibri" w:hAnsi="Times New Roman"/>
          <w:sz w:val="22"/>
          <w:szCs w:val="22"/>
        </w:rPr>
        <w:t xml:space="preserve">ther factors affecting </w:t>
      </w:r>
      <w:r w:rsidR="00F4032A" w:rsidRPr="00EE1F6B">
        <w:rPr>
          <w:rFonts w:ascii="Times New Roman" w:eastAsia="Calibri" w:hAnsi="Times New Roman"/>
          <w:sz w:val="22"/>
          <w:szCs w:val="22"/>
        </w:rPr>
        <w:t>regional MSMEs</w:t>
      </w:r>
      <w:r w:rsidR="002C4AC8" w:rsidRPr="00EE1F6B">
        <w:rPr>
          <w:rFonts w:ascii="Times New Roman" w:eastAsia="Calibri" w:hAnsi="Times New Roman"/>
          <w:sz w:val="22"/>
          <w:szCs w:val="22"/>
        </w:rPr>
        <w:t xml:space="preserve"> ability to access finance </w:t>
      </w:r>
      <w:r w:rsidR="006E1956" w:rsidRPr="00EE1F6B">
        <w:rPr>
          <w:rFonts w:ascii="Times New Roman" w:eastAsia="Calibri" w:hAnsi="Times New Roman"/>
          <w:sz w:val="22"/>
          <w:szCs w:val="22"/>
        </w:rPr>
        <w:t xml:space="preserve">is </w:t>
      </w:r>
      <w:r w:rsidR="00F4032A" w:rsidRPr="00EE1F6B">
        <w:rPr>
          <w:rFonts w:ascii="Times New Roman" w:eastAsia="Calibri" w:hAnsi="Times New Roman"/>
          <w:sz w:val="22"/>
          <w:szCs w:val="22"/>
        </w:rPr>
        <w:t xml:space="preserve">underpinned by </w:t>
      </w:r>
      <w:r w:rsidR="00BA5A34" w:rsidRPr="00EE1F6B">
        <w:rPr>
          <w:rFonts w:ascii="Times New Roman" w:eastAsia="Calibri" w:hAnsi="Times New Roman"/>
          <w:sz w:val="22"/>
          <w:szCs w:val="22"/>
        </w:rPr>
        <w:t xml:space="preserve">the </w:t>
      </w:r>
      <w:r w:rsidR="00F4032A" w:rsidRPr="00EE1F6B">
        <w:rPr>
          <w:rFonts w:ascii="Times New Roman" w:eastAsia="Calibri" w:hAnsi="Times New Roman"/>
          <w:sz w:val="22"/>
          <w:szCs w:val="22"/>
        </w:rPr>
        <w:t>underdeveloped financial service industry, high cost of financing, and asymmetry of information.</w:t>
      </w:r>
    </w:p>
    <w:p w:rsidR="00F4032A" w:rsidRPr="00EE1F6B" w:rsidRDefault="00F4032A" w:rsidP="00B915B3">
      <w:pPr>
        <w:widowControl/>
        <w:autoSpaceDE/>
        <w:autoSpaceDN/>
        <w:adjustRightInd/>
        <w:contextualSpacing/>
        <w:rPr>
          <w:rFonts w:ascii="Times New Roman" w:eastAsia="Calibri" w:hAnsi="Times New Roman"/>
          <w:sz w:val="22"/>
          <w:szCs w:val="22"/>
        </w:rPr>
      </w:pPr>
    </w:p>
    <w:p w:rsidR="00254011" w:rsidRPr="00EE1F6B" w:rsidRDefault="00936338" w:rsidP="00E8573D">
      <w:pPr>
        <w:widowControl/>
        <w:autoSpaceDE/>
        <w:autoSpaceDN/>
        <w:adjustRightInd/>
        <w:ind w:firstLine="720"/>
        <w:contextualSpacing/>
        <w:rPr>
          <w:rFonts w:ascii="Times New Roman" w:eastAsia="Calibri" w:hAnsi="Times New Roman"/>
          <w:b/>
          <w:sz w:val="22"/>
          <w:szCs w:val="22"/>
        </w:rPr>
      </w:pPr>
      <w:r w:rsidRPr="00EE1F6B">
        <w:rPr>
          <w:rFonts w:ascii="Times New Roman" w:eastAsia="Calibri" w:hAnsi="Times New Roman"/>
          <w:b/>
          <w:sz w:val="22"/>
          <w:szCs w:val="22"/>
        </w:rPr>
        <w:t xml:space="preserve">CDB Response </w:t>
      </w:r>
    </w:p>
    <w:p w:rsidR="00E8573D" w:rsidRPr="00EE1F6B" w:rsidRDefault="00E8573D" w:rsidP="00E8573D">
      <w:pPr>
        <w:widowControl/>
        <w:autoSpaceDE/>
        <w:autoSpaceDN/>
        <w:adjustRightInd/>
        <w:ind w:firstLine="720"/>
        <w:contextualSpacing/>
        <w:rPr>
          <w:rFonts w:ascii="Times New Roman" w:eastAsia="Calibri" w:hAnsi="Times New Roman"/>
          <w:b/>
          <w:sz w:val="22"/>
          <w:szCs w:val="22"/>
        </w:rPr>
      </w:pPr>
    </w:p>
    <w:p w:rsidR="00BC3F1F" w:rsidRPr="00EE1F6B" w:rsidRDefault="004135D7" w:rsidP="00D248A1">
      <w:pPr>
        <w:widowControl/>
        <w:autoSpaceDE/>
        <w:adjustRightInd/>
        <w:ind w:left="-5" w:right="41"/>
        <w:jc w:val="both"/>
        <w:rPr>
          <w:rFonts w:ascii="Times New Roman" w:hAnsi="Times New Roman"/>
          <w:color w:val="000000"/>
          <w:sz w:val="22"/>
          <w:szCs w:val="22"/>
        </w:rPr>
      </w:pPr>
      <w:r w:rsidRPr="00EE1F6B">
        <w:rPr>
          <w:rFonts w:ascii="Times New Roman" w:hAnsi="Times New Roman"/>
          <w:color w:val="000000"/>
          <w:sz w:val="22"/>
          <w:szCs w:val="22"/>
        </w:rPr>
        <w:t>1.08</w:t>
      </w:r>
      <w:r w:rsidRPr="00EE1F6B">
        <w:rPr>
          <w:rFonts w:ascii="Times New Roman" w:hAnsi="Times New Roman"/>
          <w:color w:val="000000"/>
          <w:sz w:val="22"/>
          <w:szCs w:val="22"/>
        </w:rPr>
        <w:tab/>
      </w:r>
      <w:r w:rsidR="00936338" w:rsidRPr="00EE1F6B">
        <w:rPr>
          <w:rFonts w:ascii="Times New Roman" w:hAnsi="Times New Roman"/>
          <w:color w:val="000000"/>
          <w:sz w:val="22"/>
          <w:szCs w:val="22"/>
        </w:rPr>
        <w:t>In an effort to address access to finance challenges facing MSME</w:t>
      </w:r>
      <w:r w:rsidR="00E8573D" w:rsidRPr="00EE1F6B">
        <w:rPr>
          <w:rFonts w:ascii="Times New Roman" w:hAnsi="Times New Roman"/>
          <w:color w:val="000000"/>
          <w:sz w:val="22"/>
          <w:szCs w:val="22"/>
        </w:rPr>
        <w:t>s</w:t>
      </w:r>
      <w:r w:rsidR="00936338" w:rsidRPr="00EE1F6B">
        <w:rPr>
          <w:rFonts w:ascii="Times New Roman" w:hAnsi="Times New Roman"/>
          <w:color w:val="000000"/>
          <w:sz w:val="22"/>
          <w:szCs w:val="22"/>
        </w:rPr>
        <w:t xml:space="preserve">, </w:t>
      </w:r>
      <w:r w:rsidR="00F4032A" w:rsidRPr="00EE1F6B">
        <w:rPr>
          <w:rFonts w:ascii="Times New Roman" w:hAnsi="Times New Roman"/>
          <w:color w:val="000000"/>
          <w:sz w:val="22"/>
          <w:szCs w:val="22"/>
        </w:rPr>
        <w:t>i</w:t>
      </w:r>
      <w:r w:rsidR="003A617E" w:rsidRPr="00EE1F6B">
        <w:rPr>
          <w:rFonts w:ascii="Times New Roman" w:hAnsi="Times New Roman"/>
          <w:color w:val="000000"/>
          <w:sz w:val="22"/>
          <w:szCs w:val="22"/>
        </w:rPr>
        <w:t>n 1999</w:t>
      </w:r>
      <w:r w:rsidR="00F8057C" w:rsidRPr="00EE1F6B">
        <w:rPr>
          <w:rFonts w:ascii="Times New Roman" w:hAnsi="Times New Roman"/>
          <w:color w:val="000000"/>
          <w:sz w:val="22"/>
          <w:szCs w:val="22"/>
        </w:rPr>
        <w:t>,</w:t>
      </w:r>
      <w:r w:rsidR="003A617E" w:rsidRPr="00EE1F6B">
        <w:rPr>
          <w:rFonts w:ascii="Times New Roman" w:hAnsi="Times New Roman"/>
          <w:color w:val="000000"/>
          <w:sz w:val="22"/>
          <w:szCs w:val="22"/>
        </w:rPr>
        <w:t xml:space="preserve"> CDB established a Micro Finance Guarantee Scheme (MFGS)</w:t>
      </w:r>
      <w:r w:rsidR="00F8057C" w:rsidRPr="00EE1F6B">
        <w:rPr>
          <w:rFonts w:ascii="Times New Roman" w:hAnsi="Times New Roman"/>
          <w:color w:val="000000"/>
          <w:sz w:val="22"/>
          <w:szCs w:val="22"/>
        </w:rPr>
        <w:t>,</w:t>
      </w:r>
      <w:r w:rsidR="003A617E" w:rsidRPr="00EE1F6B">
        <w:rPr>
          <w:rFonts w:ascii="Times New Roman" w:hAnsi="Times New Roman"/>
          <w:color w:val="000000"/>
          <w:sz w:val="22"/>
          <w:szCs w:val="22"/>
        </w:rPr>
        <w:t xml:space="preserve"> to provide guarantees to Micro Finance Institutions (MFIs)</w:t>
      </w:r>
      <w:r w:rsidR="006F1F7A" w:rsidRPr="00EE1F6B">
        <w:rPr>
          <w:rFonts w:ascii="Times New Roman" w:hAnsi="Times New Roman"/>
          <w:color w:val="000000"/>
          <w:sz w:val="22"/>
          <w:szCs w:val="22"/>
        </w:rPr>
        <w:t>,</w:t>
      </w:r>
      <w:r w:rsidR="003A617E" w:rsidRPr="00EE1F6B">
        <w:rPr>
          <w:rFonts w:ascii="Times New Roman" w:hAnsi="Times New Roman"/>
          <w:color w:val="000000"/>
          <w:sz w:val="22"/>
          <w:szCs w:val="22"/>
        </w:rPr>
        <w:t xml:space="preserve"> borrowing from third</w:t>
      </w:r>
      <w:r w:rsidR="00F8057C" w:rsidRPr="00EE1F6B">
        <w:rPr>
          <w:rFonts w:ascii="Times New Roman" w:hAnsi="Times New Roman"/>
          <w:color w:val="000000"/>
          <w:sz w:val="22"/>
          <w:szCs w:val="22"/>
        </w:rPr>
        <w:t>-</w:t>
      </w:r>
      <w:r w:rsidR="003A617E" w:rsidRPr="00EE1F6B">
        <w:rPr>
          <w:rFonts w:ascii="Times New Roman" w:hAnsi="Times New Roman"/>
          <w:color w:val="000000"/>
          <w:sz w:val="22"/>
          <w:szCs w:val="22"/>
        </w:rPr>
        <w:t xml:space="preserve">party </w:t>
      </w:r>
      <w:r w:rsidR="00A32C84" w:rsidRPr="00EE1F6B">
        <w:rPr>
          <w:rFonts w:ascii="Times New Roman" w:hAnsi="Times New Roman"/>
          <w:color w:val="000000"/>
          <w:sz w:val="22"/>
          <w:szCs w:val="22"/>
        </w:rPr>
        <w:t>Financial Institutions (</w:t>
      </w:r>
      <w:r w:rsidR="003A617E" w:rsidRPr="00EE1F6B">
        <w:rPr>
          <w:rFonts w:ascii="Times New Roman" w:hAnsi="Times New Roman"/>
          <w:color w:val="000000"/>
          <w:sz w:val="22"/>
          <w:szCs w:val="22"/>
        </w:rPr>
        <w:t>FIs</w:t>
      </w:r>
      <w:r w:rsidR="00A32C84" w:rsidRPr="00EE1F6B">
        <w:rPr>
          <w:rFonts w:ascii="Times New Roman" w:hAnsi="Times New Roman"/>
          <w:color w:val="000000"/>
          <w:sz w:val="22"/>
          <w:szCs w:val="22"/>
        </w:rPr>
        <w:t>)</w:t>
      </w:r>
      <w:r w:rsidR="00CA238E" w:rsidRPr="00EE1F6B">
        <w:rPr>
          <w:rFonts w:ascii="Times New Roman" w:hAnsi="Times New Roman"/>
          <w:color w:val="000000"/>
          <w:sz w:val="22"/>
          <w:szCs w:val="22"/>
        </w:rPr>
        <w:t xml:space="preserve"> for o</w:t>
      </w:r>
      <w:r w:rsidR="003A617E" w:rsidRPr="00EE1F6B">
        <w:rPr>
          <w:rFonts w:ascii="Times New Roman" w:hAnsi="Times New Roman"/>
          <w:color w:val="000000"/>
          <w:sz w:val="22"/>
          <w:szCs w:val="22"/>
        </w:rPr>
        <w:t>n</w:t>
      </w:r>
      <w:r w:rsidR="00E8573D" w:rsidRPr="00EE1F6B">
        <w:rPr>
          <w:rFonts w:ascii="Times New Roman" w:hAnsi="Times New Roman"/>
          <w:color w:val="000000"/>
          <w:sz w:val="22"/>
          <w:szCs w:val="22"/>
        </w:rPr>
        <w:t>-</w:t>
      </w:r>
      <w:r w:rsidR="003A617E" w:rsidRPr="00EE1F6B">
        <w:rPr>
          <w:rFonts w:ascii="Times New Roman" w:hAnsi="Times New Roman"/>
          <w:color w:val="000000"/>
          <w:sz w:val="22"/>
          <w:szCs w:val="22"/>
        </w:rPr>
        <w:t>lending to MSMEs</w:t>
      </w:r>
      <w:r w:rsidR="00CA3480" w:rsidRPr="00EE1F6B">
        <w:rPr>
          <w:rFonts w:ascii="Times New Roman" w:hAnsi="Times New Roman"/>
          <w:color w:val="000000"/>
          <w:sz w:val="22"/>
          <w:szCs w:val="22"/>
        </w:rPr>
        <w:t>.</w:t>
      </w:r>
      <w:r w:rsidR="00E8573D" w:rsidRPr="00EE1F6B">
        <w:rPr>
          <w:rFonts w:ascii="Times New Roman" w:hAnsi="Times New Roman"/>
          <w:color w:val="000000"/>
          <w:sz w:val="22"/>
          <w:szCs w:val="22"/>
        </w:rPr>
        <w:t xml:space="preserve"> </w:t>
      </w:r>
      <w:r w:rsidR="00F8057C" w:rsidRPr="00EE1F6B">
        <w:rPr>
          <w:rFonts w:ascii="Times New Roman" w:hAnsi="Times New Roman"/>
          <w:color w:val="000000"/>
          <w:sz w:val="22"/>
          <w:szCs w:val="22"/>
        </w:rPr>
        <w:t xml:space="preserve"> </w:t>
      </w:r>
      <w:r w:rsidR="00BC3F1F" w:rsidRPr="00EE1F6B">
        <w:rPr>
          <w:rFonts w:ascii="Times New Roman" w:hAnsi="Times New Roman"/>
          <w:color w:val="000000"/>
          <w:sz w:val="22"/>
          <w:szCs w:val="22"/>
        </w:rPr>
        <w:t xml:space="preserve">Despite the efforts of the Bank to </w:t>
      </w:r>
      <w:proofErr w:type="spellStart"/>
      <w:r w:rsidR="00BC3F1F" w:rsidRPr="00EE1F6B">
        <w:rPr>
          <w:rFonts w:ascii="Times New Roman" w:hAnsi="Times New Roman"/>
          <w:color w:val="000000"/>
          <w:sz w:val="22"/>
          <w:szCs w:val="22"/>
        </w:rPr>
        <w:t>operationalise</w:t>
      </w:r>
      <w:proofErr w:type="spellEnd"/>
      <w:r w:rsidR="00BC3F1F" w:rsidRPr="00EE1F6B">
        <w:rPr>
          <w:rFonts w:ascii="Times New Roman" w:hAnsi="Times New Roman"/>
          <w:color w:val="000000"/>
          <w:sz w:val="22"/>
          <w:szCs w:val="22"/>
        </w:rPr>
        <w:t xml:space="preserve"> this facility it was never </w:t>
      </w:r>
      <w:proofErr w:type="spellStart"/>
      <w:r w:rsidR="00BC3F1F" w:rsidRPr="00EE1F6B">
        <w:rPr>
          <w:rFonts w:ascii="Times New Roman" w:hAnsi="Times New Roman"/>
          <w:color w:val="000000"/>
          <w:sz w:val="22"/>
          <w:szCs w:val="22"/>
        </w:rPr>
        <w:t>utilised</w:t>
      </w:r>
      <w:proofErr w:type="spellEnd"/>
      <w:r w:rsidR="00BC3F1F" w:rsidRPr="00EE1F6B">
        <w:rPr>
          <w:rFonts w:ascii="Times New Roman" w:hAnsi="Times New Roman"/>
          <w:color w:val="000000"/>
          <w:sz w:val="22"/>
          <w:szCs w:val="22"/>
        </w:rPr>
        <w:t xml:space="preserve"> by FIs.  </w:t>
      </w:r>
      <w:proofErr w:type="gramStart"/>
      <w:r w:rsidR="00BC3F1F" w:rsidRPr="00EE1F6B">
        <w:rPr>
          <w:rFonts w:ascii="Times New Roman" w:hAnsi="Times New Roman"/>
          <w:color w:val="000000"/>
          <w:sz w:val="22"/>
          <w:szCs w:val="22"/>
        </w:rPr>
        <w:t>Subsequent to</w:t>
      </w:r>
      <w:proofErr w:type="gramEnd"/>
      <w:r w:rsidR="00BC3F1F" w:rsidRPr="00EE1F6B">
        <w:rPr>
          <w:rFonts w:ascii="Times New Roman" w:hAnsi="Times New Roman"/>
          <w:color w:val="000000"/>
          <w:sz w:val="22"/>
          <w:szCs w:val="22"/>
        </w:rPr>
        <w:t xml:space="preserve"> its establishment, some of the targeted MFIs encountered challenges in sustaining their business models. However, given that access to finance continues to be a binding constraint for MSMEs, the Bank is seeking to repurpose the funding allocated for the MFGS to a Regional </w:t>
      </w:r>
      <w:r w:rsidR="00BC3F1F" w:rsidRPr="00EE1F6B">
        <w:rPr>
          <w:rFonts w:ascii="Times New Roman" w:eastAsia="Calibri" w:hAnsi="Times New Roman"/>
          <w:color w:val="000000"/>
          <w:sz w:val="22"/>
          <w:szCs w:val="22"/>
          <w:lang w:val="en-GB"/>
        </w:rPr>
        <w:t>Partial Credit Guarantee Scheme (R</w:t>
      </w:r>
      <w:r w:rsidR="00BC3F1F" w:rsidRPr="00EE1F6B">
        <w:rPr>
          <w:rFonts w:ascii="Times New Roman" w:hAnsi="Times New Roman"/>
          <w:color w:val="000000"/>
          <w:sz w:val="22"/>
          <w:szCs w:val="22"/>
        </w:rPr>
        <w:t>PCGS)</w:t>
      </w:r>
      <w:r w:rsidR="00EA0A73" w:rsidRPr="00EE1F6B">
        <w:rPr>
          <w:rStyle w:val="FootnoteReference"/>
          <w:rFonts w:ascii="Times New Roman" w:hAnsi="Times New Roman"/>
          <w:color w:val="000000"/>
          <w:sz w:val="22"/>
          <w:szCs w:val="22"/>
          <w:vertAlign w:val="superscript"/>
        </w:rPr>
        <w:footnoteReference w:id="4"/>
      </w:r>
      <w:r w:rsidR="00BC3F1F" w:rsidRPr="00EE1F6B">
        <w:rPr>
          <w:rFonts w:ascii="Times New Roman" w:hAnsi="Times New Roman"/>
          <w:color w:val="000000"/>
          <w:sz w:val="22"/>
          <w:szCs w:val="22"/>
        </w:rPr>
        <w:t xml:space="preserve"> for MSMEs and the institutions supporting them. </w:t>
      </w:r>
      <w:r w:rsidR="00CA3480" w:rsidRPr="00EE1F6B">
        <w:rPr>
          <w:rFonts w:ascii="Times New Roman" w:hAnsi="Times New Roman"/>
          <w:color w:val="000000"/>
          <w:sz w:val="22"/>
          <w:szCs w:val="22"/>
        </w:rPr>
        <w:t xml:space="preserve"> </w:t>
      </w:r>
    </w:p>
    <w:p w:rsidR="00BC3F1F" w:rsidRPr="00EE1F6B" w:rsidRDefault="00BC3F1F" w:rsidP="00D248A1">
      <w:pPr>
        <w:widowControl/>
        <w:autoSpaceDE/>
        <w:adjustRightInd/>
        <w:ind w:left="-5" w:right="41"/>
        <w:jc w:val="both"/>
        <w:rPr>
          <w:rFonts w:ascii="Times New Roman" w:hAnsi="Times New Roman"/>
          <w:color w:val="000000"/>
          <w:sz w:val="22"/>
          <w:szCs w:val="22"/>
        </w:rPr>
      </w:pPr>
    </w:p>
    <w:p w:rsidR="00D248A1" w:rsidRPr="00EE1F6B" w:rsidRDefault="004135D7" w:rsidP="00D248A1">
      <w:pPr>
        <w:widowControl/>
        <w:autoSpaceDE/>
        <w:adjustRightInd/>
        <w:ind w:left="-5" w:right="41"/>
        <w:jc w:val="both"/>
        <w:rPr>
          <w:rFonts w:ascii="Times New Roman" w:eastAsiaTheme="minorHAnsi" w:hAnsi="Times New Roman"/>
          <w:sz w:val="22"/>
          <w:szCs w:val="22"/>
        </w:rPr>
      </w:pPr>
      <w:r w:rsidRPr="00EE1F6B">
        <w:rPr>
          <w:rFonts w:ascii="Times New Roman" w:eastAsiaTheme="minorHAnsi" w:hAnsi="Times New Roman"/>
          <w:sz w:val="22"/>
          <w:szCs w:val="22"/>
        </w:rPr>
        <w:t>1.09</w:t>
      </w:r>
      <w:r w:rsidRPr="00EE1F6B">
        <w:rPr>
          <w:rFonts w:ascii="Times New Roman" w:eastAsiaTheme="minorHAnsi" w:hAnsi="Times New Roman"/>
          <w:sz w:val="22"/>
          <w:szCs w:val="22"/>
        </w:rPr>
        <w:tab/>
      </w:r>
      <w:r w:rsidR="00EA0A73" w:rsidRPr="00EE1F6B">
        <w:rPr>
          <w:rFonts w:ascii="Times New Roman" w:eastAsiaTheme="minorHAnsi" w:hAnsi="Times New Roman"/>
          <w:sz w:val="22"/>
          <w:szCs w:val="22"/>
        </w:rPr>
        <w:t xml:space="preserve">This facility will help to mitigate the </w:t>
      </w:r>
      <w:r w:rsidR="00D248A1" w:rsidRPr="00EE1F6B">
        <w:rPr>
          <w:rStyle w:val="FootnoteReference"/>
          <w:rFonts w:ascii="Times New Roman" w:eastAsiaTheme="minorHAnsi" w:hAnsi="Times New Roman"/>
          <w:sz w:val="22"/>
          <w:szCs w:val="22"/>
        </w:rPr>
        <w:t>risk</w:t>
      </w:r>
      <w:r w:rsidR="00EA0A73" w:rsidRPr="00EE1F6B">
        <w:rPr>
          <w:rFonts w:ascii="Times New Roman" w:eastAsiaTheme="minorHAnsi" w:hAnsi="Times New Roman"/>
          <w:sz w:val="22"/>
          <w:szCs w:val="22"/>
        </w:rPr>
        <w:t xml:space="preserve"> of FIs lending to MSMEs </w:t>
      </w:r>
      <w:r w:rsidR="00D248A1" w:rsidRPr="00EE1F6B">
        <w:rPr>
          <w:rStyle w:val="FootnoteReference"/>
          <w:rFonts w:ascii="Times New Roman" w:eastAsiaTheme="minorHAnsi" w:hAnsi="Times New Roman"/>
          <w:sz w:val="22"/>
          <w:szCs w:val="22"/>
        </w:rPr>
        <w:t xml:space="preserve">through the absorption of a portion of the lender’s losses on the loans made, in case of default, typically in return for a fee.  The main target group for </w:t>
      </w:r>
      <w:r w:rsidR="00EA0A73" w:rsidRPr="00EE1F6B">
        <w:rPr>
          <w:rFonts w:ascii="Times New Roman" w:eastAsiaTheme="minorHAnsi" w:hAnsi="Times New Roman"/>
          <w:sz w:val="22"/>
          <w:szCs w:val="22"/>
        </w:rPr>
        <w:t xml:space="preserve">the Bank’s </w:t>
      </w:r>
      <w:r w:rsidR="00D248A1" w:rsidRPr="00EE1F6B">
        <w:rPr>
          <w:rStyle w:val="FootnoteReference"/>
          <w:rFonts w:ascii="Times New Roman" w:eastAsiaTheme="minorHAnsi" w:hAnsi="Times New Roman"/>
          <w:sz w:val="22"/>
          <w:szCs w:val="22"/>
        </w:rPr>
        <w:t xml:space="preserve">guarantee funds </w:t>
      </w:r>
      <w:r w:rsidR="006F1F7A" w:rsidRPr="00EE1F6B">
        <w:rPr>
          <w:rFonts w:ascii="Times New Roman" w:eastAsiaTheme="minorHAnsi" w:hAnsi="Times New Roman"/>
          <w:sz w:val="22"/>
          <w:szCs w:val="22"/>
        </w:rPr>
        <w:t>is</w:t>
      </w:r>
      <w:r w:rsidR="00D248A1" w:rsidRPr="00EE1F6B">
        <w:rPr>
          <w:rStyle w:val="FootnoteReference"/>
          <w:rFonts w:ascii="Times New Roman" w:eastAsiaTheme="minorHAnsi" w:hAnsi="Times New Roman"/>
          <w:sz w:val="22"/>
          <w:szCs w:val="22"/>
        </w:rPr>
        <w:t xml:space="preserve"> micro, small and medium-sized entrepreneurs that are bank worthy and have the necessary repayment capacity but who, for some reason, cannot obtain a bank loan</w:t>
      </w:r>
      <w:r w:rsidR="00D248A1" w:rsidRPr="00EE1F6B">
        <w:rPr>
          <w:rStyle w:val="FootnoteReference"/>
          <w:rFonts w:ascii="Times New Roman" w:eastAsiaTheme="minorHAnsi" w:hAnsi="Times New Roman"/>
          <w:sz w:val="22"/>
          <w:szCs w:val="22"/>
          <w:vertAlign w:val="superscript"/>
        </w:rPr>
        <w:footnoteReference w:id="5"/>
      </w:r>
      <w:r w:rsidR="006F1F7A" w:rsidRPr="00EE1F6B">
        <w:rPr>
          <w:rStyle w:val="FootnoteReference"/>
          <w:rFonts w:ascii="Times New Roman" w:eastAsiaTheme="minorHAnsi" w:hAnsi="Times New Roman"/>
          <w:sz w:val="22"/>
          <w:szCs w:val="22"/>
          <w:vertAlign w:val="superscript"/>
        </w:rPr>
        <w:t>/</w:t>
      </w:r>
      <w:r w:rsidR="00D248A1" w:rsidRPr="00EE1F6B">
        <w:rPr>
          <w:rStyle w:val="FootnoteReference"/>
          <w:rFonts w:ascii="Times New Roman" w:eastAsiaTheme="minorHAnsi" w:hAnsi="Times New Roman"/>
          <w:sz w:val="22"/>
          <w:szCs w:val="22"/>
        </w:rPr>
        <w:t xml:space="preserve"> without the support of adequate collateral.  </w:t>
      </w:r>
      <w:r w:rsidR="00D248A1" w:rsidRPr="00EE1F6B">
        <w:rPr>
          <w:rFonts w:ascii="Times New Roman" w:eastAsiaTheme="minorHAnsi" w:hAnsi="Times New Roman"/>
          <w:sz w:val="22"/>
          <w:szCs w:val="22"/>
        </w:rPr>
        <w:t>PCGFs have an important role to play in supporting access to finance but need to be properly designed and operated to achieve financial sustainability.</w:t>
      </w:r>
    </w:p>
    <w:p w:rsidR="00D248A1" w:rsidRPr="00EE1F6B" w:rsidRDefault="00D248A1" w:rsidP="00E8573D">
      <w:pPr>
        <w:widowControl/>
        <w:autoSpaceDE/>
        <w:autoSpaceDN/>
        <w:adjustRightInd/>
        <w:contextualSpacing/>
        <w:jc w:val="both"/>
        <w:rPr>
          <w:rFonts w:ascii="Times New Roman" w:hAnsi="Times New Roman"/>
          <w:color w:val="000000"/>
          <w:sz w:val="22"/>
          <w:szCs w:val="22"/>
        </w:rPr>
      </w:pPr>
    </w:p>
    <w:p w:rsidR="003A617E" w:rsidRPr="00EE1F6B" w:rsidRDefault="004135D7" w:rsidP="00E8573D">
      <w:pPr>
        <w:widowControl/>
        <w:autoSpaceDE/>
        <w:autoSpaceDN/>
        <w:adjustRightInd/>
        <w:contextualSpacing/>
        <w:jc w:val="both"/>
        <w:rPr>
          <w:rFonts w:ascii="Times New Roman" w:hAnsi="Times New Roman"/>
          <w:color w:val="000000"/>
          <w:sz w:val="22"/>
          <w:szCs w:val="22"/>
        </w:rPr>
      </w:pPr>
      <w:r w:rsidRPr="00EE1F6B">
        <w:rPr>
          <w:rFonts w:ascii="Times New Roman" w:hAnsi="Times New Roman"/>
          <w:color w:val="000000"/>
          <w:sz w:val="22"/>
          <w:szCs w:val="22"/>
        </w:rPr>
        <w:t>1.10</w:t>
      </w:r>
      <w:r w:rsidRPr="00EE1F6B">
        <w:rPr>
          <w:rFonts w:ascii="Times New Roman" w:hAnsi="Times New Roman"/>
          <w:color w:val="000000"/>
          <w:sz w:val="22"/>
          <w:szCs w:val="22"/>
        </w:rPr>
        <w:tab/>
      </w:r>
      <w:r w:rsidR="007C0A04" w:rsidRPr="00EE1F6B">
        <w:rPr>
          <w:rFonts w:ascii="Times New Roman" w:hAnsi="Times New Roman"/>
          <w:color w:val="000000"/>
          <w:sz w:val="22"/>
          <w:szCs w:val="22"/>
        </w:rPr>
        <w:t>To this end</w:t>
      </w:r>
      <w:r w:rsidR="00543A28" w:rsidRPr="00EE1F6B">
        <w:rPr>
          <w:rFonts w:ascii="Times New Roman" w:hAnsi="Times New Roman"/>
          <w:color w:val="000000"/>
          <w:sz w:val="22"/>
          <w:szCs w:val="22"/>
        </w:rPr>
        <w:t xml:space="preserve">, the Bank has started discussions with regional and international donors to access more resources </w:t>
      </w:r>
      <w:r w:rsidR="00063FB8" w:rsidRPr="00EE1F6B">
        <w:rPr>
          <w:rFonts w:ascii="Times New Roman" w:hAnsi="Times New Roman"/>
          <w:color w:val="000000"/>
          <w:sz w:val="22"/>
          <w:szCs w:val="22"/>
        </w:rPr>
        <w:t xml:space="preserve">and possible technical support </w:t>
      </w:r>
      <w:r w:rsidR="00543A28" w:rsidRPr="00EE1F6B">
        <w:rPr>
          <w:rFonts w:ascii="Times New Roman" w:hAnsi="Times New Roman"/>
          <w:color w:val="000000"/>
          <w:sz w:val="22"/>
          <w:szCs w:val="22"/>
        </w:rPr>
        <w:t xml:space="preserve">to </w:t>
      </w:r>
      <w:r w:rsidR="00063FB8" w:rsidRPr="00EE1F6B">
        <w:rPr>
          <w:rFonts w:ascii="Times New Roman" w:hAnsi="Times New Roman"/>
          <w:color w:val="000000"/>
          <w:sz w:val="22"/>
          <w:szCs w:val="22"/>
        </w:rPr>
        <w:t>supplement work already undertaken in support of PCGS and to support funding for</w:t>
      </w:r>
      <w:r w:rsidR="00A825C0" w:rsidRPr="00EE1F6B">
        <w:rPr>
          <w:rFonts w:ascii="Times New Roman" w:hAnsi="Times New Roman"/>
          <w:color w:val="000000"/>
          <w:sz w:val="22"/>
          <w:szCs w:val="22"/>
        </w:rPr>
        <w:t xml:space="preserve"> </w:t>
      </w:r>
      <w:r w:rsidR="00543A28" w:rsidRPr="00EE1F6B">
        <w:rPr>
          <w:rFonts w:ascii="Times New Roman" w:hAnsi="Times New Roman"/>
          <w:color w:val="000000"/>
          <w:sz w:val="22"/>
          <w:szCs w:val="22"/>
        </w:rPr>
        <w:t>th</w:t>
      </w:r>
      <w:r w:rsidR="007C0A04" w:rsidRPr="00EE1F6B">
        <w:rPr>
          <w:rFonts w:ascii="Times New Roman" w:hAnsi="Times New Roman"/>
          <w:color w:val="000000"/>
          <w:sz w:val="22"/>
          <w:szCs w:val="22"/>
        </w:rPr>
        <w:t>e</w:t>
      </w:r>
      <w:r w:rsidR="00543A28" w:rsidRPr="00EE1F6B">
        <w:rPr>
          <w:rFonts w:ascii="Times New Roman" w:hAnsi="Times New Roman"/>
          <w:color w:val="000000"/>
          <w:sz w:val="22"/>
          <w:szCs w:val="22"/>
        </w:rPr>
        <w:t xml:space="preserve"> </w:t>
      </w:r>
      <w:r w:rsidR="0029575D" w:rsidRPr="00EE1F6B">
        <w:rPr>
          <w:rFonts w:ascii="Times New Roman" w:hAnsi="Times New Roman"/>
          <w:color w:val="000000"/>
          <w:sz w:val="22"/>
          <w:szCs w:val="22"/>
        </w:rPr>
        <w:t>R</w:t>
      </w:r>
      <w:r w:rsidR="00543A28" w:rsidRPr="00EE1F6B">
        <w:rPr>
          <w:rFonts w:ascii="Times New Roman" w:hAnsi="Times New Roman"/>
          <w:color w:val="000000"/>
          <w:sz w:val="22"/>
          <w:szCs w:val="22"/>
        </w:rPr>
        <w:t xml:space="preserve">PCGS.  </w:t>
      </w:r>
      <w:r w:rsidR="00A825C0" w:rsidRPr="00EE1F6B">
        <w:rPr>
          <w:rFonts w:ascii="Times New Roman" w:hAnsi="Times New Roman"/>
          <w:color w:val="000000"/>
          <w:sz w:val="22"/>
          <w:szCs w:val="22"/>
        </w:rPr>
        <w:t>It is expected that th</w:t>
      </w:r>
      <w:r w:rsidR="007C0A04" w:rsidRPr="00EE1F6B">
        <w:rPr>
          <w:rFonts w:ascii="Times New Roman" w:hAnsi="Times New Roman"/>
          <w:color w:val="000000"/>
          <w:sz w:val="22"/>
          <w:szCs w:val="22"/>
        </w:rPr>
        <w:t>e</w:t>
      </w:r>
      <w:r w:rsidR="00A825C0" w:rsidRPr="00EE1F6B">
        <w:rPr>
          <w:rFonts w:ascii="Times New Roman" w:hAnsi="Times New Roman"/>
          <w:color w:val="000000"/>
          <w:sz w:val="22"/>
          <w:szCs w:val="22"/>
        </w:rPr>
        <w:t xml:space="preserve"> </w:t>
      </w:r>
      <w:r w:rsidR="00A770E4" w:rsidRPr="00EE1F6B">
        <w:rPr>
          <w:rFonts w:ascii="Times New Roman" w:hAnsi="Times New Roman"/>
          <w:color w:val="000000"/>
          <w:sz w:val="22"/>
          <w:szCs w:val="22"/>
        </w:rPr>
        <w:t xml:space="preserve">scheme </w:t>
      </w:r>
      <w:r w:rsidR="00543A28" w:rsidRPr="00EE1F6B">
        <w:rPr>
          <w:rFonts w:ascii="Times New Roman" w:hAnsi="Times New Roman"/>
          <w:color w:val="000000"/>
          <w:sz w:val="22"/>
          <w:szCs w:val="22"/>
        </w:rPr>
        <w:t xml:space="preserve">will </w:t>
      </w:r>
      <w:r w:rsidR="00A770E4" w:rsidRPr="00EE1F6B">
        <w:rPr>
          <w:rFonts w:ascii="Times New Roman" w:hAnsi="Times New Roman"/>
          <w:color w:val="000000"/>
          <w:sz w:val="22"/>
          <w:szCs w:val="22"/>
        </w:rPr>
        <w:t>be acces</w:t>
      </w:r>
      <w:r w:rsidR="00A825C0" w:rsidRPr="00EE1F6B">
        <w:rPr>
          <w:rFonts w:ascii="Times New Roman" w:hAnsi="Times New Roman"/>
          <w:color w:val="000000"/>
          <w:sz w:val="22"/>
          <w:szCs w:val="22"/>
        </w:rPr>
        <w:t xml:space="preserve">sible </w:t>
      </w:r>
      <w:r w:rsidR="00A770E4" w:rsidRPr="00EE1F6B">
        <w:rPr>
          <w:rFonts w:ascii="Times New Roman" w:hAnsi="Times New Roman"/>
          <w:color w:val="000000"/>
          <w:sz w:val="22"/>
          <w:szCs w:val="22"/>
        </w:rPr>
        <w:t xml:space="preserve">by all MSMEs </w:t>
      </w:r>
      <w:r w:rsidR="007C0A04" w:rsidRPr="00EE1F6B">
        <w:rPr>
          <w:rFonts w:ascii="Times New Roman" w:hAnsi="Times New Roman"/>
          <w:color w:val="000000"/>
          <w:sz w:val="22"/>
          <w:szCs w:val="22"/>
        </w:rPr>
        <w:t>seeking</w:t>
      </w:r>
      <w:r w:rsidR="00A770E4" w:rsidRPr="00EE1F6B">
        <w:rPr>
          <w:rFonts w:ascii="Times New Roman" w:hAnsi="Times New Roman"/>
          <w:color w:val="000000"/>
          <w:sz w:val="22"/>
          <w:szCs w:val="22"/>
        </w:rPr>
        <w:t xml:space="preserve"> to access funding from </w:t>
      </w:r>
      <w:r w:rsidR="00AF4FE6" w:rsidRPr="00EE1F6B">
        <w:rPr>
          <w:rFonts w:ascii="Times New Roman" w:hAnsi="Times New Roman"/>
          <w:color w:val="000000"/>
          <w:sz w:val="22"/>
          <w:szCs w:val="22"/>
        </w:rPr>
        <w:t>registered FIs</w:t>
      </w:r>
      <w:r w:rsidR="00A770E4" w:rsidRPr="00EE1F6B">
        <w:rPr>
          <w:rFonts w:ascii="Times New Roman" w:hAnsi="Times New Roman"/>
          <w:color w:val="000000"/>
          <w:sz w:val="22"/>
          <w:szCs w:val="22"/>
        </w:rPr>
        <w:t xml:space="preserve"> that </w:t>
      </w:r>
      <w:r w:rsidR="00544FCC" w:rsidRPr="00EE1F6B">
        <w:rPr>
          <w:rFonts w:ascii="Times New Roman" w:hAnsi="Times New Roman"/>
          <w:color w:val="000000"/>
          <w:sz w:val="22"/>
          <w:szCs w:val="22"/>
        </w:rPr>
        <w:t xml:space="preserve">require collateral support and </w:t>
      </w:r>
      <w:r w:rsidR="00A770E4" w:rsidRPr="00EE1F6B">
        <w:rPr>
          <w:rFonts w:ascii="Times New Roman" w:hAnsi="Times New Roman"/>
          <w:color w:val="000000"/>
          <w:sz w:val="22"/>
          <w:szCs w:val="22"/>
        </w:rPr>
        <w:t xml:space="preserve">have signed up for the facility. </w:t>
      </w:r>
      <w:r w:rsidR="00A32C84" w:rsidRPr="00EE1F6B">
        <w:rPr>
          <w:rFonts w:ascii="Times New Roman" w:hAnsi="Times New Roman"/>
          <w:color w:val="000000"/>
          <w:sz w:val="22"/>
          <w:szCs w:val="22"/>
        </w:rPr>
        <w:t xml:space="preserve"> </w:t>
      </w:r>
      <w:r w:rsidR="00A825C0" w:rsidRPr="00EE1F6B">
        <w:rPr>
          <w:rFonts w:ascii="Times New Roman" w:hAnsi="Times New Roman"/>
          <w:color w:val="000000"/>
          <w:sz w:val="22"/>
          <w:szCs w:val="22"/>
        </w:rPr>
        <w:t xml:space="preserve">Also, the facility will be used to resource existing national PCGSs </w:t>
      </w:r>
      <w:r w:rsidR="00A63B9A" w:rsidRPr="00EE1F6B">
        <w:rPr>
          <w:rFonts w:ascii="Times New Roman" w:hAnsi="Times New Roman"/>
          <w:color w:val="000000"/>
          <w:sz w:val="22"/>
          <w:szCs w:val="22"/>
        </w:rPr>
        <w:t>with</w:t>
      </w:r>
      <w:r w:rsidR="00063FB8" w:rsidRPr="00EE1F6B">
        <w:rPr>
          <w:rFonts w:ascii="Times New Roman" w:hAnsi="Times New Roman"/>
          <w:color w:val="000000"/>
          <w:sz w:val="22"/>
          <w:szCs w:val="22"/>
        </w:rPr>
        <w:t xml:space="preserve"> </w:t>
      </w:r>
      <w:r w:rsidR="00A825C0" w:rsidRPr="00EE1F6B">
        <w:rPr>
          <w:rFonts w:ascii="Times New Roman" w:hAnsi="Times New Roman"/>
          <w:color w:val="000000"/>
          <w:sz w:val="22"/>
          <w:szCs w:val="22"/>
        </w:rPr>
        <w:t>strong, sustainable</w:t>
      </w:r>
      <w:r w:rsidR="008038EC" w:rsidRPr="00EE1F6B">
        <w:rPr>
          <w:rFonts w:ascii="Times New Roman" w:hAnsi="Times New Roman"/>
          <w:color w:val="000000"/>
          <w:sz w:val="22"/>
          <w:szCs w:val="22"/>
        </w:rPr>
        <w:t>,</w:t>
      </w:r>
      <w:r w:rsidR="00A825C0" w:rsidRPr="00EE1F6B">
        <w:rPr>
          <w:rFonts w:ascii="Times New Roman" w:hAnsi="Times New Roman"/>
          <w:color w:val="000000"/>
          <w:sz w:val="22"/>
          <w:szCs w:val="22"/>
        </w:rPr>
        <w:t xml:space="preserve"> and functional </w:t>
      </w:r>
      <w:r w:rsidR="00544FCC" w:rsidRPr="00EE1F6B">
        <w:rPr>
          <w:rFonts w:ascii="Times New Roman" w:hAnsi="Times New Roman"/>
          <w:color w:val="000000"/>
          <w:sz w:val="22"/>
          <w:szCs w:val="22"/>
        </w:rPr>
        <w:t xml:space="preserve">business models and </w:t>
      </w:r>
      <w:r w:rsidR="00A825C0" w:rsidRPr="00EE1F6B">
        <w:rPr>
          <w:rFonts w:ascii="Times New Roman" w:hAnsi="Times New Roman"/>
          <w:color w:val="000000"/>
          <w:sz w:val="22"/>
          <w:szCs w:val="22"/>
        </w:rPr>
        <w:t>infrastructure</w:t>
      </w:r>
      <w:r w:rsidR="00544FCC" w:rsidRPr="00EE1F6B">
        <w:rPr>
          <w:rFonts w:ascii="Times New Roman" w:hAnsi="Times New Roman"/>
          <w:color w:val="000000"/>
          <w:sz w:val="22"/>
          <w:szCs w:val="22"/>
        </w:rPr>
        <w:t>,</w:t>
      </w:r>
      <w:r w:rsidR="00A825C0" w:rsidRPr="00EE1F6B">
        <w:rPr>
          <w:rFonts w:ascii="Times New Roman" w:hAnsi="Times New Roman"/>
          <w:color w:val="000000"/>
          <w:sz w:val="22"/>
          <w:szCs w:val="22"/>
        </w:rPr>
        <w:t xml:space="preserve"> </w:t>
      </w:r>
      <w:r w:rsidR="00544FCC" w:rsidRPr="00EE1F6B">
        <w:rPr>
          <w:rFonts w:ascii="Times New Roman" w:hAnsi="Times New Roman"/>
          <w:color w:val="000000"/>
          <w:sz w:val="22"/>
          <w:szCs w:val="22"/>
        </w:rPr>
        <w:t xml:space="preserve">while also offering </w:t>
      </w:r>
      <w:r w:rsidR="006F1F7A" w:rsidRPr="00EE1F6B">
        <w:rPr>
          <w:rFonts w:ascii="Times New Roman" w:hAnsi="Times New Roman"/>
          <w:color w:val="000000"/>
          <w:sz w:val="22"/>
          <w:szCs w:val="22"/>
        </w:rPr>
        <w:t xml:space="preserve">the </w:t>
      </w:r>
      <w:r w:rsidR="00544FCC" w:rsidRPr="00EE1F6B">
        <w:rPr>
          <w:rFonts w:ascii="Times New Roman" w:hAnsi="Times New Roman"/>
          <w:color w:val="000000"/>
          <w:sz w:val="22"/>
          <w:szCs w:val="22"/>
        </w:rPr>
        <w:t xml:space="preserve">related capacity building </w:t>
      </w:r>
      <w:r w:rsidR="00A825C0" w:rsidRPr="00EE1F6B">
        <w:rPr>
          <w:rFonts w:ascii="Times New Roman" w:hAnsi="Times New Roman"/>
          <w:color w:val="000000"/>
          <w:sz w:val="22"/>
          <w:szCs w:val="22"/>
        </w:rPr>
        <w:t xml:space="preserve">to effectively and efficiently administer such a scheme. </w:t>
      </w:r>
    </w:p>
    <w:p w:rsidR="006F1F7A" w:rsidRPr="00EE1F6B" w:rsidRDefault="006F1F7A" w:rsidP="00E8573D">
      <w:pPr>
        <w:widowControl/>
        <w:autoSpaceDE/>
        <w:autoSpaceDN/>
        <w:adjustRightInd/>
        <w:contextualSpacing/>
        <w:jc w:val="both"/>
        <w:rPr>
          <w:rFonts w:ascii="Times New Roman" w:hAnsi="Times New Roman"/>
          <w:color w:val="000000"/>
          <w:sz w:val="22"/>
          <w:szCs w:val="22"/>
        </w:rPr>
      </w:pPr>
      <w:r w:rsidRPr="00EE1F6B">
        <w:rPr>
          <w:rFonts w:ascii="Times New Roman" w:hAnsi="Times New Roman"/>
          <w:color w:val="000000"/>
          <w:sz w:val="22"/>
          <w:szCs w:val="22"/>
        </w:rPr>
        <w:br w:type="page"/>
      </w:r>
    </w:p>
    <w:p w:rsidR="00D248A1" w:rsidRPr="00EE1F6B" w:rsidRDefault="004135D7">
      <w:pPr>
        <w:widowControl/>
        <w:autoSpaceDE/>
        <w:adjustRightInd/>
        <w:ind w:left="-5" w:right="41"/>
        <w:jc w:val="both"/>
        <w:rPr>
          <w:rFonts w:ascii="Times New Roman" w:eastAsiaTheme="minorHAnsi" w:hAnsi="Times New Roman"/>
          <w:sz w:val="22"/>
          <w:szCs w:val="22"/>
        </w:rPr>
      </w:pPr>
      <w:r w:rsidRPr="00EE1F6B">
        <w:rPr>
          <w:rFonts w:ascii="Times New Roman" w:eastAsiaTheme="minorHAnsi" w:hAnsi="Times New Roman"/>
          <w:sz w:val="22"/>
          <w:szCs w:val="22"/>
        </w:rPr>
        <w:lastRenderedPageBreak/>
        <w:t>1.11</w:t>
      </w:r>
      <w:r w:rsidRPr="00EE1F6B">
        <w:rPr>
          <w:rFonts w:ascii="Times New Roman" w:eastAsiaTheme="minorHAnsi" w:hAnsi="Times New Roman"/>
          <w:sz w:val="22"/>
          <w:szCs w:val="22"/>
        </w:rPr>
        <w:tab/>
      </w:r>
      <w:r w:rsidR="00D248A1" w:rsidRPr="00EE1F6B">
        <w:rPr>
          <w:rFonts w:ascii="Times New Roman" w:eastAsiaTheme="minorHAnsi" w:hAnsi="Times New Roman"/>
          <w:sz w:val="22"/>
          <w:szCs w:val="22"/>
        </w:rPr>
        <w:t>Within the Caribbean, PCGFs to support small and medium-sized enterprise (SME)</w:t>
      </w:r>
      <w:r w:rsidR="00BC1309" w:rsidRPr="00EE1F6B">
        <w:rPr>
          <w:rFonts w:ascii="Times New Roman" w:eastAsiaTheme="minorHAnsi" w:hAnsi="Times New Roman"/>
          <w:sz w:val="22"/>
          <w:szCs w:val="22"/>
        </w:rPr>
        <w:t>,</w:t>
      </w:r>
      <w:r w:rsidR="00D248A1" w:rsidRPr="00EE1F6B">
        <w:rPr>
          <w:rFonts w:ascii="Times New Roman" w:eastAsiaTheme="minorHAnsi" w:hAnsi="Times New Roman"/>
          <w:sz w:val="22"/>
          <w:szCs w:val="22"/>
        </w:rPr>
        <w:t xml:space="preserve"> access to finance can be found in Barbados, Jamaica</w:t>
      </w:r>
      <w:r w:rsidR="00BC1309" w:rsidRPr="00EE1F6B">
        <w:rPr>
          <w:rFonts w:ascii="Times New Roman" w:eastAsiaTheme="minorHAnsi" w:hAnsi="Times New Roman"/>
          <w:sz w:val="22"/>
          <w:szCs w:val="22"/>
        </w:rPr>
        <w:t>,</w:t>
      </w:r>
      <w:r w:rsidR="00D248A1" w:rsidRPr="00EE1F6B">
        <w:rPr>
          <w:rFonts w:ascii="Times New Roman" w:eastAsiaTheme="minorHAnsi" w:hAnsi="Times New Roman"/>
          <w:sz w:val="22"/>
          <w:szCs w:val="22"/>
        </w:rPr>
        <w:t xml:space="preserve"> and more recently, the </w:t>
      </w:r>
      <w:proofErr w:type="spellStart"/>
      <w:r w:rsidR="00D248A1" w:rsidRPr="00EE1F6B">
        <w:rPr>
          <w:rFonts w:ascii="Times New Roman" w:eastAsiaTheme="minorHAnsi" w:hAnsi="Times New Roman"/>
          <w:sz w:val="22"/>
          <w:szCs w:val="22"/>
        </w:rPr>
        <w:t>Organisation</w:t>
      </w:r>
      <w:proofErr w:type="spellEnd"/>
      <w:r w:rsidR="00D248A1" w:rsidRPr="00EE1F6B">
        <w:rPr>
          <w:rFonts w:ascii="Times New Roman" w:eastAsiaTheme="minorHAnsi" w:hAnsi="Times New Roman"/>
          <w:sz w:val="22"/>
          <w:szCs w:val="22"/>
        </w:rPr>
        <w:t xml:space="preserve"> of Eastern Caribbean States (OECS) </w:t>
      </w:r>
      <w:r w:rsidR="00BC1309" w:rsidRPr="00EE1F6B">
        <w:rPr>
          <w:rFonts w:ascii="Times New Roman" w:eastAsiaTheme="minorHAnsi" w:hAnsi="Times New Roman"/>
          <w:sz w:val="22"/>
          <w:szCs w:val="22"/>
        </w:rPr>
        <w:t>m</w:t>
      </w:r>
      <w:r w:rsidR="00D248A1" w:rsidRPr="00EE1F6B">
        <w:rPr>
          <w:rFonts w:ascii="Times New Roman" w:eastAsiaTheme="minorHAnsi" w:hAnsi="Times New Roman"/>
          <w:sz w:val="22"/>
          <w:szCs w:val="22"/>
        </w:rPr>
        <w:t xml:space="preserve">ember countries, which is at an early stage of implementation.  In 2010, the Development Bank of Jamaica Limited (DBJ) established a Credit Enhancement Facility (CEF) to provide additional collateral coverage to accredited financial institutions (AFIs) on loans made to SMEs.  </w:t>
      </w:r>
      <w:r w:rsidR="00EA0A73" w:rsidRPr="00EE1F6B">
        <w:rPr>
          <w:rFonts w:ascii="Times New Roman" w:eastAsiaTheme="minorHAnsi" w:hAnsi="Times New Roman"/>
          <w:sz w:val="22"/>
          <w:szCs w:val="22"/>
        </w:rPr>
        <w:t>Since incep</w:t>
      </w:r>
      <w:r w:rsidR="00FB7D45" w:rsidRPr="00EE1F6B">
        <w:rPr>
          <w:rFonts w:ascii="Times New Roman" w:hAnsi="Times New Roman"/>
          <w:sz w:val="22"/>
          <w:szCs w:val="22"/>
        </w:rPr>
        <w:t>ti</w:t>
      </w:r>
      <w:r w:rsidR="00EA0A73" w:rsidRPr="00EE1F6B">
        <w:rPr>
          <w:rFonts w:ascii="Times New Roman" w:eastAsiaTheme="minorHAnsi" w:hAnsi="Times New Roman"/>
          <w:sz w:val="22"/>
          <w:szCs w:val="22"/>
        </w:rPr>
        <w:t>on, the CEF has facilitated the issue of $4.53 billion in loans to 402</w:t>
      </w:r>
      <w:r w:rsidR="00FB7D45" w:rsidRPr="00EE1F6B">
        <w:rPr>
          <w:rFonts w:ascii="Times New Roman" w:eastAsiaTheme="minorHAnsi" w:hAnsi="Times New Roman"/>
          <w:sz w:val="22"/>
          <w:szCs w:val="22"/>
        </w:rPr>
        <w:t xml:space="preserve"> </w:t>
      </w:r>
      <w:r w:rsidR="00EA0A73" w:rsidRPr="00EE1F6B">
        <w:rPr>
          <w:rFonts w:ascii="Times New Roman" w:eastAsiaTheme="minorHAnsi" w:hAnsi="Times New Roman"/>
          <w:sz w:val="22"/>
          <w:szCs w:val="22"/>
        </w:rPr>
        <w:t>SME sub-borrowers with 435 guarantees</w:t>
      </w:r>
      <w:r w:rsidR="00BC1309" w:rsidRPr="00EE1F6B">
        <w:rPr>
          <w:rFonts w:ascii="Times New Roman" w:eastAsiaTheme="minorHAnsi" w:hAnsi="Times New Roman"/>
          <w:sz w:val="22"/>
          <w:szCs w:val="22"/>
        </w:rPr>
        <w:t>,</w:t>
      </w:r>
      <w:r w:rsidR="00EA0A73" w:rsidRPr="00EE1F6B">
        <w:rPr>
          <w:rFonts w:ascii="Times New Roman" w:eastAsiaTheme="minorHAnsi" w:hAnsi="Times New Roman"/>
          <w:sz w:val="22"/>
          <w:szCs w:val="22"/>
        </w:rPr>
        <w:t xml:space="preserve"> tota</w:t>
      </w:r>
      <w:r w:rsidR="00FB7D45" w:rsidRPr="00EE1F6B">
        <w:rPr>
          <w:rFonts w:ascii="Times New Roman" w:eastAsiaTheme="minorHAnsi" w:hAnsi="Times New Roman"/>
          <w:sz w:val="22"/>
          <w:szCs w:val="22"/>
        </w:rPr>
        <w:t>ling $1,940 million</w:t>
      </w:r>
      <w:r w:rsidR="00D248A1" w:rsidRPr="00EE1F6B">
        <w:rPr>
          <w:rFonts w:ascii="Times New Roman" w:eastAsiaTheme="minorHAnsi" w:hAnsi="Times New Roman"/>
          <w:sz w:val="22"/>
          <w:szCs w:val="22"/>
        </w:rPr>
        <w:t>.</w:t>
      </w:r>
      <w:r w:rsidR="00FB7D45" w:rsidRPr="00EE1F6B">
        <w:rPr>
          <w:rStyle w:val="FootnoteReference"/>
          <w:rFonts w:ascii="Times New Roman" w:eastAsiaTheme="minorHAnsi" w:hAnsi="Times New Roman"/>
          <w:sz w:val="22"/>
          <w:szCs w:val="22"/>
          <w:vertAlign w:val="superscript"/>
        </w:rPr>
        <w:footnoteReference w:id="6"/>
      </w:r>
      <w:r w:rsidR="00BC1309" w:rsidRPr="00EE1F6B">
        <w:rPr>
          <w:rFonts w:ascii="Times New Roman" w:eastAsiaTheme="minorHAnsi" w:hAnsi="Times New Roman"/>
          <w:sz w:val="22"/>
          <w:szCs w:val="22"/>
          <w:vertAlign w:val="superscript"/>
        </w:rPr>
        <w:t>/</w:t>
      </w:r>
      <w:r w:rsidR="00D248A1" w:rsidRPr="00EE1F6B">
        <w:rPr>
          <w:rFonts w:ascii="Times New Roman" w:eastAsiaTheme="minorHAnsi" w:hAnsi="Times New Roman"/>
          <w:sz w:val="22"/>
          <w:szCs w:val="22"/>
        </w:rPr>
        <w:t xml:space="preserve"> PCGFs established in Barbados and OECS Member countries</w:t>
      </w:r>
      <w:r w:rsidR="00BC1309" w:rsidRPr="00EE1F6B">
        <w:rPr>
          <w:rFonts w:ascii="Times New Roman" w:eastAsiaTheme="minorHAnsi" w:hAnsi="Times New Roman"/>
          <w:sz w:val="22"/>
          <w:szCs w:val="22"/>
        </w:rPr>
        <w:t>,</w:t>
      </w:r>
      <w:r w:rsidR="00D248A1" w:rsidRPr="00EE1F6B">
        <w:rPr>
          <w:rFonts w:ascii="Times New Roman" w:eastAsiaTheme="minorHAnsi" w:hAnsi="Times New Roman"/>
          <w:sz w:val="22"/>
          <w:szCs w:val="22"/>
        </w:rPr>
        <w:t xml:space="preserve"> are at an early stage to measure expected results.</w:t>
      </w:r>
    </w:p>
    <w:p w:rsidR="00D248A1" w:rsidRPr="00EE1F6B" w:rsidRDefault="00D248A1" w:rsidP="00E8573D">
      <w:pPr>
        <w:widowControl/>
        <w:autoSpaceDE/>
        <w:autoSpaceDN/>
        <w:adjustRightInd/>
        <w:contextualSpacing/>
        <w:jc w:val="both"/>
        <w:rPr>
          <w:rFonts w:ascii="Times New Roman" w:eastAsia="Calibri" w:hAnsi="Times New Roman"/>
          <w:sz w:val="22"/>
          <w:szCs w:val="22"/>
        </w:rPr>
      </w:pPr>
    </w:p>
    <w:p w:rsidR="00632693" w:rsidRPr="00EE1F6B" w:rsidRDefault="00A825C0" w:rsidP="004135D7">
      <w:pPr>
        <w:pStyle w:val="ListParagraph"/>
        <w:numPr>
          <w:ilvl w:val="1"/>
          <w:numId w:val="22"/>
        </w:numPr>
        <w:ind w:left="720" w:hanging="720"/>
        <w:contextualSpacing/>
        <w:rPr>
          <w:color w:val="000000"/>
          <w:sz w:val="22"/>
          <w:szCs w:val="22"/>
          <w:lang w:val="en-TT"/>
        </w:rPr>
      </w:pPr>
      <w:r w:rsidRPr="00EE1F6B">
        <w:rPr>
          <w:color w:val="000000"/>
          <w:sz w:val="22"/>
          <w:szCs w:val="22"/>
          <w:lang w:val="en-TT"/>
        </w:rPr>
        <w:t xml:space="preserve">A functional </w:t>
      </w:r>
      <w:r w:rsidR="0029575D" w:rsidRPr="00EE1F6B">
        <w:rPr>
          <w:color w:val="000000"/>
          <w:sz w:val="22"/>
          <w:szCs w:val="22"/>
          <w:lang w:val="en-TT"/>
        </w:rPr>
        <w:t>R</w:t>
      </w:r>
      <w:r w:rsidR="00632693" w:rsidRPr="00EE1F6B">
        <w:rPr>
          <w:color w:val="000000"/>
          <w:sz w:val="22"/>
          <w:szCs w:val="22"/>
          <w:lang w:val="en-TT"/>
        </w:rPr>
        <w:t xml:space="preserve">PCGS will </w:t>
      </w:r>
      <w:r w:rsidR="00D47343" w:rsidRPr="00EE1F6B">
        <w:rPr>
          <w:color w:val="000000"/>
          <w:sz w:val="22"/>
          <w:szCs w:val="22"/>
          <w:lang w:val="en-TT"/>
        </w:rPr>
        <w:t xml:space="preserve">seek to </w:t>
      </w:r>
      <w:r w:rsidR="00632693" w:rsidRPr="00EE1F6B">
        <w:rPr>
          <w:color w:val="000000"/>
          <w:sz w:val="22"/>
          <w:szCs w:val="22"/>
          <w:lang w:val="en-TT"/>
        </w:rPr>
        <w:t>address structural issues with MSME financing such as:</w:t>
      </w:r>
      <w:r w:rsidR="00632693" w:rsidRPr="00EE1F6B">
        <w:rPr>
          <w:rStyle w:val="FootnoteReference"/>
          <w:color w:val="000000"/>
          <w:sz w:val="22"/>
          <w:szCs w:val="22"/>
          <w:vertAlign w:val="superscript"/>
          <w:lang w:val="en-TT"/>
        </w:rPr>
        <w:footnoteReference w:id="7"/>
      </w:r>
      <w:r w:rsidR="00A32C84" w:rsidRPr="00EE1F6B">
        <w:rPr>
          <w:color w:val="000000"/>
          <w:sz w:val="22"/>
          <w:szCs w:val="22"/>
          <w:vertAlign w:val="superscript"/>
          <w:lang w:val="en-TT"/>
        </w:rPr>
        <w:t>/</w:t>
      </w:r>
      <w:r w:rsidR="00632693" w:rsidRPr="00EE1F6B">
        <w:rPr>
          <w:color w:val="000000"/>
          <w:sz w:val="22"/>
          <w:szCs w:val="22"/>
          <w:vertAlign w:val="superscript"/>
          <w:lang w:val="en-TT"/>
        </w:rPr>
        <w:t xml:space="preserve"> </w:t>
      </w:r>
    </w:p>
    <w:p w:rsidR="00A32C84" w:rsidRPr="00EE1F6B" w:rsidRDefault="00A32C84" w:rsidP="00B915B3">
      <w:pPr>
        <w:widowControl/>
        <w:autoSpaceDE/>
        <w:autoSpaceDN/>
        <w:adjustRightInd/>
        <w:contextualSpacing/>
        <w:rPr>
          <w:rFonts w:ascii="Times New Roman" w:hAnsi="Times New Roman"/>
          <w:color w:val="000000"/>
          <w:sz w:val="22"/>
          <w:szCs w:val="22"/>
        </w:rPr>
      </w:pPr>
    </w:p>
    <w:p w:rsidR="00632693" w:rsidRPr="00EE1F6B" w:rsidRDefault="00632693" w:rsidP="001D13E5">
      <w:pPr>
        <w:pStyle w:val="ListParagraph"/>
        <w:numPr>
          <w:ilvl w:val="0"/>
          <w:numId w:val="6"/>
        </w:numPr>
        <w:ind w:left="1440" w:hanging="720"/>
        <w:contextualSpacing/>
        <w:rPr>
          <w:color w:val="000000"/>
          <w:sz w:val="22"/>
          <w:szCs w:val="22"/>
        </w:rPr>
      </w:pPr>
      <w:r w:rsidRPr="00EE1F6B">
        <w:rPr>
          <w:color w:val="000000"/>
          <w:sz w:val="22"/>
          <w:szCs w:val="22"/>
        </w:rPr>
        <w:t>Information Asymmetries</w:t>
      </w:r>
      <w:r w:rsidR="00A32C84" w:rsidRPr="00EE1F6B">
        <w:rPr>
          <w:color w:val="000000"/>
          <w:sz w:val="22"/>
          <w:szCs w:val="22"/>
        </w:rPr>
        <w:t>.</w:t>
      </w:r>
    </w:p>
    <w:p w:rsidR="00A32C84" w:rsidRPr="00EE1F6B" w:rsidRDefault="00A32C84" w:rsidP="00A32C84">
      <w:pPr>
        <w:pStyle w:val="ListParagraph"/>
        <w:ind w:left="1440"/>
        <w:contextualSpacing/>
        <w:rPr>
          <w:color w:val="000000"/>
          <w:sz w:val="22"/>
          <w:szCs w:val="22"/>
        </w:rPr>
      </w:pPr>
    </w:p>
    <w:p w:rsidR="00632693" w:rsidRPr="00EE1F6B" w:rsidRDefault="00632693" w:rsidP="001D13E5">
      <w:pPr>
        <w:pStyle w:val="ListParagraph"/>
        <w:numPr>
          <w:ilvl w:val="0"/>
          <w:numId w:val="6"/>
        </w:numPr>
        <w:ind w:left="1440" w:hanging="720"/>
        <w:contextualSpacing/>
        <w:rPr>
          <w:color w:val="000000"/>
          <w:sz w:val="22"/>
          <w:szCs w:val="22"/>
        </w:rPr>
      </w:pPr>
      <w:r w:rsidRPr="00EE1F6B">
        <w:rPr>
          <w:color w:val="000000"/>
          <w:sz w:val="22"/>
          <w:szCs w:val="22"/>
        </w:rPr>
        <w:t xml:space="preserve">Inadequate or lack of </w:t>
      </w:r>
      <w:proofErr w:type="spellStart"/>
      <w:r w:rsidRPr="00EE1F6B">
        <w:rPr>
          <w:color w:val="000000"/>
          <w:sz w:val="22"/>
          <w:szCs w:val="22"/>
        </w:rPr>
        <w:t>recogni</w:t>
      </w:r>
      <w:r w:rsidR="00A32C84" w:rsidRPr="00EE1F6B">
        <w:rPr>
          <w:color w:val="000000"/>
          <w:sz w:val="22"/>
          <w:szCs w:val="22"/>
        </w:rPr>
        <w:t>s</w:t>
      </w:r>
      <w:r w:rsidRPr="00EE1F6B">
        <w:rPr>
          <w:color w:val="000000"/>
          <w:sz w:val="22"/>
          <w:szCs w:val="22"/>
        </w:rPr>
        <w:t>ed</w:t>
      </w:r>
      <w:proofErr w:type="spellEnd"/>
      <w:r w:rsidRPr="00EE1F6B">
        <w:rPr>
          <w:color w:val="000000"/>
          <w:sz w:val="22"/>
          <w:szCs w:val="22"/>
        </w:rPr>
        <w:t xml:space="preserve"> collateral</w:t>
      </w:r>
      <w:r w:rsidR="00A32C84" w:rsidRPr="00EE1F6B">
        <w:rPr>
          <w:color w:val="000000"/>
          <w:sz w:val="22"/>
          <w:szCs w:val="22"/>
        </w:rPr>
        <w:t>.</w:t>
      </w:r>
    </w:p>
    <w:p w:rsidR="00A32C84" w:rsidRPr="00EE1F6B" w:rsidRDefault="00A32C84" w:rsidP="00A32C84">
      <w:pPr>
        <w:pStyle w:val="ListParagraph"/>
        <w:rPr>
          <w:color w:val="000000"/>
          <w:sz w:val="22"/>
          <w:szCs w:val="22"/>
        </w:rPr>
      </w:pPr>
    </w:p>
    <w:p w:rsidR="00632693" w:rsidRPr="00EE1F6B" w:rsidRDefault="00632693" w:rsidP="001D13E5">
      <w:pPr>
        <w:pStyle w:val="ListParagraph"/>
        <w:numPr>
          <w:ilvl w:val="0"/>
          <w:numId w:val="6"/>
        </w:numPr>
        <w:ind w:left="1440" w:hanging="720"/>
        <w:contextualSpacing/>
        <w:rPr>
          <w:color w:val="000000"/>
          <w:sz w:val="22"/>
          <w:szCs w:val="22"/>
        </w:rPr>
      </w:pPr>
      <w:r w:rsidRPr="00EE1F6B">
        <w:rPr>
          <w:color w:val="000000"/>
          <w:sz w:val="22"/>
          <w:szCs w:val="22"/>
        </w:rPr>
        <w:t xml:space="preserve">High transaction costs </w:t>
      </w:r>
      <w:r w:rsidR="00A32C84" w:rsidRPr="00EE1F6B">
        <w:rPr>
          <w:color w:val="000000"/>
          <w:sz w:val="22"/>
          <w:szCs w:val="22"/>
        </w:rPr>
        <w:t>and</w:t>
      </w:r>
      <w:r w:rsidRPr="00EE1F6B">
        <w:rPr>
          <w:color w:val="000000"/>
          <w:sz w:val="22"/>
          <w:szCs w:val="22"/>
        </w:rPr>
        <w:t xml:space="preserve"> high perceived risks</w:t>
      </w:r>
      <w:r w:rsidR="00A32C84" w:rsidRPr="00EE1F6B">
        <w:rPr>
          <w:color w:val="000000"/>
          <w:sz w:val="22"/>
          <w:szCs w:val="22"/>
        </w:rPr>
        <w:t>.</w:t>
      </w:r>
    </w:p>
    <w:p w:rsidR="00A32C84" w:rsidRPr="00EE1F6B" w:rsidRDefault="00A32C84" w:rsidP="00A32C84">
      <w:pPr>
        <w:pStyle w:val="ListParagraph"/>
        <w:rPr>
          <w:color w:val="000000"/>
          <w:sz w:val="22"/>
          <w:szCs w:val="22"/>
        </w:rPr>
      </w:pPr>
    </w:p>
    <w:p w:rsidR="00632693" w:rsidRPr="00EE1F6B" w:rsidRDefault="00544FCC" w:rsidP="001D13E5">
      <w:pPr>
        <w:pStyle w:val="ListParagraph"/>
        <w:numPr>
          <w:ilvl w:val="0"/>
          <w:numId w:val="6"/>
        </w:numPr>
        <w:ind w:left="1440" w:hanging="720"/>
        <w:contextualSpacing/>
        <w:rPr>
          <w:color w:val="000000"/>
          <w:sz w:val="22"/>
          <w:szCs w:val="22"/>
        </w:rPr>
      </w:pPr>
      <w:r w:rsidRPr="00EE1F6B">
        <w:rPr>
          <w:color w:val="000000"/>
          <w:sz w:val="22"/>
          <w:szCs w:val="22"/>
        </w:rPr>
        <w:t xml:space="preserve">Inadequate MSME finance </w:t>
      </w:r>
      <w:r w:rsidR="00632693" w:rsidRPr="00EE1F6B">
        <w:rPr>
          <w:color w:val="000000"/>
          <w:sz w:val="22"/>
          <w:szCs w:val="22"/>
        </w:rPr>
        <w:t>tools</w:t>
      </w:r>
      <w:r w:rsidR="00A32C84" w:rsidRPr="00EE1F6B">
        <w:rPr>
          <w:color w:val="000000"/>
          <w:sz w:val="22"/>
          <w:szCs w:val="22"/>
        </w:rPr>
        <w:t>.</w:t>
      </w:r>
    </w:p>
    <w:p w:rsidR="00A32C84" w:rsidRPr="00EE1F6B" w:rsidRDefault="00A32C84" w:rsidP="00A32C84">
      <w:pPr>
        <w:pStyle w:val="ListParagraph"/>
        <w:rPr>
          <w:color w:val="000000"/>
          <w:sz w:val="22"/>
          <w:szCs w:val="22"/>
        </w:rPr>
      </w:pPr>
    </w:p>
    <w:p w:rsidR="00632693" w:rsidRPr="00EE1F6B" w:rsidRDefault="00632693" w:rsidP="001D13E5">
      <w:pPr>
        <w:pStyle w:val="ListParagraph"/>
        <w:numPr>
          <w:ilvl w:val="0"/>
          <w:numId w:val="6"/>
        </w:numPr>
        <w:ind w:left="1440" w:hanging="720"/>
        <w:contextualSpacing/>
        <w:rPr>
          <w:color w:val="000000"/>
          <w:sz w:val="22"/>
          <w:szCs w:val="22"/>
        </w:rPr>
      </w:pPr>
      <w:r w:rsidRPr="00EE1F6B">
        <w:rPr>
          <w:color w:val="000000"/>
          <w:sz w:val="22"/>
          <w:szCs w:val="22"/>
        </w:rPr>
        <w:t>Crowding out by other credit markets (consumer)</w:t>
      </w:r>
    </w:p>
    <w:p w:rsidR="00305AEA" w:rsidRPr="00EE1F6B" w:rsidRDefault="00305AEA" w:rsidP="00B915B3">
      <w:pPr>
        <w:widowControl/>
        <w:autoSpaceDE/>
        <w:autoSpaceDN/>
        <w:adjustRightInd/>
        <w:contextualSpacing/>
        <w:rPr>
          <w:rFonts w:ascii="Times New Roman" w:hAnsi="Times New Roman"/>
          <w:color w:val="000000"/>
          <w:sz w:val="22"/>
          <w:szCs w:val="22"/>
        </w:rPr>
      </w:pPr>
    </w:p>
    <w:p w:rsidR="00632693" w:rsidRPr="00EE1F6B" w:rsidRDefault="00A63B9A" w:rsidP="00BC1309">
      <w:pPr>
        <w:pStyle w:val="ListParagraph"/>
        <w:numPr>
          <w:ilvl w:val="1"/>
          <w:numId w:val="21"/>
        </w:numPr>
        <w:ind w:left="720" w:hanging="720"/>
        <w:contextualSpacing/>
        <w:rPr>
          <w:color w:val="000000"/>
          <w:sz w:val="22"/>
          <w:szCs w:val="22"/>
        </w:rPr>
      </w:pPr>
      <w:r w:rsidRPr="00EE1F6B">
        <w:rPr>
          <w:color w:val="000000"/>
          <w:sz w:val="22"/>
          <w:szCs w:val="22"/>
        </w:rPr>
        <w:t>T</w:t>
      </w:r>
      <w:r w:rsidR="00305AEA" w:rsidRPr="00EE1F6B">
        <w:rPr>
          <w:color w:val="000000"/>
          <w:sz w:val="22"/>
          <w:szCs w:val="22"/>
        </w:rPr>
        <w:t xml:space="preserve">he </w:t>
      </w:r>
      <w:r w:rsidR="00632693" w:rsidRPr="00EE1F6B">
        <w:rPr>
          <w:color w:val="000000"/>
          <w:sz w:val="22"/>
          <w:szCs w:val="22"/>
        </w:rPr>
        <w:t xml:space="preserve">success of the </w:t>
      </w:r>
      <w:r w:rsidR="0029575D" w:rsidRPr="00EE1F6B">
        <w:rPr>
          <w:color w:val="000000"/>
          <w:sz w:val="22"/>
          <w:szCs w:val="22"/>
        </w:rPr>
        <w:t>R</w:t>
      </w:r>
      <w:r w:rsidR="008D477A" w:rsidRPr="00EE1F6B">
        <w:rPr>
          <w:color w:val="000000"/>
          <w:sz w:val="22"/>
          <w:szCs w:val="22"/>
        </w:rPr>
        <w:t>PCGS</w:t>
      </w:r>
      <w:r w:rsidRPr="00EE1F6B">
        <w:rPr>
          <w:color w:val="000000"/>
          <w:sz w:val="22"/>
          <w:szCs w:val="22"/>
        </w:rPr>
        <w:t>, however,</w:t>
      </w:r>
      <w:r w:rsidR="00D47343" w:rsidRPr="00EE1F6B">
        <w:rPr>
          <w:color w:val="000000"/>
          <w:sz w:val="22"/>
          <w:szCs w:val="22"/>
        </w:rPr>
        <w:t xml:space="preserve"> </w:t>
      </w:r>
      <w:r w:rsidR="00305AEA" w:rsidRPr="00EE1F6B">
        <w:rPr>
          <w:color w:val="000000"/>
          <w:sz w:val="22"/>
          <w:szCs w:val="22"/>
        </w:rPr>
        <w:t xml:space="preserve">will depend on </w:t>
      </w:r>
      <w:proofErr w:type="gramStart"/>
      <w:r w:rsidR="00305AEA" w:rsidRPr="00EE1F6B">
        <w:rPr>
          <w:color w:val="000000"/>
          <w:sz w:val="22"/>
          <w:szCs w:val="22"/>
        </w:rPr>
        <w:t>a number of</w:t>
      </w:r>
      <w:proofErr w:type="gramEnd"/>
      <w:r w:rsidR="00632693" w:rsidRPr="00EE1F6B">
        <w:rPr>
          <w:color w:val="000000"/>
          <w:sz w:val="22"/>
          <w:szCs w:val="22"/>
        </w:rPr>
        <w:t xml:space="preserve"> factors, including: </w:t>
      </w:r>
    </w:p>
    <w:p w:rsidR="00A32C84" w:rsidRPr="00EE1F6B" w:rsidRDefault="00A32C84" w:rsidP="00B915B3">
      <w:pPr>
        <w:widowControl/>
        <w:autoSpaceDE/>
        <w:autoSpaceDN/>
        <w:adjustRightInd/>
        <w:contextualSpacing/>
        <w:rPr>
          <w:rFonts w:ascii="Times New Roman" w:hAnsi="Times New Roman"/>
          <w:color w:val="000000"/>
          <w:sz w:val="22"/>
          <w:szCs w:val="22"/>
        </w:rPr>
      </w:pPr>
    </w:p>
    <w:p w:rsidR="00632693" w:rsidRPr="00EE1F6B" w:rsidRDefault="00632693" w:rsidP="001D13E5">
      <w:pPr>
        <w:pStyle w:val="ListParagraph"/>
        <w:numPr>
          <w:ilvl w:val="0"/>
          <w:numId w:val="9"/>
        </w:numPr>
        <w:ind w:left="1440" w:hanging="720"/>
        <w:contextualSpacing/>
        <w:rPr>
          <w:color w:val="000000"/>
          <w:sz w:val="22"/>
          <w:szCs w:val="22"/>
        </w:rPr>
      </w:pPr>
      <w:r w:rsidRPr="00EE1F6B">
        <w:rPr>
          <w:color w:val="000000"/>
          <w:sz w:val="22"/>
          <w:szCs w:val="22"/>
        </w:rPr>
        <w:t>A strong regulatory and supervisory system</w:t>
      </w:r>
      <w:r w:rsidR="002D39FA" w:rsidRPr="00EE1F6B">
        <w:rPr>
          <w:color w:val="000000"/>
          <w:sz w:val="22"/>
          <w:szCs w:val="22"/>
        </w:rPr>
        <w:t>.</w:t>
      </w:r>
      <w:r w:rsidRPr="00EE1F6B">
        <w:rPr>
          <w:color w:val="000000"/>
          <w:sz w:val="22"/>
          <w:szCs w:val="22"/>
        </w:rPr>
        <w:t xml:space="preserve"> </w:t>
      </w:r>
    </w:p>
    <w:p w:rsidR="00BC1309" w:rsidRPr="00EE1F6B" w:rsidRDefault="00BC1309" w:rsidP="00BC1309">
      <w:pPr>
        <w:pStyle w:val="ListParagraph"/>
        <w:ind w:left="1440"/>
        <w:contextualSpacing/>
        <w:rPr>
          <w:color w:val="000000"/>
          <w:sz w:val="22"/>
          <w:szCs w:val="22"/>
        </w:rPr>
      </w:pPr>
    </w:p>
    <w:p w:rsidR="00544FCC" w:rsidRPr="00EE1F6B" w:rsidRDefault="00BC1309" w:rsidP="001D13E5">
      <w:pPr>
        <w:pStyle w:val="ListParagraph"/>
        <w:numPr>
          <w:ilvl w:val="0"/>
          <w:numId w:val="9"/>
        </w:numPr>
        <w:ind w:left="1440" w:hanging="720"/>
        <w:contextualSpacing/>
        <w:rPr>
          <w:color w:val="000000"/>
          <w:sz w:val="22"/>
          <w:szCs w:val="22"/>
        </w:rPr>
      </w:pPr>
      <w:r w:rsidRPr="00EE1F6B">
        <w:rPr>
          <w:color w:val="000000"/>
          <w:sz w:val="22"/>
          <w:szCs w:val="22"/>
        </w:rPr>
        <w:t>An e</w:t>
      </w:r>
      <w:r w:rsidR="00544FCC" w:rsidRPr="00EE1F6B">
        <w:rPr>
          <w:color w:val="000000"/>
          <w:sz w:val="22"/>
          <w:szCs w:val="22"/>
        </w:rPr>
        <w:t>nhanced business climate that includes support systems such as credit bureaus and collateral registries</w:t>
      </w:r>
      <w:r w:rsidR="002D39FA" w:rsidRPr="00EE1F6B">
        <w:rPr>
          <w:color w:val="000000"/>
          <w:sz w:val="22"/>
          <w:szCs w:val="22"/>
        </w:rPr>
        <w:t>.</w:t>
      </w:r>
    </w:p>
    <w:p w:rsidR="00BC1309" w:rsidRPr="00EE1F6B" w:rsidRDefault="00BC1309" w:rsidP="00BC1309">
      <w:pPr>
        <w:pStyle w:val="ListParagraph"/>
        <w:rPr>
          <w:color w:val="000000"/>
          <w:sz w:val="22"/>
          <w:szCs w:val="22"/>
        </w:rPr>
      </w:pPr>
    </w:p>
    <w:p w:rsidR="00632693" w:rsidRPr="00EE1F6B" w:rsidRDefault="00632693" w:rsidP="001D13E5">
      <w:pPr>
        <w:pStyle w:val="ListParagraph"/>
        <w:numPr>
          <w:ilvl w:val="0"/>
          <w:numId w:val="9"/>
        </w:numPr>
        <w:ind w:left="1440" w:hanging="720"/>
        <w:contextualSpacing/>
        <w:jc w:val="both"/>
        <w:rPr>
          <w:color w:val="000000"/>
          <w:sz w:val="22"/>
          <w:szCs w:val="22"/>
        </w:rPr>
      </w:pPr>
      <w:r w:rsidRPr="00EE1F6B">
        <w:rPr>
          <w:color w:val="000000"/>
          <w:sz w:val="22"/>
          <w:szCs w:val="22"/>
        </w:rPr>
        <w:t>Transparency and fairness – for example</w:t>
      </w:r>
      <w:r w:rsidR="00BC1309" w:rsidRPr="00EE1F6B">
        <w:rPr>
          <w:color w:val="000000"/>
          <w:sz w:val="22"/>
          <w:szCs w:val="22"/>
        </w:rPr>
        <w:t>,</w:t>
      </w:r>
      <w:r w:rsidRPr="00EE1F6B">
        <w:rPr>
          <w:color w:val="000000"/>
          <w:sz w:val="22"/>
          <w:szCs w:val="22"/>
        </w:rPr>
        <w:t xml:space="preserve"> guarantees are allocated to firms based on a set</w:t>
      </w:r>
      <w:r w:rsidR="00A63B9A" w:rsidRPr="00EE1F6B">
        <w:rPr>
          <w:color w:val="000000"/>
          <w:sz w:val="22"/>
          <w:szCs w:val="22"/>
        </w:rPr>
        <w:t xml:space="preserve"> of</w:t>
      </w:r>
      <w:r w:rsidRPr="00EE1F6B">
        <w:rPr>
          <w:color w:val="000000"/>
          <w:sz w:val="22"/>
          <w:szCs w:val="22"/>
        </w:rPr>
        <w:t xml:space="preserve"> standard </w:t>
      </w:r>
      <w:r w:rsidR="00A63B9A" w:rsidRPr="00EE1F6B">
        <w:rPr>
          <w:color w:val="000000"/>
          <w:sz w:val="22"/>
          <w:szCs w:val="22"/>
        </w:rPr>
        <w:t xml:space="preserve">criteria </w:t>
      </w:r>
      <w:r w:rsidRPr="00EE1F6B">
        <w:rPr>
          <w:color w:val="000000"/>
          <w:sz w:val="22"/>
          <w:szCs w:val="22"/>
        </w:rPr>
        <w:t xml:space="preserve">for qualification and </w:t>
      </w:r>
      <w:r w:rsidR="00D214B7" w:rsidRPr="00EE1F6B">
        <w:rPr>
          <w:color w:val="000000"/>
          <w:sz w:val="22"/>
          <w:szCs w:val="22"/>
        </w:rPr>
        <w:t xml:space="preserve">that </w:t>
      </w:r>
      <w:r w:rsidRPr="00EE1F6B">
        <w:rPr>
          <w:color w:val="000000"/>
          <w:sz w:val="22"/>
          <w:szCs w:val="22"/>
        </w:rPr>
        <w:t>the system for approval i</w:t>
      </w:r>
      <w:r w:rsidR="00D214B7" w:rsidRPr="00EE1F6B">
        <w:rPr>
          <w:color w:val="000000"/>
          <w:sz w:val="22"/>
          <w:szCs w:val="22"/>
        </w:rPr>
        <w:t>s</w:t>
      </w:r>
      <w:r w:rsidRPr="00EE1F6B">
        <w:rPr>
          <w:color w:val="000000"/>
          <w:sz w:val="22"/>
          <w:szCs w:val="22"/>
        </w:rPr>
        <w:t xml:space="preserve"> unbiased and </w:t>
      </w:r>
      <w:r w:rsidR="00305AEA" w:rsidRPr="00EE1F6B">
        <w:rPr>
          <w:color w:val="000000"/>
          <w:sz w:val="22"/>
          <w:szCs w:val="22"/>
        </w:rPr>
        <w:t>straightforward</w:t>
      </w:r>
      <w:r w:rsidR="002D39FA" w:rsidRPr="00EE1F6B">
        <w:rPr>
          <w:color w:val="000000"/>
          <w:sz w:val="22"/>
          <w:szCs w:val="22"/>
        </w:rPr>
        <w:t>.</w:t>
      </w:r>
      <w:r w:rsidRPr="00EE1F6B">
        <w:rPr>
          <w:color w:val="000000"/>
          <w:sz w:val="22"/>
          <w:szCs w:val="22"/>
        </w:rPr>
        <w:t xml:space="preserve"> </w:t>
      </w:r>
    </w:p>
    <w:p w:rsidR="00A32C84" w:rsidRPr="00EE1F6B" w:rsidRDefault="00A32C84" w:rsidP="00A32C84">
      <w:pPr>
        <w:pStyle w:val="ListParagraph"/>
        <w:ind w:left="1440" w:hanging="720"/>
        <w:contextualSpacing/>
        <w:jc w:val="both"/>
        <w:rPr>
          <w:color w:val="000000"/>
          <w:sz w:val="22"/>
          <w:szCs w:val="22"/>
        </w:rPr>
      </w:pPr>
    </w:p>
    <w:p w:rsidR="00632693" w:rsidRPr="00EE1F6B" w:rsidRDefault="00BC1309" w:rsidP="001D13E5">
      <w:pPr>
        <w:widowControl/>
        <w:numPr>
          <w:ilvl w:val="0"/>
          <w:numId w:val="9"/>
        </w:numPr>
        <w:autoSpaceDE/>
        <w:autoSpaceDN/>
        <w:adjustRightInd/>
        <w:ind w:left="1440" w:hanging="720"/>
        <w:contextualSpacing/>
        <w:jc w:val="both"/>
        <w:rPr>
          <w:rFonts w:ascii="Times New Roman" w:hAnsi="Times New Roman"/>
          <w:color w:val="000000"/>
          <w:sz w:val="22"/>
          <w:szCs w:val="22"/>
        </w:rPr>
      </w:pPr>
      <w:r w:rsidRPr="00EE1F6B">
        <w:rPr>
          <w:rFonts w:ascii="Times New Roman" w:hAnsi="Times New Roman"/>
          <w:color w:val="000000"/>
          <w:sz w:val="22"/>
          <w:szCs w:val="22"/>
        </w:rPr>
        <w:t>I</w:t>
      </w:r>
      <w:r w:rsidR="00632693" w:rsidRPr="00EE1F6B">
        <w:rPr>
          <w:rFonts w:ascii="Times New Roman" w:hAnsi="Times New Roman"/>
          <w:color w:val="000000"/>
          <w:sz w:val="22"/>
          <w:szCs w:val="22"/>
        </w:rPr>
        <w:t xml:space="preserve">ntensive publicity and promotional campaign to explain the utility of the </w:t>
      </w:r>
      <w:r w:rsidR="00D214B7" w:rsidRPr="00EE1F6B">
        <w:rPr>
          <w:rFonts w:ascii="Times New Roman" w:hAnsi="Times New Roman"/>
          <w:color w:val="000000"/>
          <w:sz w:val="22"/>
          <w:szCs w:val="22"/>
        </w:rPr>
        <w:t>Scheme</w:t>
      </w:r>
      <w:r w:rsidR="002D39FA" w:rsidRPr="00EE1F6B">
        <w:rPr>
          <w:rFonts w:ascii="Times New Roman" w:hAnsi="Times New Roman"/>
          <w:color w:val="000000"/>
          <w:sz w:val="22"/>
          <w:szCs w:val="22"/>
        </w:rPr>
        <w:t>.</w:t>
      </w:r>
    </w:p>
    <w:p w:rsidR="00A32C84" w:rsidRPr="00EE1F6B" w:rsidRDefault="00A32C84" w:rsidP="00A32C84">
      <w:pPr>
        <w:pStyle w:val="ListParagraph"/>
        <w:ind w:left="1440" w:hanging="720"/>
        <w:jc w:val="both"/>
        <w:rPr>
          <w:color w:val="000000"/>
          <w:sz w:val="22"/>
          <w:szCs w:val="22"/>
        </w:rPr>
      </w:pPr>
    </w:p>
    <w:p w:rsidR="00544FCC" w:rsidRPr="00EE1F6B" w:rsidRDefault="00632693" w:rsidP="001D13E5">
      <w:pPr>
        <w:widowControl/>
        <w:numPr>
          <w:ilvl w:val="0"/>
          <w:numId w:val="9"/>
        </w:numPr>
        <w:autoSpaceDE/>
        <w:autoSpaceDN/>
        <w:adjustRightInd/>
        <w:ind w:left="1440" w:hanging="720"/>
        <w:contextualSpacing/>
        <w:jc w:val="both"/>
        <w:rPr>
          <w:rFonts w:ascii="Times New Roman" w:hAnsi="Times New Roman"/>
          <w:color w:val="000000"/>
          <w:sz w:val="22"/>
          <w:szCs w:val="22"/>
        </w:rPr>
      </w:pPr>
      <w:r w:rsidRPr="00EE1F6B">
        <w:rPr>
          <w:rFonts w:ascii="Times New Roman" w:hAnsi="Times New Roman"/>
          <w:color w:val="000000"/>
          <w:sz w:val="22"/>
          <w:szCs w:val="22"/>
        </w:rPr>
        <w:t xml:space="preserve">Training </w:t>
      </w:r>
      <w:r w:rsidR="00D214B7" w:rsidRPr="00EE1F6B">
        <w:rPr>
          <w:rFonts w:ascii="Times New Roman" w:hAnsi="Times New Roman"/>
          <w:color w:val="000000"/>
          <w:sz w:val="22"/>
          <w:szCs w:val="22"/>
        </w:rPr>
        <w:t xml:space="preserve">of </w:t>
      </w:r>
      <w:r w:rsidRPr="00EE1F6B">
        <w:rPr>
          <w:rFonts w:ascii="Times New Roman" w:hAnsi="Times New Roman"/>
          <w:color w:val="000000"/>
          <w:sz w:val="22"/>
          <w:szCs w:val="22"/>
        </w:rPr>
        <w:t xml:space="preserve">FIs on the </w:t>
      </w:r>
      <w:r w:rsidR="0029575D" w:rsidRPr="00EE1F6B">
        <w:rPr>
          <w:rFonts w:ascii="Times New Roman" w:hAnsi="Times New Roman"/>
          <w:color w:val="000000"/>
          <w:sz w:val="22"/>
          <w:szCs w:val="22"/>
        </w:rPr>
        <w:t>R</w:t>
      </w:r>
      <w:r w:rsidRPr="00EE1F6B">
        <w:rPr>
          <w:rFonts w:ascii="Times New Roman" w:hAnsi="Times New Roman"/>
          <w:color w:val="000000"/>
          <w:sz w:val="22"/>
          <w:szCs w:val="22"/>
        </w:rPr>
        <w:t xml:space="preserve">PCGS, </w:t>
      </w:r>
      <w:r w:rsidR="0029575D" w:rsidRPr="00EE1F6B">
        <w:rPr>
          <w:rFonts w:ascii="Times New Roman" w:hAnsi="Times New Roman"/>
          <w:color w:val="000000"/>
          <w:sz w:val="22"/>
          <w:szCs w:val="22"/>
        </w:rPr>
        <w:t xml:space="preserve">regarding </w:t>
      </w:r>
      <w:r w:rsidRPr="00EE1F6B">
        <w:rPr>
          <w:rFonts w:ascii="Times New Roman" w:hAnsi="Times New Roman"/>
          <w:color w:val="000000"/>
          <w:sz w:val="22"/>
          <w:szCs w:val="22"/>
        </w:rPr>
        <w:t>its policies, operating procedures, governance</w:t>
      </w:r>
      <w:r w:rsidR="00AE316B" w:rsidRPr="00EE1F6B">
        <w:rPr>
          <w:rFonts w:ascii="Times New Roman" w:hAnsi="Times New Roman"/>
          <w:color w:val="000000"/>
          <w:sz w:val="22"/>
          <w:szCs w:val="22"/>
        </w:rPr>
        <w:t xml:space="preserve"> structures</w:t>
      </w:r>
      <w:r w:rsidR="00BC1309" w:rsidRPr="00EE1F6B">
        <w:rPr>
          <w:rFonts w:ascii="Times New Roman" w:hAnsi="Times New Roman"/>
          <w:color w:val="000000"/>
          <w:sz w:val="22"/>
          <w:szCs w:val="22"/>
        </w:rPr>
        <w:t>,</w:t>
      </w:r>
      <w:r w:rsidRPr="00EE1F6B">
        <w:rPr>
          <w:rFonts w:ascii="Times New Roman" w:hAnsi="Times New Roman"/>
          <w:color w:val="000000"/>
          <w:sz w:val="22"/>
          <w:szCs w:val="22"/>
        </w:rPr>
        <w:t xml:space="preserve"> and assessment </w:t>
      </w:r>
      <w:r w:rsidR="00AE316B" w:rsidRPr="00EE1F6B">
        <w:rPr>
          <w:rFonts w:ascii="Times New Roman" w:hAnsi="Times New Roman"/>
          <w:color w:val="000000"/>
          <w:sz w:val="22"/>
          <w:szCs w:val="22"/>
        </w:rPr>
        <w:t>procedures</w:t>
      </w:r>
      <w:r w:rsidR="002D39FA" w:rsidRPr="00EE1F6B">
        <w:rPr>
          <w:rFonts w:ascii="Times New Roman" w:hAnsi="Times New Roman"/>
          <w:color w:val="000000"/>
          <w:sz w:val="22"/>
          <w:szCs w:val="22"/>
        </w:rPr>
        <w:t>.</w:t>
      </w:r>
      <w:r w:rsidR="00544FCC" w:rsidRPr="00EE1F6B">
        <w:rPr>
          <w:rFonts w:ascii="Times New Roman" w:hAnsi="Times New Roman"/>
          <w:color w:val="000000"/>
          <w:sz w:val="22"/>
          <w:szCs w:val="22"/>
        </w:rPr>
        <w:t xml:space="preserve"> </w:t>
      </w:r>
    </w:p>
    <w:p w:rsidR="00544FCC" w:rsidRPr="00EE1F6B" w:rsidRDefault="00544FCC" w:rsidP="0024778D">
      <w:pPr>
        <w:pStyle w:val="ListParagraph"/>
        <w:rPr>
          <w:color w:val="000000"/>
          <w:sz w:val="22"/>
          <w:szCs w:val="22"/>
        </w:rPr>
      </w:pPr>
    </w:p>
    <w:p w:rsidR="00294AC1" w:rsidRPr="00EE1F6B" w:rsidRDefault="00544FCC" w:rsidP="001D13E5">
      <w:pPr>
        <w:widowControl/>
        <w:numPr>
          <w:ilvl w:val="0"/>
          <w:numId w:val="9"/>
        </w:numPr>
        <w:autoSpaceDE/>
        <w:autoSpaceDN/>
        <w:adjustRightInd/>
        <w:ind w:left="1440" w:hanging="720"/>
        <w:contextualSpacing/>
        <w:jc w:val="both"/>
        <w:rPr>
          <w:rFonts w:ascii="Times New Roman" w:hAnsi="Times New Roman"/>
          <w:color w:val="000000"/>
          <w:sz w:val="22"/>
          <w:szCs w:val="22"/>
        </w:rPr>
      </w:pPr>
      <w:r w:rsidRPr="00EE1F6B">
        <w:rPr>
          <w:rFonts w:ascii="Times New Roman" w:hAnsi="Times New Roman"/>
          <w:color w:val="000000"/>
          <w:sz w:val="22"/>
          <w:szCs w:val="22"/>
        </w:rPr>
        <w:t>Enhanced capacity building accessible to MSMEs for business support and mentorship.</w:t>
      </w:r>
      <w:r w:rsidR="00632693" w:rsidRPr="00EE1F6B">
        <w:rPr>
          <w:rFonts w:ascii="Times New Roman" w:hAnsi="Times New Roman"/>
          <w:color w:val="000000"/>
          <w:sz w:val="22"/>
          <w:szCs w:val="22"/>
        </w:rPr>
        <w:t xml:space="preserve">  </w:t>
      </w:r>
    </w:p>
    <w:p w:rsidR="00EB55B6" w:rsidRPr="00EE1F6B" w:rsidRDefault="00EB55B6" w:rsidP="00B915B3">
      <w:pPr>
        <w:jc w:val="both"/>
        <w:rPr>
          <w:rFonts w:ascii="Times New Roman" w:hAnsi="Times New Roman"/>
          <w:sz w:val="22"/>
          <w:szCs w:val="22"/>
          <w:lang w:val="en-GB"/>
        </w:rPr>
      </w:pPr>
    </w:p>
    <w:p w:rsidR="00EB55B6" w:rsidRPr="00EE1F6B" w:rsidRDefault="00EB55B6" w:rsidP="00B915B3">
      <w:pPr>
        <w:widowControl/>
        <w:autoSpaceDE/>
        <w:autoSpaceDN/>
        <w:adjustRightInd/>
        <w:jc w:val="both"/>
        <w:rPr>
          <w:rFonts w:ascii="Times New Roman" w:eastAsia="Calibri" w:hAnsi="Times New Roman"/>
          <w:b/>
          <w:sz w:val="22"/>
          <w:szCs w:val="22"/>
          <w:u w:val="single"/>
          <w:lang w:val="en-GB"/>
        </w:rPr>
      </w:pPr>
      <w:r w:rsidRPr="00EE1F6B">
        <w:rPr>
          <w:rFonts w:ascii="Times New Roman" w:eastAsia="Calibri" w:hAnsi="Times New Roman"/>
          <w:b/>
          <w:sz w:val="22"/>
          <w:szCs w:val="22"/>
          <w:lang w:val="en-GB"/>
        </w:rPr>
        <w:t>2.</w:t>
      </w:r>
      <w:r w:rsidRPr="00EE1F6B">
        <w:rPr>
          <w:rFonts w:ascii="Times New Roman" w:eastAsia="Calibri" w:hAnsi="Times New Roman"/>
          <w:b/>
          <w:sz w:val="22"/>
          <w:szCs w:val="22"/>
          <w:lang w:val="en-GB"/>
        </w:rPr>
        <w:tab/>
      </w:r>
      <w:r w:rsidRPr="00EE1F6B">
        <w:rPr>
          <w:rFonts w:ascii="Times New Roman" w:eastAsia="Calibri" w:hAnsi="Times New Roman"/>
          <w:b/>
          <w:sz w:val="22"/>
          <w:szCs w:val="22"/>
          <w:u w:val="single"/>
          <w:lang w:val="en-GB"/>
        </w:rPr>
        <w:t>OBJECTIVE</w:t>
      </w:r>
      <w:r w:rsidR="00CA238E" w:rsidRPr="00EE1F6B">
        <w:rPr>
          <w:rFonts w:ascii="Times New Roman" w:eastAsia="Calibri" w:hAnsi="Times New Roman"/>
          <w:b/>
          <w:sz w:val="22"/>
          <w:szCs w:val="22"/>
          <w:u w:val="single"/>
          <w:lang w:val="en-GB"/>
        </w:rPr>
        <w:t>S</w:t>
      </w:r>
      <w:r w:rsidRPr="00EE1F6B">
        <w:rPr>
          <w:rFonts w:ascii="Times New Roman" w:eastAsia="Calibri" w:hAnsi="Times New Roman"/>
          <w:b/>
          <w:sz w:val="22"/>
          <w:szCs w:val="22"/>
          <w:u w:val="single"/>
          <w:lang w:val="en-GB"/>
        </w:rPr>
        <w:t xml:space="preserve"> OF CONSULTANCY</w:t>
      </w:r>
    </w:p>
    <w:p w:rsidR="00EB55B6" w:rsidRPr="00EE1F6B" w:rsidRDefault="00EB55B6" w:rsidP="00B915B3">
      <w:pPr>
        <w:widowControl/>
        <w:autoSpaceDE/>
        <w:autoSpaceDN/>
        <w:adjustRightInd/>
        <w:jc w:val="both"/>
        <w:rPr>
          <w:rFonts w:ascii="Times New Roman" w:eastAsia="Calibri" w:hAnsi="Times New Roman"/>
          <w:b/>
          <w:sz w:val="22"/>
          <w:szCs w:val="22"/>
          <w:lang w:val="en-GB"/>
        </w:rPr>
      </w:pPr>
    </w:p>
    <w:p w:rsidR="002A3F2B" w:rsidRPr="00EE1F6B" w:rsidRDefault="00EB55B6" w:rsidP="00C62BF9">
      <w:pPr>
        <w:pStyle w:val="ListParagraph"/>
        <w:numPr>
          <w:ilvl w:val="1"/>
          <w:numId w:val="20"/>
        </w:numPr>
        <w:ind w:left="720" w:hanging="720"/>
        <w:jc w:val="both"/>
        <w:rPr>
          <w:rFonts w:eastAsia="Calibri"/>
          <w:sz w:val="22"/>
          <w:szCs w:val="22"/>
          <w:lang w:val="en-GB"/>
        </w:rPr>
      </w:pPr>
      <w:r w:rsidRPr="00EE1F6B">
        <w:rPr>
          <w:rFonts w:eastAsia="Calibri"/>
          <w:sz w:val="22"/>
          <w:szCs w:val="22"/>
          <w:lang w:val="en-GB"/>
        </w:rPr>
        <w:t>The objective</w:t>
      </w:r>
      <w:r w:rsidR="002A3F2B" w:rsidRPr="00EE1F6B">
        <w:rPr>
          <w:rFonts w:eastAsia="Calibri"/>
          <w:sz w:val="22"/>
          <w:szCs w:val="22"/>
          <w:lang w:val="en-GB"/>
        </w:rPr>
        <w:t>s</w:t>
      </w:r>
      <w:r w:rsidRPr="00EE1F6B">
        <w:rPr>
          <w:rFonts w:eastAsia="Calibri"/>
          <w:sz w:val="22"/>
          <w:szCs w:val="22"/>
          <w:lang w:val="en-GB"/>
        </w:rPr>
        <w:t xml:space="preserve"> of this consultancy </w:t>
      </w:r>
      <w:r w:rsidR="002A3F2B" w:rsidRPr="00EE1F6B">
        <w:rPr>
          <w:rFonts w:eastAsia="Calibri"/>
          <w:sz w:val="22"/>
          <w:szCs w:val="22"/>
          <w:lang w:val="en-GB"/>
        </w:rPr>
        <w:t>are</w:t>
      </w:r>
      <w:r w:rsidRPr="00EE1F6B">
        <w:rPr>
          <w:rFonts w:eastAsia="Calibri"/>
          <w:sz w:val="22"/>
          <w:szCs w:val="22"/>
          <w:lang w:val="en-GB"/>
        </w:rPr>
        <w:t xml:space="preserve"> </w:t>
      </w:r>
      <w:r w:rsidR="00EE2B2B" w:rsidRPr="00EE1F6B">
        <w:rPr>
          <w:rFonts w:eastAsia="Calibri"/>
          <w:sz w:val="22"/>
          <w:szCs w:val="22"/>
          <w:lang w:val="en-GB"/>
        </w:rPr>
        <w:t>to</w:t>
      </w:r>
      <w:r w:rsidR="002A3F2B" w:rsidRPr="00EE1F6B">
        <w:rPr>
          <w:rFonts w:eastAsia="Calibri"/>
          <w:sz w:val="22"/>
          <w:szCs w:val="22"/>
          <w:lang w:val="en-GB"/>
        </w:rPr>
        <w:t>:</w:t>
      </w:r>
    </w:p>
    <w:p w:rsidR="002A3F2B" w:rsidRPr="00EE1F6B" w:rsidRDefault="002A3F2B" w:rsidP="00B915B3">
      <w:pPr>
        <w:jc w:val="both"/>
        <w:rPr>
          <w:rFonts w:ascii="Times New Roman" w:eastAsia="Calibri" w:hAnsi="Times New Roman"/>
          <w:sz w:val="22"/>
          <w:szCs w:val="22"/>
          <w:lang w:val="en-GB"/>
        </w:rPr>
      </w:pPr>
    </w:p>
    <w:p w:rsidR="00CD61BB" w:rsidRPr="00EE1F6B" w:rsidRDefault="00CD61BB" w:rsidP="00C62BF9">
      <w:pPr>
        <w:pStyle w:val="ListParagraph"/>
        <w:numPr>
          <w:ilvl w:val="0"/>
          <w:numId w:val="19"/>
        </w:numPr>
        <w:ind w:left="1440" w:hanging="720"/>
        <w:jc w:val="both"/>
        <w:rPr>
          <w:rFonts w:eastAsia="Calibri"/>
          <w:sz w:val="22"/>
          <w:szCs w:val="22"/>
          <w:lang w:val="en-GB"/>
        </w:rPr>
      </w:pPr>
      <w:r w:rsidRPr="00EE1F6B">
        <w:rPr>
          <w:rFonts w:eastAsia="Calibri"/>
          <w:sz w:val="22"/>
          <w:szCs w:val="22"/>
          <w:lang w:val="en-GB"/>
        </w:rPr>
        <w:t>develop</w:t>
      </w:r>
      <w:r w:rsidR="00E065C5" w:rsidRPr="00EE1F6B">
        <w:rPr>
          <w:rFonts w:eastAsia="Calibri"/>
          <w:sz w:val="22"/>
          <w:szCs w:val="22"/>
          <w:lang w:val="en-GB"/>
        </w:rPr>
        <w:t xml:space="preserve"> a framework for supporting </w:t>
      </w:r>
      <w:r w:rsidR="00A85FEE" w:rsidRPr="00EE1F6B">
        <w:rPr>
          <w:rFonts w:eastAsia="Calibri"/>
          <w:sz w:val="22"/>
          <w:szCs w:val="22"/>
          <w:lang w:val="en-GB"/>
        </w:rPr>
        <w:t>exi</w:t>
      </w:r>
      <w:r w:rsidR="00CF3B9D">
        <w:rPr>
          <w:rFonts w:eastAsia="Calibri"/>
          <w:sz w:val="22"/>
          <w:szCs w:val="22"/>
          <w:lang w:val="en-GB"/>
        </w:rPr>
        <w:t>s</w:t>
      </w:r>
      <w:r w:rsidR="00A85FEE" w:rsidRPr="00EE1F6B">
        <w:rPr>
          <w:rFonts w:eastAsia="Calibri"/>
          <w:sz w:val="22"/>
          <w:szCs w:val="22"/>
          <w:lang w:val="en-GB"/>
        </w:rPr>
        <w:t xml:space="preserve">ting </w:t>
      </w:r>
      <w:r w:rsidR="00E065C5" w:rsidRPr="00EE1F6B">
        <w:rPr>
          <w:rFonts w:eastAsia="Calibri"/>
          <w:sz w:val="22"/>
          <w:szCs w:val="22"/>
          <w:lang w:val="en-GB"/>
        </w:rPr>
        <w:t>national PCGS in CDB’s BMCs</w:t>
      </w:r>
      <w:r w:rsidR="00A85FEE" w:rsidRPr="00EE1F6B">
        <w:rPr>
          <w:rFonts w:eastAsia="Calibri"/>
          <w:sz w:val="22"/>
          <w:szCs w:val="22"/>
          <w:lang w:val="en-GB"/>
        </w:rPr>
        <w:t xml:space="preserve"> including</w:t>
      </w:r>
      <w:r w:rsidRPr="00EE1F6B">
        <w:rPr>
          <w:rFonts w:eastAsia="Calibri"/>
          <w:sz w:val="22"/>
          <w:szCs w:val="22"/>
          <w:lang w:val="en-GB"/>
        </w:rPr>
        <w:t xml:space="preserve"> </w:t>
      </w:r>
      <w:r w:rsidR="00A85FEE" w:rsidRPr="00EE1F6B">
        <w:rPr>
          <w:rFonts w:eastAsia="Calibri"/>
          <w:sz w:val="22"/>
          <w:szCs w:val="22"/>
          <w:lang w:val="en-GB"/>
        </w:rPr>
        <w:t>resourcing</w:t>
      </w:r>
      <w:r w:rsidRPr="00EE1F6B">
        <w:rPr>
          <w:rFonts w:eastAsia="Calibri"/>
          <w:sz w:val="22"/>
          <w:szCs w:val="22"/>
          <w:lang w:val="en-GB"/>
        </w:rPr>
        <w:t>, TA requirements to support the enabling environment and capacity building</w:t>
      </w:r>
      <w:r w:rsidR="00357AAB" w:rsidRPr="00EE1F6B">
        <w:rPr>
          <w:rFonts w:eastAsia="Calibri"/>
          <w:sz w:val="22"/>
          <w:szCs w:val="22"/>
          <w:lang w:val="en-GB"/>
        </w:rPr>
        <w:t xml:space="preserve"> needs</w:t>
      </w:r>
      <w:r w:rsidR="00544FCC" w:rsidRPr="00EE1F6B">
        <w:rPr>
          <w:rFonts w:eastAsia="Calibri"/>
          <w:sz w:val="22"/>
          <w:szCs w:val="22"/>
          <w:lang w:val="en-GB"/>
        </w:rPr>
        <w:t>; and</w:t>
      </w:r>
      <w:r w:rsidRPr="00EE1F6B">
        <w:rPr>
          <w:rFonts w:eastAsia="Calibri"/>
          <w:sz w:val="22"/>
          <w:szCs w:val="22"/>
          <w:lang w:val="en-GB"/>
        </w:rPr>
        <w:t xml:space="preserve"> </w:t>
      </w:r>
    </w:p>
    <w:p w:rsidR="00A85FEE" w:rsidRPr="00EE1F6B" w:rsidRDefault="00A85FEE" w:rsidP="001D1886">
      <w:pPr>
        <w:pStyle w:val="ListParagraph"/>
        <w:ind w:left="1080"/>
        <w:jc w:val="both"/>
        <w:rPr>
          <w:rFonts w:eastAsia="Calibri"/>
          <w:sz w:val="22"/>
          <w:szCs w:val="22"/>
          <w:lang w:val="en-GB"/>
        </w:rPr>
      </w:pPr>
    </w:p>
    <w:p w:rsidR="002A3F2B" w:rsidRPr="00EE1F6B" w:rsidRDefault="00AF4FE6" w:rsidP="00C62BF9">
      <w:pPr>
        <w:pStyle w:val="ListParagraph"/>
        <w:numPr>
          <w:ilvl w:val="0"/>
          <w:numId w:val="19"/>
        </w:numPr>
        <w:ind w:left="1440" w:hanging="720"/>
        <w:jc w:val="both"/>
        <w:rPr>
          <w:rFonts w:eastAsia="Calibri"/>
          <w:sz w:val="22"/>
          <w:szCs w:val="22"/>
          <w:lang w:val="en-GB"/>
        </w:rPr>
      </w:pPr>
      <w:r w:rsidRPr="00EE1F6B">
        <w:rPr>
          <w:rFonts w:eastAsia="Calibri"/>
          <w:sz w:val="22"/>
          <w:szCs w:val="22"/>
          <w:lang w:val="en-GB"/>
        </w:rPr>
        <w:lastRenderedPageBreak/>
        <w:t xml:space="preserve">design </w:t>
      </w:r>
      <w:r w:rsidR="00EE2B2B" w:rsidRPr="00EE1F6B">
        <w:rPr>
          <w:rFonts w:eastAsia="Calibri"/>
          <w:sz w:val="22"/>
          <w:szCs w:val="22"/>
          <w:lang w:val="en-GB"/>
        </w:rPr>
        <w:t>a</w:t>
      </w:r>
      <w:r w:rsidR="00544FCC" w:rsidRPr="00EE1F6B">
        <w:rPr>
          <w:rFonts w:eastAsia="Calibri"/>
          <w:sz w:val="22"/>
          <w:szCs w:val="22"/>
          <w:lang w:val="en-GB"/>
        </w:rPr>
        <w:t>n appropriate</w:t>
      </w:r>
      <w:r w:rsidR="00EE2B2B" w:rsidRPr="00EE1F6B">
        <w:rPr>
          <w:rFonts w:eastAsia="Calibri"/>
          <w:sz w:val="22"/>
          <w:szCs w:val="22"/>
          <w:lang w:val="en-GB"/>
        </w:rPr>
        <w:t xml:space="preserve"> </w:t>
      </w:r>
      <w:r w:rsidR="0029575D" w:rsidRPr="00EE1F6B">
        <w:rPr>
          <w:rFonts w:eastAsia="Calibri"/>
          <w:sz w:val="22"/>
          <w:szCs w:val="22"/>
          <w:lang w:val="en-GB"/>
        </w:rPr>
        <w:t>R</w:t>
      </w:r>
      <w:r w:rsidR="002A3F2B" w:rsidRPr="00EE1F6B">
        <w:rPr>
          <w:rFonts w:eastAsia="Calibri"/>
          <w:sz w:val="22"/>
          <w:szCs w:val="22"/>
          <w:lang w:val="en-GB"/>
        </w:rPr>
        <w:t>PCGS,</w:t>
      </w:r>
      <w:r w:rsidR="00A85FEE" w:rsidRPr="00EE1F6B">
        <w:rPr>
          <w:rFonts w:eastAsia="Calibri"/>
          <w:sz w:val="22"/>
          <w:szCs w:val="22"/>
          <w:lang w:val="en-GB"/>
        </w:rPr>
        <w:t xml:space="preserve"> </w:t>
      </w:r>
      <w:r w:rsidR="001F5654" w:rsidRPr="00EE1F6B">
        <w:rPr>
          <w:rFonts w:eastAsia="Calibri"/>
          <w:sz w:val="22"/>
          <w:szCs w:val="22"/>
          <w:lang w:val="en-GB"/>
        </w:rPr>
        <w:t>with the requisite</w:t>
      </w:r>
      <w:r w:rsidR="00EE2B2B" w:rsidRPr="00EE1F6B">
        <w:rPr>
          <w:rFonts w:eastAsia="Calibri"/>
          <w:sz w:val="22"/>
          <w:szCs w:val="22"/>
          <w:lang w:val="en-GB"/>
        </w:rPr>
        <w:t xml:space="preserve"> </w:t>
      </w:r>
      <w:r w:rsidR="00357AAB" w:rsidRPr="00EE1F6B">
        <w:rPr>
          <w:rFonts w:eastAsia="Calibri"/>
          <w:sz w:val="22"/>
          <w:szCs w:val="22"/>
          <w:lang w:val="en-GB"/>
        </w:rPr>
        <w:t>administrative</w:t>
      </w:r>
      <w:r w:rsidR="00544FCC" w:rsidRPr="00EE1F6B">
        <w:rPr>
          <w:rFonts w:eastAsia="Calibri"/>
          <w:sz w:val="22"/>
          <w:szCs w:val="22"/>
          <w:lang w:val="en-GB"/>
        </w:rPr>
        <w:t>,</w:t>
      </w:r>
      <w:r w:rsidR="00357AAB" w:rsidRPr="00EE1F6B">
        <w:rPr>
          <w:rFonts w:eastAsia="Calibri"/>
          <w:sz w:val="22"/>
          <w:szCs w:val="22"/>
          <w:lang w:val="en-GB"/>
        </w:rPr>
        <w:t xml:space="preserve"> </w:t>
      </w:r>
      <w:r w:rsidR="00EE2B2B" w:rsidRPr="00EE1F6B">
        <w:rPr>
          <w:rFonts w:eastAsia="Calibri"/>
          <w:sz w:val="22"/>
          <w:szCs w:val="22"/>
          <w:lang w:val="en-GB"/>
        </w:rPr>
        <w:t xml:space="preserve">operating </w:t>
      </w:r>
      <w:r w:rsidR="00544FCC" w:rsidRPr="00EE1F6B">
        <w:rPr>
          <w:rFonts w:eastAsia="Calibri"/>
          <w:sz w:val="22"/>
          <w:szCs w:val="22"/>
          <w:lang w:val="en-GB"/>
        </w:rPr>
        <w:t xml:space="preserve">and risk management </w:t>
      </w:r>
      <w:r w:rsidR="0052048F" w:rsidRPr="00EE1F6B">
        <w:rPr>
          <w:rFonts w:eastAsia="Calibri"/>
          <w:sz w:val="22"/>
          <w:szCs w:val="22"/>
          <w:lang w:val="en-GB"/>
        </w:rPr>
        <w:t>structure</w:t>
      </w:r>
      <w:r w:rsidRPr="00EE1F6B">
        <w:rPr>
          <w:rFonts w:eastAsia="Calibri"/>
          <w:sz w:val="22"/>
          <w:szCs w:val="22"/>
          <w:lang w:val="en-GB"/>
        </w:rPr>
        <w:t>s</w:t>
      </w:r>
      <w:r w:rsidR="00357AAB" w:rsidRPr="00EE1F6B">
        <w:rPr>
          <w:rFonts w:eastAsia="Calibri"/>
          <w:sz w:val="22"/>
          <w:szCs w:val="22"/>
          <w:lang w:val="en-GB"/>
        </w:rPr>
        <w:t xml:space="preserve"> including, identification of resourcing requirements, legal and regulatory framework,</w:t>
      </w:r>
      <w:r w:rsidR="0052048F" w:rsidRPr="00EE1F6B">
        <w:rPr>
          <w:rFonts w:eastAsia="Calibri"/>
          <w:sz w:val="22"/>
          <w:szCs w:val="22"/>
          <w:lang w:val="en-GB"/>
        </w:rPr>
        <w:t xml:space="preserve"> </w:t>
      </w:r>
      <w:r w:rsidR="00357AAB" w:rsidRPr="00EE1F6B">
        <w:rPr>
          <w:rFonts w:eastAsia="Calibri"/>
          <w:sz w:val="22"/>
          <w:szCs w:val="22"/>
          <w:lang w:val="en-GB"/>
        </w:rPr>
        <w:t xml:space="preserve">sustainability to plan and linkages with </w:t>
      </w:r>
      <w:r w:rsidR="001F5654" w:rsidRPr="00EE1F6B">
        <w:rPr>
          <w:rFonts w:eastAsia="Calibri"/>
          <w:sz w:val="22"/>
          <w:szCs w:val="22"/>
          <w:lang w:val="en-GB"/>
        </w:rPr>
        <w:t>national PCGS in CDB’s BMCs</w:t>
      </w:r>
      <w:r w:rsidR="00C62BF9" w:rsidRPr="00EE1F6B">
        <w:rPr>
          <w:rFonts w:eastAsia="Calibri"/>
          <w:sz w:val="22"/>
          <w:szCs w:val="22"/>
          <w:lang w:val="en-GB"/>
        </w:rPr>
        <w:t>.</w:t>
      </w:r>
      <w:r w:rsidR="0052048F" w:rsidRPr="00EE1F6B">
        <w:rPr>
          <w:rFonts w:eastAsia="Calibri"/>
          <w:sz w:val="22"/>
          <w:szCs w:val="22"/>
          <w:lang w:val="en-GB"/>
        </w:rPr>
        <w:t xml:space="preserve"> </w:t>
      </w:r>
    </w:p>
    <w:p w:rsidR="00EB55B6" w:rsidRPr="00EE1F6B" w:rsidRDefault="00EB55B6" w:rsidP="00B915B3">
      <w:pPr>
        <w:jc w:val="both"/>
        <w:rPr>
          <w:rFonts w:ascii="Times New Roman" w:eastAsia="Calibri" w:hAnsi="Times New Roman"/>
          <w:b/>
          <w:sz w:val="22"/>
          <w:szCs w:val="22"/>
          <w:lang w:val="en-GB"/>
        </w:rPr>
      </w:pPr>
    </w:p>
    <w:p w:rsidR="00EB55B6" w:rsidRPr="00EE1F6B" w:rsidRDefault="00EB55B6" w:rsidP="00FC4B5C">
      <w:pPr>
        <w:widowControl/>
        <w:autoSpaceDE/>
        <w:autoSpaceDN/>
        <w:adjustRightInd/>
        <w:jc w:val="both"/>
        <w:rPr>
          <w:rFonts w:ascii="Times New Roman" w:eastAsia="Calibri" w:hAnsi="Times New Roman"/>
          <w:b/>
          <w:sz w:val="22"/>
          <w:szCs w:val="22"/>
          <w:u w:val="single"/>
          <w:lang w:val="en-GB"/>
        </w:rPr>
      </w:pPr>
      <w:r w:rsidRPr="00EE1F6B">
        <w:rPr>
          <w:rFonts w:ascii="Times New Roman" w:eastAsia="Calibri" w:hAnsi="Times New Roman"/>
          <w:b/>
          <w:sz w:val="22"/>
          <w:szCs w:val="22"/>
          <w:lang w:val="en-GB"/>
        </w:rPr>
        <w:t>3.</w:t>
      </w:r>
      <w:r w:rsidRPr="00EE1F6B">
        <w:rPr>
          <w:rFonts w:ascii="Times New Roman" w:eastAsia="Calibri" w:hAnsi="Times New Roman"/>
          <w:b/>
          <w:sz w:val="22"/>
          <w:szCs w:val="22"/>
          <w:lang w:val="en-GB"/>
        </w:rPr>
        <w:tab/>
      </w:r>
      <w:r w:rsidRPr="00EE1F6B">
        <w:rPr>
          <w:rFonts w:ascii="Times New Roman" w:eastAsia="Calibri" w:hAnsi="Times New Roman"/>
          <w:b/>
          <w:sz w:val="22"/>
          <w:szCs w:val="22"/>
          <w:u w:val="single"/>
          <w:lang w:val="en-GB"/>
        </w:rPr>
        <w:t>SCOPE OF SERVICES</w:t>
      </w:r>
    </w:p>
    <w:p w:rsidR="00EB55B6" w:rsidRPr="00EE1F6B" w:rsidRDefault="00EB55B6" w:rsidP="00FC4B5C">
      <w:pPr>
        <w:widowControl/>
        <w:autoSpaceDE/>
        <w:autoSpaceDN/>
        <w:adjustRightInd/>
        <w:jc w:val="both"/>
        <w:rPr>
          <w:rFonts w:ascii="Times New Roman" w:eastAsia="Calibri" w:hAnsi="Times New Roman"/>
          <w:b/>
          <w:sz w:val="22"/>
          <w:szCs w:val="22"/>
          <w:lang w:val="en-GB"/>
        </w:rPr>
      </w:pPr>
    </w:p>
    <w:p w:rsidR="00EB55B6" w:rsidRPr="00EE1F6B" w:rsidRDefault="0052048F" w:rsidP="00FC4B5C">
      <w:pPr>
        <w:pStyle w:val="ListParagraph"/>
        <w:numPr>
          <w:ilvl w:val="1"/>
          <w:numId w:val="4"/>
        </w:numPr>
        <w:ind w:left="0" w:firstLine="0"/>
        <w:jc w:val="both"/>
        <w:rPr>
          <w:rFonts w:eastAsia="Calibri"/>
          <w:sz w:val="22"/>
          <w:szCs w:val="22"/>
          <w:lang w:val="en-GB"/>
        </w:rPr>
      </w:pPr>
      <w:r w:rsidRPr="00EE1F6B">
        <w:rPr>
          <w:rFonts w:eastAsia="Calibri"/>
          <w:sz w:val="22"/>
          <w:szCs w:val="22"/>
          <w:lang w:val="en-GB"/>
        </w:rPr>
        <w:t xml:space="preserve">The </w:t>
      </w:r>
      <w:r w:rsidR="00612EDA" w:rsidRPr="00EE1F6B">
        <w:rPr>
          <w:sz w:val="22"/>
          <w:szCs w:val="22"/>
          <w:lang w:val="en-GB"/>
        </w:rPr>
        <w:t xml:space="preserve">scope of work is understood to cover all the activities necessary to accomplish the stated objectives of the </w:t>
      </w:r>
      <w:r w:rsidR="001F5654" w:rsidRPr="00EE1F6B">
        <w:rPr>
          <w:sz w:val="22"/>
          <w:szCs w:val="22"/>
          <w:lang w:val="en-GB"/>
        </w:rPr>
        <w:t>consultancy</w:t>
      </w:r>
      <w:r w:rsidR="008038EC" w:rsidRPr="00EE1F6B">
        <w:rPr>
          <w:sz w:val="22"/>
          <w:szCs w:val="22"/>
          <w:lang w:val="en-GB"/>
        </w:rPr>
        <w:t>,</w:t>
      </w:r>
      <w:r w:rsidR="00612EDA" w:rsidRPr="00EE1F6B">
        <w:rPr>
          <w:sz w:val="22"/>
          <w:szCs w:val="22"/>
          <w:lang w:val="en-GB"/>
        </w:rPr>
        <w:t xml:space="preserve"> including but not limited to the following</w:t>
      </w:r>
      <w:r w:rsidR="00BB34F1" w:rsidRPr="00EE1F6B">
        <w:rPr>
          <w:sz w:val="22"/>
          <w:szCs w:val="22"/>
          <w:lang w:val="en-GB"/>
        </w:rPr>
        <w:t xml:space="preserve"> </w:t>
      </w:r>
      <w:r w:rsidR="00757619" w:rsidRPr="00EE1F6B">
        <w:rPr>
          <w:sz w:val="22"/>
          <w:szCs w:val="22"/>
          <w:lang w:val="en-GB"/>
        </w:rPr>
        <w:t>three (</w:t>
      </w:r>
      <w:r w:rsidR="00BB34F1" w:rsidRPr="00EE1F6B">
        <w:rPr>
          <w:sz w:val="22"/>
          <w:szCs w:val="22"/>
          <w:lang w:val="en-GB"/>
        </w:rPr>
        <w:t>3</w:t>
      </w:r>
      <w:r w:rsidR="00757619" w:rsidRPr="00EE1F6B">
        <w:rPr>
          <w:sz w:val="22"/>
          <w:szCs w:val="22"/>
          <w:lang w:val="en-GB"/>
        </w:rPr>
        <w:t>)</w:t>
      </w:r>
      <w:r w:rsidR="00BB34F1" w:rsidRPr="00EE1F6B">
        <w:rPr>
          <w:sz w:val="22"/>
          <w:szCs w:val="22"/>
          <w:lang w:val="en-GB"/>
        </w:rPr>
        <w:t xml:space="preserve"> components</w:t>
      </w:r>
      <w:r w:rsidR="00EB55B6" w:rsidRPr="00EE1F6B">
        <w:rPr>
          <w:rFonts w:eastAsia="Calibri"/>
          <w:sz w:val="22"/>
          <w:szCs w:val="22"/>
          <w:lang w:val="en-GB"/>
        </w:rPr>
        <w:t>:</w:t>
      </w:r>
    </w:p>
    <w:p w:rsidR="00EB55B6" w:rsidRPr="00EE1F6B" w:rsidRDefault="00EB55B6" w:rsidP="00FC4B5C">
      <w:pPr>
        <w:jc w:val="both"/>
        <w:rPr>
          <w:rFonts w:ascii="Times New Roman" w:eastAsia="Calibri" w:hAnsi="Times New Roman"/>
          <w:sz w:val="22"/>
          <w:szCs w:val="22"/>
          <w:lang w:val="en-GB"/>
        </w:rPr>
      </w:pPr>
    </w:p>
    <w:p w:rsidR="00C04467" w:rsidRPr="00EE1F6B" w:rsidRDefault="00C04467" w:rsidP="00337177">
      <w:pPr>
        <w:ind w:left="720"/>
        <w:jc w:val="both"/>
        <w:rPr>
          <w:rFonts w:ascii="Times New Roman" w:hAnsi="Times New Roman"/>
          <w:b/>
          <w:color w:val="000000" w:themeColor="text1"/>
          <w:sz w:val="22"/>
          <w:szCs w:val="22"/>
        </w:rPr>
      </w:pPr>
      <w:r w:rsidRPr="00EE1F6B">
        <w:rPr>
          <w:rFonts w:ascii="Times New Roman" w:hAnsi="Times New Roman"/>
          <w:b/>
          <w:color w:val="000000" w:themeColor="text1"/>
          <w:sz w:val="22"/>
          <w:szCs w:val="22"/>
        </w:rPr>
        <w:t>Component 1:</w:t>
      </w:r>
    </w:p>
    <w:p w:rsidR="00C04467" w:rsidRPr="00EE1F6B" w:rsidRDefault="00C04467" w:rsidP="00FC4B5C">
      <w:pPr>
        <w:jc w:val="both"/>
        <w:rPr>
          <w:rFonts w:ascii="Times New Roman" w:hAnsi="Times New Roman"/>
          <w:color w:val="000000" w:themeColor="text1"/>
          <w:sz w:val="22"/>
          <w:szCs w:val="22"/>
        </w:rPr>
      </w:pPr>
    </w:p>
    <w:p w:rsidR="00B915B3" w:rsidRPr="00EE1F6B" w:rsidRDefault="00B915B3" w:rsidP="00FC4B5C">
      <w:pPr>
        <w:pStyle w:val="ListParagraph"/>
        <w:numPr>
          <w:ilvl w:val="0"/>
          <w:numId w:val="10"/>
        </w:numPr>
        <w:ind w:left="1440" w:hanging="720"/>
        <w:jc w:val="both"/>
        <w:rPr>
          <w:color w:val="000000" w:themeColor="text1"/>
          <w:sz w:val="22"/>
          <w:szCs w:val="22"/>
        </w:rPr>
      </w:pPr>
      <w:r w:rsidRPr="00EE1F6B">
        <w:rPr>
          <w:color w:val="000000" w:themeColor="text1"/>
          <w:sz w:val="22"/>
          <w:szCs w:val="22"/>
        </w:rPr>
        <w:t>Conduct consultations with relevant departments within CDB, national agencies (governmental and business support)</w:t>
      </w:r>
      <w:r w:rsidR="008038EC" w:rsidRPr="00EE1F6B">
        <w:rPr>
          <w:color w:val="000000" w:themeColor="text1"/>
          <w:sz w:val="22"/>
          <w:szCs w:val="22"/>
        </w:rPr>
        <w:t>,</w:t>
      </w:r>
      <w:r w:rsidRPr="00EE1F6B">
        <w:rPr>
          <w:color w:val="000000" w:themeColor="text1"/>
          <w:sz w:val="22"/>
          <w:szCs w:val="22"/>
        </w:rPr>
        <w:t xml:space="preserve"> and FIs that will potentially form the ecosystem for establishing and administering the facility. </w:t>
      </w:r>
    </w:p>
    <w:p w:rsidR="00B915B3" w:rsidRPr="00EE1F6B" w:rsidRDefault="00B915B3" w:rsidP="00FC4B5C">
      <w:pPr>
        <w:pStyle w:val="ListParagraph"/>
        <w:ind w:left="810"/>
        <w:jc w:val="both"/>
        <w:rPr>
          <w:color w:val="000000" w:themeColor="text1"/>
          <w:sz w:val="22"/>
          <w:szCs w:val="22"/>
        </w:rPr>
      </w:pPr>
    </w:p>
    <w:p w:rsidR="00757619" w:rsidRPr="00EE1F6B" w:rsidRDefault="0088089A" w:rsidP="00FC4B5C">
      <w:pPr>
        <w:pStyle w:val="ListParagraph"/>
        <w:numPr>
          <w:ilvl w:val="0"/>
          <w:numId w:val="10"/>
        </w:numPr>
        <w:ind w:left="1440" w:hanging="720"/>
        <w:jc w:val="both"/>
        <w:rPr>
          <w:color w:val="000000" w:themeColor="text1"/>
          <w:sz w:val="22"/>
          <w:szCs w:val="22"/>
        </w:rPr>
      </w:pPr>
      <w:r w:rsidRPr="00EE1F6B">
        <w:rPr>
          <w:color w:val="000000" w:themeColor="text1"/>
          <w:sz w:val="22"/>
          <w:szCs w:val="22"/>
        </w:rPr>
        <w:t xml:space="preserve">Conduct a </w:t>
      </w:r>
      <w:r w:rsidR="00262ABE" w:rsidRPr="00EE1F6B">
        <w:rPr>
          <w:color w:val="000000" w:themeColor="text1"/>
          <w:sz w:val="22"/>
          <w:szCs w:val="22"/>
        </w:rPr>
        <w:t xml:space="preserve">detailed review </w:t>
      </w:r>
      <w:r w:rsidR="0052048F" w:rsidRPr="00EE1F6B">
        <w:rPr>
          <w:color w:val="000000" w:themeColor="text1"/>
          <w:sz w:val="22"/>
          <w:szCs w:val="22"/>
        </w:rPr>
        <w:t xml:space="preserve">of </w:t>
      </w:r>
      <w:r w:rsidR="00C04467" w:rsidRPr="00EE1F6B">
        <w:rPr>
          <w:color w:val="000000" w:themeColor="text1"/>
          <w:sz w:val="22"/>
          <w:szCs w:val="22"/>
        </w:rPr>
        <w:t xml:space="preserve">existing </w:t>
      </w:r>
      <w:r w:rsidR="0052048F" w:rsidRPr="00EE1F6B">
        <w:rPr>
          <w:color w:val="000000" w:themeColor="text1"/>
          <w:sz w:val="22"/>
          <w:szCs w:val="22"/>
        </w:rPr>
        <w:t xml:space="preserve">MSME Credit Guarantee Schemes </w:t>
      </w:r>
      <w:r w:rsidR="00990583" w:rsidRPr="00EE1F6B">
        <w:rPr>
          <w:color w:val="000000" w:themeColor="text1"/>
          <w:sz w:val="22"/>
          <w:szCs w:val="22"/>
        </w:rPr>
        <w:t>in</w:t>
      </w:r>
      <w:r w:rsidR="0052048F" w:rsidRPr="00EE1F6B">
        <w:rPr>
          <w:color w:val="000000" w:themeColor="text1"/>
          <w:sz w:val="22"/>
          <w:szCs w:val="22"/>
        </w:rPr>
        <w:t xml:space="preserve"> CDB’s </w:t>
      </w:r>
      <w:r w:rsidR="00C04467" w:rsidRPr="00EE1F6B">
        <w:rPr>
          <w:color w:val="000000" w:themeColor="text1"/>
          <w:sz w:val="22"/>
          <w:szCs w:val="22"/>
        </w:rPr>
        <w:t>BMCs</w:t>
      </w:r>
      <w:r w:rsidR="00A95A27" w:rsidRPr="00EE1F6B">
        <w:rPr>
          <w:color w:val="000000" w:themeColor="text1"/>
          <w:sz w:val="22"/>
          <w:szCs w:val="22"/>
        </w:rPr>
        <w:t>, including other regional PCGS</w:t>
      </w:r>
      <w:r w:rsidR="00C04467" w:rsidRPr="00EE1F6B">
        <w:rPr>
          <w:color w:val="000000" w:themeColor="text1"/>
          <w:sz w:val="22"/>
          <w:szCs w:val="22"/>
        </w:rPr>
        <w:t xml:space="preserve"> to</w:t>
      </w:r>
      <w:r w:rsidR="00262ABE" w:rsidRPr="00EE1F6B">
        <w:rPr>
          <w:color w:val="000000" w:themeColor="text1"/>
          <w:sz w:val="22"/>
          <w:szCs w:val="22"/>
        </w:rPr>
        <w:t xml:space="preserve"> understand</w:t>
      </w:r>
      <w:r w:rsidR="00A17265" w:rsidRPr="00EE1F6B">
        <w:rPr>
          <w:color w:val="000000" w:themeColor="text1"/>
          <w:sz w:val="22"/>
          <w:szCs w:val="22"/>
        </w:rPr>
        <w:t xml:space="preserve"> </w:t>
      </w:r>
      <w:r w:rsidR="00DF57A4" w:rsidRPr="00EE1F6B">
        <w:rPr>
          <w:color w:val="000000" w:themeColor="text1"/>
          <w:sz w:val="22"/>
          <w:szCs w:val="22"/>
        </w:rPr>
        <w:t>the</w:t>
      </w:r>
      <w:r w:rsidR="00262ABE" w:rsidRPr="00EE1F6B">
        <w:rPr>
          <w:color w:val="000000" w:themeColor="text1"/>
          <w:sz w:val="22"/>
          <w:szCs w:val="22"/>
        </w:rPr>
        <w:t xml:space="preserve"> lessons learned </w:t>
      </w:r>
      <w:r w:rsidR="00DF57A4" w:rsidRPr="00EE1F6B">
        <w:rPr>
          <w:color w:val="000000" w:themeColor="text1"/>
          <w:sz w:val="22"/>
          <w:szCs w:val="22"/>
        </w:rPr>
        <w:t xml:space="preserve">in setting up existing facilities, </w:t>
      </w:r>
      <w:r w:rsidR="007D1364" w:rsidRPr="00EE1F6B">
        <w:rPr>
          <w:color w:val="000000" w:themeColor="text1"/>
          <w:sz w:val="22"/>
          <w:szCs w:val="22"/>
        </w:rPr>
        <w:t xml:space="preserve">identify </w:t>
      </w:r>
      <w:r w:rsidR="00A00095" w:rsidRPr="00EE1F6B">
        <w:rPr>
          <w:color w:val="000000" w:themeColor="text1"/>
          <w:sz w:val="22"/>
          <w:szCs w:val="22"/>
        </w:rPr>
        <w:t>gaps</w:t>
      </w:r>
      <w:r w:rsidR="007D1364" w:rsidRPr="00EE1F6B">
        <w:rPr>
          <w:color w:val="000000" w:themeColor="text1"/>
          <w:sz w:val="22"/>
          <w:szCs w:val="22"/>
        </w:rPr>
        <w:t xml:space="preserve"> and</w:t>
      </w:r>
      <w:r w:rsidR="00A00095" w:rsidRPr="00EE1F6B">
        <w:rPr>
          <w:color w:val="000000" w:themeColor="text1"/>
          <w:sz w:val="22"/>
          <w:szCs w:val="22"/>
        </w:rPr>
        <w:t xml:space="preserve"> possible linkages, </w:t>
      </w:r>
      <w:r w:rsidR="00267029" w:rsidRPr="00EE1F6B">
        <w:rPr>
          <w:color w:val="000000" w:themeColor="text1"/>
          <w:sz w:val="22"/>
          <w:szCs w:val="22"/>
        </w:rPr>
        <w:t>ascertain</w:t>
      </w:r>
      <w:r w:rsidR="007D1364" w:rsidRPr="00EE1F6B">
        <w:rPr>
          <w:color w:val="000000" w:themeColor="text1"/>
          <w:sz w:val="22"/>
          <w:szCs w:val="22"/>
        </w:rPr>
        <w:t xml:space="preserve"> </w:t>
      </w:r>
      <w:r w:rsidR="00DF57A4" w:rsidRPr="00EE1F6B">
        <w:rPr>
          <w:color w:val="000000" w:themeColor="text1"/>
          <w:sz w:val="22"/>
          <w:szCs w:val="22"/>
        </w:rPr>
        <w:t xml:space="preserve">resourcing requirements, </w:t>
      </w:r>
      <w:r w:rsidR="007D1364" w:rsidRPr="00EE1F6B">
        <w:rPr>
          <w:color w:val="000000" w:themeColor="text1"/>
          <w:sz w:val="22"/>
          <w:szCs w:val="22"/>
        </w:rPr>
        <w:t xml:space="preserve">assess the </w:t>
      </w:r>
      <w:r w:rsidR="00DF57A4" w:rsidRPr="00EE1F6B">
        <w:rPr>
          <w:color w:val="000000" w:themeColor="text1"/>
          <w:sz w:val="22"/>
          <w:szCs w:val="22"/>
        </w:rPr>
        <w:t>enabling environment</w:t>
      </w:r>
      <w:r w:rsidR="007D1364" w:rsidRPr="00EE1F6B">
        <w:rPr>
          <w:color w:val="000000" w:themeColor="text1"/>
          <w:sz w:val="22"/>
          <w:szCs w:val="22"/>
        </w:rPr>
        <w:t>,</w:t>
      </w:r>
      <w:r w:rsidR="0085715D" w:rsidRPr="00EE1F6B">
        <w:rPr>
          <w:color w:val="000000" w:themeColor="text1"/>
          <w:sz w:val="22"/>
          <w:szCs w:val="22"/>
        </w:rPr>
        <w:t xml:space="preserve"> including the existence of credit bureau </w:t>
      </w:r>
      <w:r w:rsidR="00DF57A4" w:rsidRPr="00EE1F6B">
        <w:rPr>
          <w:color w:val="000000" w:themeColor="text1"/>
          <w:sz w:val="22"/>
          <w:szCs w:val="22"/>
        </w:rPr>
        <w:t xml:space="preserve">and uptake </w:t>
      </w:r>
      <w:r w:rsidR="00A17265" w:rsidRPr="00EE1F6B">
        <w:rPr>
          <w:color w:val="000000" w:themeColor="text1"/>
          <w:sz w:val="22"/>
          <w:szCs w:val="22"/>
        </w:rPr>
        <w:t>of each</w:t>
      </w:r>
      <w:r w:rsidR="00DF57A4" w:rsidRPr="00EE1F6B">
        <w:rPr>
          <w:color w:val="000000" w:themeColor="text1"/>
          <w:sz w:val="22"/>
          <w:szCs w:val="22"/>
        </w:rPr>
        <w:t xml:space="preserve"> facility.  </w:t>
      </w:r>
      <w:r w:rsidR="00A17265" w:rsidRPr="00EE1F6B">
        <w:rPr>
          <w:color w:val="000000" w:themeColor="text1"/>
          <w:sz w:val="22"/>
          <w:szCs w:val="22"/>
        </w:rPr>
        <w:t xml:space="preserve">Additionally, the review should include an </w:t>
      </w:r>
      <w:r w:rsidR="00A00095" w:rsidRPr="00EE1F6B">
        <w:rPr>
          <w:color w:val="000000" w:themeColor="text1"/>
          <w:sz w:val="22"/>
          <w:szCs w:val="22"/>
        </w:rPr>
        <w:t xml:space="preserve">assessment </w:t>
      </w:r>
      <w:r w:rsidR="00A17265" w:rsidRPr="00EE1F6B">
        <w:rPr>
          <w:color w:val="000000" w:themeColor="text1"/>
          <w:sz w:val="22"/>
          <w:szCs w:val="22"/>
        </w:rPr>
        <w:t xml:space="preserve">of </w:t>
      </w:r>
      <w:r w:rsidR="00262ABE" w:rsidRPr="00EE1F6B">
        <w:rPr>
          <w:color w:val="000000" w:themeColor="text1"/>
          <w:sz w:val="22"/>
          <w:szCs w:val="22"/>
        </w:rPr>
        <w:t>those schemes</w:t>
      </w:r>
      <w:r w:rsidR="00BB1701" w:rsidRPr="00EE1F6B">
        <w:rPr>
          <w:color w:val="000000" w:themeColor="text1"/>
          <w:sz w:val="22"/>
          <w:szCs w:val="22"/>
        </w:rPr>
        <w:t>,</w:t>
      </w:r>
      <w:r w:rsidR="00262ABE" w:rsidRPr="00EE1F6B">
        <w:rPr>
          <w:color w:val="000000" w:themeColor="text1"/>
          <w:sz w:val="22"/>
          <w:szCs w:val="22"/>
        </w:rPr>
        <w:t xml:space="preserve"> which were unsuccessful </w:t>
      </w:r>
      <w:r w:rsidR="00BB1701" w:rsidRPr="00EE1F6B">
        <w:rPr>
          <w:color w:val="000000" w:themeColor="text1"/>
          <w:sz w:val="22"/>
          <w:szCs w:val="22"/>
        </w:rPr>
        <w:t xml:space="preserve">in order </w:t>
      </w:r>
      <w:r w:rsidR="00262ABE" w:rsidRPr="00EE1F6B">
        <w:rPr>
          <w:color w:val="000000" w:themeColor="text1"/>
          <w:sz w:val="22"/>
          <w:szCs w:val="22"/>
        </w:rPr>
        <w:t xml:space="preserve">to </w:t>
      </w:r>
      <w:r w:rsidR="00701DD7" w:rsidRPr="00EE1F6B">
        <w:rPr>
          <w:color w:val="000000" w:themeColor="text1"/>
          <w:sz w:val="22"/>
          <w:szCs w:val="22"/>
        </w:rPr>
        <w:t>prevent</w:t>
      </w:r>
      <w:r w:rsidR="00262ABE" w:rsidRPr="00EE1F6B">
        <w:rPr>
          <w:color w:val="000000" w:themeColor="text1"/>
          <w:sz w:val="22"/>
          <w:szCs w:val="22"/>
        </w:rPr>
        <w:t xml:space="preserve"> the repetition of past missteps. </w:t>
      </w:r>
    </w:p>
    <w:p w:rsidR="00757619" w:rsidRPr="00EE1F6B" w:rsidRDefault="00757619" w:rsidP="00FC4B5C">
      <w:pPr>
        <w:pStyle w:val="ListParagraph"/>
        <w:rPr>
          <w:color w:val="000000" w:themeColor="text1"/>
          <w:sz w:val="22"/>
          <w:szCs w:val="22"/>
        </w:rPr>
      </w:pPr>
    </w:p>
    <w:p w:rsidR="00432D3E" w:rsidRPr="00EE1F6B" w:rsidRDefault="00E065C5" w:rsidP="00FC4B5C">
      <w:pPr>
        <w:pStyle w:val="ListParagraph"/>
        <w:numPr>
          <w:ilvl w:val="1"/>
          <w:numId w:val="10"/>
        </w:numPr>
        <w:ind w:left="2160" w:hanging="720"/>
        <w:jc w:val="both"/>
        <w:rPr>
          <w:color w:val="000000" w:themeColor="text1"/>
          <w:sz w:val="22"/>
          <w:szCs w:val="22"/>
        </w:rPr>
      </w:pPr>
      <w:r w:rsidRPr="00EE1F6B">
        <w:rPr>
          <w:color w:val="000000" w:themeColor="text1"/>
          <w:sz w:val="22"/>
          <w:szCs w:val="22"/>
        </w:rPr>
        <w:t xml:space="preserve">This analysis should include clear guidelines for supporting existing national PCGSs </w:t>
      </w:r>
      <w:r w:rsidR="00432D3E" w:rsidRPr="00EE1F6B">
        <w:rPr>
          <w:color w:val="000000" w:themeColor="text1"/>
          <w:sz w:val="22"/>
          <w:szCs w:val="22"/>
        </w:rPr>
        <w:t xml:space="preserve">with additional financing and </w:t>
      </w:r>
      <w:r w:rsidR="00BB1701" w:rsidRPr="00EE1F6B">
        <w:rPr>
          <w:color w:val="000000" w:themeColor="text1"/>
          <w:sz w:val="22"/>
          <w:szCs w:val="22"/>
        </w:rPr>
        <w:t xml:space="preserve">the </w:t>
      </w:r>
      <w:r w:rsidR="00432D3E" w:rsidRPr="00EE1F6B">
        <w:rPr>
          <w:color w:val="000000" w:themeColor="text1"/>
          <w:sz w:val="22"/>
          <w:szCs w:val="22"/>
        </w:rPr>
        <w:t>recommended cost of financing.</w:t>
      </w:r>
    </w:p>
    <w:p w:rsidR="00757619" w:rsidRPr="00EE1F6B" w:rsidRDefault="00757619" w:rsidP="00FC4B5C">
      <w:pPr>
        <w:pStyle w:val="ListParagraph"/>
        <w:ind w:left="1890"/>
        <w:jc w:val="both"/>
        <w:rPr>
          <w:color w:val="000000" w:themeColor="text1"/>
          <w:sz w:val="22"/>
          <w:szCs w:val="22"/>
        </w:rPr>
      </w:pPr>
    </w:p>
    <w:p w:rsidR="00E065C5" w:rsidRPr="00EE1F6B" w:rsidRDefault="00432D3E" w:rsidP="00FC4B5C">
      <w:pPr>
        <w:pStyle w:val="ListParagraph"/>
        <w:numPr>
          <w:ilvl w:val="1"/>
          <w:numId w:val="10"/>
        </w:numPr>
        <w:ind w:left="2160" w:hanging="720"/>
        <w:jc w:val="both"/>
        <w:rPr>
          <w:color w:val="000000" w:themeColor="text1"/>
          <w:sz w:val="22"/>
          <w:szCs w:val="22"/>
        </w:rPr>
      </w:pPr>
      <w:r w:rsidRPr="00EE1F6B">
        <w:rPr>
          <w:color w:val="000000" w:themeColor="text1"/>
          <w:sz w:val="22"/>
          <w:szCs w:val="22"/>
        </w:rPr>
        <w:t xml:space="preserve">In cases where the operating </w:t>
      </w:r>
      <w:r w:rsidR="00E065C5" w:rsidRPr="00EE1F6B">
        <w:rPr>
          <w:color w:val="000000" w:themeColor="text1"/>
          <w:sz w:val="22"/>
          <w:szCs w:val="22"/>
        </w:rPr>
        <w:t>enabling environment</w:t>
      </w:r>
      <w:r w:rsidRPr="00EE1F6B">
        <w:rPr>
          <w:color w:val="000000" w:themeColor="text1"/>
          <w:sz w:val="22"/>
          <w:szCs w:val="22"/>
        </w:rPr>
        <w:t xml:space="preserve"> is less than ideal, the analysis should </w:t>
      </w:r>
      <w:r w:rsidR="00D248A1" w:rsidRPr="00EE1F6B">
        <w:rPr>
          <w:color w:val="000000" w:themeColor="text1"/>
          <w:sz w:val="22"/>
          <w:szCs w:val="22"/>
        </w:rPr>
        <w:t>identify</w:t>
      </w:r>
      <w:r w:rsidRPr="00EE1F6B">
        <w:rPr>
          <w:color w:val="000000" w:themeColor="text1"/>
          <w:sz w:val="22"/>
          <w:szCs w:val="22"/>
        </w:rPr>
        <w:t xml:space="preserve"> the need for </w:t>
      </w:r>
      <w:r w:rsidR="00D248A1" w:rsidRPr="00EE1F6B">
        <w:rPr>
          <w:color w:val="000000" w:themeColor="text1"/>
          <w:sz w:val="22"/>
          <w:szCs w:val="22"/>
        </w:rPr>
        <w:t>business climate reforms</w:t>
      </w:r>
      <w:r w:rsidR="00FB7D45" w:rsidRPr="00EE1F6B">
        <w:rPr>
          <w:color w:val="000000" w:themeColor="text1"/>
          <w:sz w:val="22"/>
          <w:szCs w:val="22"/>
        </w:rPr>
        <w:t>, technical</w:t>
      </w:r>
      <w:r w:rsidRPr="00EE1F6B">
        <w:rPr>
          <w:color w:val="000000" w:themeColor="text1"/>
          <w:sz w:val="22"/>
          <w:szCs w:val="22"/>
        </w:rPr>
        <w:t xml:space="preserve"> assistance in specific areas </w:t>
      </w:r>
      <w:r w:rsidR="00D215FF" w:rsidRPr="00EE1F6B">
        <w:rPr>
          <w:color w:val="000000" w:themeColor="text1"/>
          <w:sz w:val="22"/>
          <w:szCs w:val="22"/>
        </w:rPr>
        <w:t xml:space="preserve">such as </w:t>
      </w:r>
      <w:r w:rsidRPr="00EE1F6B">
        <w:rPr>
          <w:color w:val="000000" w:themeColor="text1"/>
          <w:sz w:val="22"/>
          <w:szCs w:val="22"/>
        </w:rPr>
        <w:t xml:space="preserve">the establishment of functional credit bureaus </w:t>
      </w:r>
      <w:r w:rsidR="00E065C5" w:rsidRPr="00EE1F6B">
        <w:rPr>
          <w:color w:val="000000" w:themeColor="text1"/>
          <w:sz w:val="22"/>
          <w:szCs w:val="22"/>
        </w:rPr>
        <w:t>to improve efficiency</w:t>
      </w:r>
      <w:r w:rsidRPr="00EE1F6B">
        <w:rPr>
          <w:color w:val="000000" w:themeColor="text1"/>
          <w:sz w:val="22"/>
          <w:szCs w:val="22"/>
        </w:rPr>
        <w:t xml:space="preserve">, </w:t>
      </w:r>
      <w:r w:rsidR="00E065C5" w:rsidRPr="00EE1F6B">
        <w:rPr>
          <w:color w:val="000000" w:themeColor="text1"/>
          <w:sz w:val="22"/>
          <w:szCs w:val="22"/>
        </w:rPr>
        <w:t>effectiveness</w:t>
      </w:r>
      <w:r w:rsidR="00BB1701" w:rsidRPr="00EE1F6B">
        <w:rPr>
          <w:color w:val="000000" w:themeColor="text1"/>
          <w:sz w:val="22"/>
          <w:szCs w:val="22"/>
        </w:rPr>
        <w:t>,</w:t>
      </w:r>
      <w:r w:rsidRPr="00EE1F6B">
        <w:rPr>
          <w:color w:val="000000" w:themeColor="text1"/>
          <w:sz w:val="22"/>
          <w:szCs w:val="22"/>
        </w:rPr>
        <w:t xml:space="preserve"> and sustainability.</w:t>
      </w:r>
    </w:p>
    <w:p w:rsidR="00A83D7E" w:rsidRPr="00EE1F6B" w:rsidRDefault="00A83D7E" w:rsidP="00FC4B5C">
      <w:pPr>
        <w:pStyle w:val="ListParagraph"/>
        <w:ind w:left="1440"/>
        <w:jc w:val="both"/>
        <w:rPr>
          <w:color w:val="000000" w:themeColor="text1"/>
          <w:sz w:val="22"/>
          <w:szCs w:val="22"/>
        </w:rPr>
      </w:pPr>
    </w:p>
    <w:p w:rsidR="00432D3E" w:rsidRPr="00EE1F6B" w:rsidRDefault="00A00095" w:rsidP="00FC4B5C">
      <w:pPr>
        <w:pStyle w:val="ListParagraph"/>
        <w:numPr>
          <w:ilvl w:val="0"/>
          <w:numId w:val="10"/>
        </w:numPr>
        <w:ind w:left="1440" w:hanging="720"/>
        <w:jc w:val="both"/>
        <w:rPr>
          <w:b/>
          <w:sz w:val="22"/>
          <w:szCs w:val="22"/>
        </w:rPr>
      </w:pPr>
      <w:r w:rsidRPr="00EE1F6B">
        <w:rPr>
          <w:color w:val="000000" w:themeColor="text1"/>
          <w:sz w:val="22"/>
          <w:szCs w:val="22"/>
        </w:rPr>
        <w:t>Conduct a needs assessment analysis</w:t>
      </w:r>
      <w:r w:rsidR="0085715D" w:rsidRPr="00EE1F6B">
        <w:rPr>
          <w:color w:val="000000" w:themeColor="text1"/>
          <w:sz w:val="22"/>
          <w:szCs w:val="22"/>
        </w:rPr>
        <w:t xml:space="preserve"> </w:t>
      </w:r>
      <w:r w:rsidR="00E065C5" w:rsidRPr="00EE1F6B">
        <w:rPr>
          <w:color w:val="000000" w:themeColor="text1"/>
          <w:sz w:val="22"/>
          <w:szCs w:val="22"/>
        </w:rPr>
        <w:t xml:space="preserve">in countries without a </w:t>
      </w:r>
      <w:r w:rsidR="00F36C7A" w:rsidRPr="00EE1F6B">
        <w:rPr>
          <w:color w:val="000000" w:themeColor="text1"/>
          <w:sz w:val="22"/>
          <w:szCs w:val="22"/>
        </w:rPr>
        <w:t>functioning PCGS</w:t>
      </w:r>
      <w:r w:rsidRPr="00EE1F6B">
        <w:rPr>
          <w:color w:val="000000" w:themeColor="text1"/>
          <w:sz w:val="22"/>
          <w:szCs w:val="22"/>
        </w:rPr>
        <w:t xml:space="preserve">. </w:t>
      </w:r>
    </w:p>
    <w:p w:rsidR="00D668A2" w:rsidRPr="00EE1F6B" w:rsidRDefault="00D668A2" w:rsidP="00FC4B5C">
      <w:pPr>
        <w:pStyle w:val="ListParagraph"/>
        <w:ind w:left="1170"/>
        <w:jc w:val="both"/>
        <w:rPr>
          <w:b/>
          <w:sz w:val="22"/>
          <w:szCs w:val="22"/>
        </w:rPr>
      </w:pPr>
    </w:p>
    <w:p w:rsidR="0085715D" w:rsidRPr="00EE1F6B" w:rsidRDefault="00A00095" w:rsidP="00FC4B5C">
      <w:pPr>
        <w:pStyle w:val="ListParagraph"/>
        <w:numPr>
          <w:ilvl w:val="1"/>
          <w:numId w:val="10"/>
        </w:numPr>
        <w:ind w:left="2160" w:hanging="720"/>
        <w:jc w:val="both"/>
        <w:rPr>
          <w:b/>
          <w:sz w:val="22"/>
          <w:szCs w:val="22"/>
        </w:rPr>
      </w:pPr>
      <w:r w:rsidRPr="00EE1F6B">
        <w:rPr>
          <w:color w:val="000000" w:themeColor="text1"/>
          <w:sz w:val="22"/>
          <w:szCs w:val="22"/>
        </w:rPr>
        <w:t>This assessment should outline effective demand for a PCGS and recommendations on an ideal structure, resourcing requirements</w:t>
      </w:r>
      <w:r w:rsidR="00A825C0" w:rsidRPr="00EE1F6B">
        <w:rPr>
          <w:color w:val="000000" w:themeColor="text1"/>
          <w:sz w:val="22"/>
          <w:szCs w:val="22"/>
        </w:rPr>
        <w:t xml:space="preserve">, </w:t>
      </w:r>
      <w:r w:rsidR="00267029" w:rsidRPr="00EE1F6B">
        <w:rPr>
          <w:color w:val="000000" w:themeColor="text1"/>
          <w:sz w:val="22"/>
          <w:szCs w:val="22"/>
        </w:rPr>
        <w:t>b</w:t>
      </w:r>
      <w:r w:rsidR="00A825C0" w:rsidRPr="00EE1F6B">
        <w:rPr>
          <w:color w:val="000000" w:themeColor="text1"/>
          <w:sz w:val="22"/>
          <w:szCs w:val="22"/>
        </w:rPr>
        <w:t>usiness</w:t>
      </w:r>
      <w:r w:rsidR="00C04467" w:rsidRPr="00EE1F6B">
        <w:rPr>
          <w:color w:val="000000" w:themeColor="text1"/>
          <w:sz w:val="22"/>
          <w:szCs w:val="22"/>
        </w:rPr>
        <w:t xml:space="preserve"> model, </w:t>
      </w:r>
      <w:r w:rsidR="0085715D" w:rsidRPr="00EE1F6B">
        <w:rPr>
          <w:color w:val="000000" w:themeColor="text1"/>
          <w:sz w:val="22"/>
          <w:szCs w:val="22"/>
        </w:rPr>
        <w:t>enabling environment</w:t>
      </w:r>
      <w:r w:rsidR="00267029" w:rsidRPr="00EE1F6B">
        <w:rPr>
          <w:color w:val="000000" w:themeColor="text1"/>
          <w:sz w:val="22"/>
          <w:szCs w:val="22"/>
        </w:rPr>
        <w:t>,</w:t>
      </w:r>
      <w:r w:rsidR="0085715D" w:rsidRPr="00EE1F6B">
        <w:rPr>
          <w:color w:val="000000" w:themeColor="text1"/>
          <w:sz w:val="22"/>
          <w:szCs w:val="22"/>
        </w:rPr>
        <w:t xml:space="preserve"> including the existence of a credit bureau, </w:t>
      </w:r>
      <w:r w:rsidR="00357AAB" w:rsidRPr="00EE1F6B">
        <w:rPr>
          <w:color w:val="000000" w:themeColor="text1"/>
          <w:sz w:val="22"/>
          <w:szCs w:val="22"/>
        </w:rPr>
        <w:t>operational, governance</w:t>
      </w:r>
      <w:r w:rsidR="00C04467" w:rsidRPr="00EE1F6B">
        <w:rPr>
          <w:color w:val="000000" w:themeColor="text1"/>
          <w:sz w:val="22"/>
          <w:szCs w:val="22"/>
        </w:rPr>
        <w:t xml:space="preserve"> structure</w:t>
      </w:r>
      <w:r w:rsidR="00337177" w:rsidRPr="00EE1F6B">
        <w:rPr>
          <w:color w:val="000000" w:themeColor="text1"/>
          <w:sz w:val="22"/>
          <w:szCs w:val="22"/>
        </w:rPr>
        <w:t>,</w:t>
      </w:r>
      <w:r w:rsidR="00357AAB" w:rsidRPr="00EE1F6B">
        <w:rPr>
          <w:color w:val="000000" w:themeColor="text1"/>
          <w:sz w:val="22"/>
          <w:szCs w:val="22"/>
        </w:rPr>
        <w:t xml:space="preserve"> and potential stakeholders such a</w:t>
      </w:r>
      <w:r w:rsidR="00337177" w:rsidRPr="00EE1F6B">
        <w:rPr>
          <w:color w:val="000000" w:themeColor="text1"/>
          <w:sz w:val="22"/>
          <w:szCs w:val="22"/>
        </w:rPr>
        <w:t>s</w:t>
      </w:r>
      <w:r w:rsidR="00357AAB" w:rsidRPr="00EE1F6B">
        <w:rPr>
          <w:color w:val="000000" w:themeColor="text1"/>
          <w:sz w:val="22"/>
          <w:szCs w:val="22"/>
        </w:rPr>
        <w:t xml:space="preserve"> participating FIs, DFIs, Central Banks and Business Support </w:t>
      </w:r>
      <w:proofErr w:type="spellStart"/>
      <w:r w:rsidR="00357AAB" w:rsidRPr="00EE1F6B">
        <w:rPr>
          <w:color w:val="000000" w:themeColor="text1"/>
          <w:sz w:val="22"/>
          <w:szCs w:val="22"/>
        </w:rPr>
        <w:t>Organisations</w:t>
      </w:r>
      <w:proofErr w:type="spellEnd"/>
      <w:r w:rsidR="0085715D" w:rsidRPr="00EE1F6B">
        <w:rPr>
          <w:color w:val="000000" w:themeColor="text1"/>
          <w:sz w:val="22"/>
          <w:szCs w:val="22"/>
        </w:rPr>
        <w:t>.</w:t>
      </w:r>
    </w:p>
    <w:p w:rsidR="001D4126" w:rsidRPr="00EE1F6B" w:rsidRDefault="001D4126" w:rsidP="00FC4B5C">
      <w:pPr>
        <w:pStyle w:val="ListParagraph"/>
        <w:ind w:left="2160"/>
        <w:jc w:val="both"/>
        <w:rPr>
          <w:sz w:val="22"/>
          <w:szCs w:val="22"/>
        </w:rPr>
      </w:pPr>
    </w:p>
    <w:p w:rsidR="001D4126" w:rsidRPr="00EE1F6B" w:rsidRDefault="001D4126" w:rsidP="00FC4B5C">
      <w:pPr>
        <w:ind w:left="1440" w:hanging="720"/>
        <w:jc w:val="both"/>
        <w:rPr>
          <w:rFonts w:ascii="Times New Roman" w:hAnsi="Times New Roman"/>
          <w:sz w:val="22"/>
          <w:szCs w:val="22"/>
        </w:rPr>
      </w:pPr>
      <w:r w:rsidRPr="00EE1F6B">
        <w:rPr>
          <w:rFonts w:ascii="Times New Roman" w:hAnsi="Times New Roman"/>
          <w:sz w:val="22"/>
          <w:szCs w:val="22"/>
        </w:rPr>
        <w:t>(d)</w:t>
      </w:r>
      <w:r w:rsidRPr="00EE1F6B">
        <w:rPr>
          <w:rFonts w:ascii="Times New Roman" w:hAnsi="Times New Roman"/>
          <w:sz w:val="22"/>
          <w:szCs w:val="22"/>
        </w:rPr>
        <w:tab/>
        <w:t>Determine the feasibility of establishing such a scheme by adequately considering expected costs and benefits</w:t>
      </w:r>
      <w:r w:rsidR="00337177" w:rsidRPr="00EE1F6B">
        <w:rPr>
          <w:rFonts w:ascii="Times New Roman" w:hAnsi="Times New Roman"/>
          <w:sz w:val="22"/>
          <w:szCs w:val="22"/>
        </w:rPr>
        <w:t>,</w:t>
      </w:r>
      <w:r w:rsidRPr="00EE1F6B">
        <w:rPr>
          <w:rFonts w:ascii="Times New Roman" w:hAnsi="Times New Roman"/>
          <w:sz w:val="22"/>
          <w:szCs w:val="22"/>
        </w:rPr>
        <w:t xml:space="preserve"> and if deemed to be feasible</w:t>
      </w:r>
      <w:r w:rsidR="00337177" w:rsidRPr="00EE1F6B">
        <w:rPr>
          <w:rFonts w:ascii="Times New Roman" w:hAnsi="Times New Roman"/>
          <w:sz w:val="22"/>
          <w:szCs w:val="22"/>
        </w:rPr>
        <w:t>,</w:t>
      </w:r>
      <w:r w:rsidRPr="00EE1F6B">
        <w:rPr>
          <w:rFonts w:ascii="Times New Roman" w:hAnsi="Times New Roman"/>
          <w:sz w:val="22"/>
          <w:szCs w:val="22"/>
        </w:rPr>
        <w:t xml:space="preserve"> move to component 2.</w:t>
      </w:r>
    </w:p>
    <w:p w:rsidR="00D215FF" w:rsidRPr="00EE1F6B" w:rsidRDefault="00D215FF" w:rsidP="00FC4B5C">
      <w:pPr>
        <w:pStyle w:val="ListParagraph"/>
        <w:ind w:left="1530"/>
        <w:jc w:val="both"/>
        <w:rPr>
          <w:b/>
          <w:sz w:val="22"/>
          <w:szCs w:val="22"/>
        </w:rPr>
      </w:pPr>
    </w:p>
    <w:p w:rsidR="004A4AD7" w:rsidRPr="00EE1F6B" w:rsidRDefault="004A4AD7" w:rsidP="00337177">
      <w:pPr>
        <w:pStyle w:val="ListParagraph"/>
        <w:ind w:left="1440" w:hanging="720"/>
        <w:jc w:val="both"/>
        <w:rPr>
          <w:b/>
          <w:sz w:val="22"/>
          <w:szCs w:val="22"/>
        </w:rPr>
      </w:pPr>
      <w:r w:rsidRPr="00EE1F6B">
        <w:rPr>
          <w:b/>
          <w:sz w:val="22"/>
          <w:szCs w:val="22"/>
        </w:rPr>
        <w:t>Component 2:</w:t>
      </w:r>
    </w:p>
    <w:p w:rsidR="00701DD7" w:rsidRPr="00EE1F6B" w:rsidRDefault="00701DD7" w:rsidP="00FC4B5C">
      <w:pPr>
        <w:ind w:left="360"/>
        <w:jc w:val="both"/>
        <w:rPr>
          <w:rFonts w:ascii="Times New Roman" w:hAnsi="Times New Roman"/>
          <w:color w:val="000000" w:themeColor="text1"/>
          <w:sz w:val="22"/>
          <w:szCs w:val="22"/>
        </w:rPr>
      </w:pPr>
    </w:p>
    <w:p w:rsidR="00D668A2" w:rsidRPr="00EE1F6B" w:rsidRDefault="00F10C7E" w:rsidP="00FC4B5C">
      <w:pPr>
        <w:pStyle w:val="ListParagraph"/>
        <w:numPr>
          <w:ilvl w:val="0"/>
          <w:numId w:val="11"/>
        </w:numPr>
        <w:ind w:left="1440" w:hanging="720"/>
        <w:jc w:val="both"/>
        <w:rPr>
          <w:color w:val="000000" w:themeColor="text1"/>
          <w:sz w:val="22"/>
          <w:szCs w:val="22"/>
        </w:rPr>
      </w:pPr>
      <w:r w:rsidRPr="00EE1F6B">
        <w:rPr>
          <w:color w:val="000000" w:themeColor="text1"/>
          <w:sz w:val="22"/>
          <w:szCs w:val="22"/>
        </w:rPr>
        <w:t xml:space="preserve">Develop </w:t>
      </w:r>
      <w:r w:rsidR="00CA6F68" w:rsidRPr="00EE1F6B">
        <w:rPr>
          <w:color w:val="000000" w:themeColor="text1"/>
          <w:sz w:val="22"/>
          <w:szCs w:val="22"/>
        </w:rPr>
        <w:t>a</w:t>
      </w:r>
      <w:r w:rsidR="00701DD7" w:rsidRPr="00EE1F6B">
        <w:rPr>
          <w:color w:val="000000" w:themeColor="text1"/>
          <w:sz w:val="22"/>
          <w:szCs w:val="22"/>
        </w:rPr>
        <w:t xml:space="preserve"> framework f</w:t>
      </w:r>
      <w:r w:rsidR="00C04467" w:rsidRPr="00EE1F6B">
        <w:rPr>
          <w:color w:val="000000" w:themeColor="text1"/>
          <w:sz w:val="22"/>
          <w:szCs w:val="22"/>
        </w:rPr>
        <w:t>o</w:t>
      </w:r>
      <w:r w:rsidRPr="00EE1F6B">
        <w:rPr>
          <w:color w:val="000000" w:themeColor="text1"/>
          <w:sz w:val="22"/>
          <w:szCs w:val="22"/>
        </w:rPr>
        <w:t xml:space="preserve">r the MSME </w:t>
      </w:r>
      <w:r w:rsidR="00A95A27" w:rsidRPr="00EE1F6B">
        <w:rPr>
          <w:color w:val="000000" w:themeColor="text1"/>
          <w:sz w:val="22"/>
          <w:szCs w:val="22"/>
        </w:rPr>
        <w:t>R</w:t>
      </w:r>
      <w:r w:rsidRPr="00EE1F6B">
        <w:rPr>
          <w:color w:val="000000" w:themeColor="text1"/>
          <w:sz w:val="22"/>
          <w:szCs w:val="22"/>
        </w:rPr>
        <w:t>PCGS including</w:t>
      </w:r>
      <w:r w:rsidR="00CA6F68" w:rsidRPr="00EE1F6B">
        <w:rPr>
          <w:color w:val="000000" w:themeColor="text1"/>
          <w:sz w:val="22"/>
          <w:szCs w:val="22"/>
        </w:rPr>
        <w:t>:</w:t>
      </w:r>
    </w:p>
    <w:p w:rsidR="00EB55B6" w:rsidRPr="00EE1F6B" w:rsidRDefault="00EB55B6" w:rsidP="00FC4B5C">
      <w:pPr>
        <w:pStyle w:val="ListParagraph"/>
        <w:ind w:left="1440"/>
        <w:jc w:val="both"/>
        <w:rPr>
          <w:color w:val="000000" w:themeColor="text1"/>
          <w:sz w:val="22"/>
          <w:szCs w:val="22"/>
        </w:rPr>
      </w:pPr>
    </w:p>
    <w:p w:rsidR="00F10C7E" w:rsidRPr="00EE1F6B" w:rsidRDefault="00F10C7E" w:rsidP="00FC4B5C">
      <w:pPr>
        <w:pStyle w:val="ListParagraph"/>
        <w:numPr>
          <w:ilvl w:val="0"/>
          <w:numId w:val="12"/>
        </w:numPr>
        <w:ind w:left="2160" w:hanging="720"/>
        <w:jc w:val="both"/>
        <w:rPr>
          <w:color w:val="000000" w:themeColor="text1"/>
          <w:sz w:val="22"/>
          <w:szCs w:val="22"/>
        </w:rPr>
      </w:pPr>
      <w:r w:rsidRPr="00EE1F6B">
        <w:rPr>
          <w:color w:val="000000" w:themeColor="text1"/>
          <w:sz w:val="22"/>
          <w:szCs w:val="22"/>
        </w:rPr>
        <w:t>Characteristics of the facility</w:t>
      </w:r>
      <w:r w:rsidR="00332F31" w:rsidRPr="00EE1F6B">
        <w:rPr>
          <w:color w:val="000000" w:themeColor="text1"/>
          <w:sz w:val="22"/>
          <w:szCs w:val="22"/>
        </w:rPr>
        <w:t>:</w:t>
      </w:r>
      <w:r w:rsidRPr="00EE1F6B">
        <w:rPr>
          <w:color w:val="000000" w:themeColor="text1"/>
          <w:sz w:val="22"/>
          <w:szCs w:val="22"/>
        </w:rPr>
        <w:t xml:space="preserve"> </w:t>
      </w:r>
    </w:p>
    <w:p w:rsidR="00D668A2" w:rsidRPr="00EE1F6B" w:rsidRDefault="00D668A2" w:rsidP="00FC4B5C">
      <w:pPr>
        <w:pStyle w:val="ListParagraph"/>
        <w:ind w:left="2160"/>
        <w:jc w:val="both"/>
        <w:rPr>
          <w:color w:val="000000" w:themeColor="text1"/>
          <w:sz w:val="22"/>
          <w:szCs w:val="22"/>
        </w:rPr>
      </w:pPr>
    </w:p>
    <w:p w:rsidR="00CA6F68" w:rsidRPr="00EE1F6B" w:rsidRDefault="00002DF1" w:rsidP="00FC4B5C">
      <w:pPr>
        <w:pStyle w:val="ListParagraph"/>
        <w:numPr>
          <w:ilvl w:val="2"/>
          <w:numId w:val="10"/>
        </w:numPr>
        <w:ind w:left="2880" w:hanging="720"/>
        <w:jc w:val="both"/>
        <w:rPr>
          <w:color w:val="000000" w:themeColor="text1"/>
          <w:sz w:val="22"/>
          <w:szCs w:val="22"/>
        </w:rPr>
      </w:pPr>
      <w:r w:rsidRPr="00EE1F6B">
        <w:rPr>
          <w:color w:val="000000" w:themeColor="text1"/>
          <w:sz w:val="22"/>
          <w:szCs w:val="22"/>
        </w:rPr>
        <w:t>T</w:t>
      </w:r>
      <w:r w:rsidR="00CA6F68" w:rsidRPr="00EE1F6B">
        <w:rPr>
          <w:color w:val="000000" w:themeColor="text1"/>
          <w:sz w:val="22"/>
          <w:szCs w:val="22"/>
        </w:rPr>
        <w:t>arget market, partnership with FIs, pricing, risk management, operations</w:t>
      </w:r>
      <w:r w:rsidR="00332F31" w:rsidRPr="00EE1F6B">
        <w:rPr>
          <w:color w:val="000000" w:themeColor="text1"/>
          <w:sz w:val="22"/>
          <w:szCs w:val="22"/>
        </w:rPr>
        <w:t>,</w:t>
      </w:r>
      <w:r w:rsidR="00CA6F68" w:rsidRPr="00EE1F6B">
        <w:rPr>
          <w:color w:val="000000" w:themeColor="text1"/>
          <w:sz w:val="22"/>
          <w:szCs w:val="22"/>
        </w:rPr>
        <w:t xml:space="preserve"> and governance structure</w:t>
      </w:r>
      <w:r w:rsidR="00D668A2" w:rsidRPr="00EE1F6B">
        <w:rPr>
          <w:color w:val="000000" w:themeColor="text1"/>
          <w:sz w:val="22"/>
          <w:szCs w:val="22"/>
        </w:rPr>
        <w:t>.</w:t>
      </w:r>
      <w:r w:rsidR="00CA6F68" w:rsidRPr="00EE1F6B">
        <w:rPr>
          <w:color w:val="000000" w:themeColor="text1"/>
          <w:sz w:val="22"/>
          <w:szCs w:val="22"/>
        </w:rPr>
        <w:t xml:space="preserve"> </w:t>
      </w:r>
    </w:p>
    <w:p w:rsidR="009B2A06" w:rsidRPr="00EE1F6B" w:rsidRDefault="009B2A06" w:rsidP="00FC4B5C">
      <w:pPr>
        <w:pStyle w:val="ListParagraph"/>
        <w:ind w:left="2250"/>
        <w:jc w:val="both"/>
        <w:rPr>
          <w:color w:val="000000" w:themeColor="text1"/>
          <w:sz w:val="22"/>
          <w:szCs w:val="22"/>
        </w:rPr>
      </w:pPr>
    </w:p>
    <w:p w:rsidR="00F10C7E" w:rsidRPr="00EE1F6B" w:rsidRDefault="00F10C7E" w:rsidP="001D13E5">
      <w:pPr>
        <w:pStyle w:val="ListParagraph"/>
        <w:numPr>
          <w:ilvl w:val="1"/>
          <w:numId w:val="10"/>
        </w:numPr>
        <w:ind w:left="2160" w:hanging="720"/>
        <w:jc w:val="both"/>
        <w:rPr>
          <w:color w:val="000000" w:themeColor="text1"/>
          <w:sz w:val="22"/>
          <w:szCs w:val="22"/>
        </w:rPr>
      </w:pPr>
      <w:r w:rsidRPr="00EE1F6B">
        <w:rPr>
          <w:color w:val="000000" w:themeColor="text1"/>
          <w:sz w:val="22"/>
          <w:szCs w:val="22"/>
        </w:rPr>
        <w:lastRenderedPageBreak/>
        <w:t>Operating procedure</w:t>
      </w:r>
      <w:r w:rsidR="00701DD7" w:rsidRPr="00EE1F6B">
        <w:rPr>
          <w:color w:val="000000" w:themeColor="text1"/>
          <w:sz w:val="22"/>
          <w:szCs w:val="22"/>
        </w:rPr>
        <w:t>s</w:t>
      </w:r>
      <w:r w:rsidR="00D668A2" w:rsidRPr="00EE1F6B">
        <w:rPr>
          <w:color w:val="000000" w:themeColor="text1"/>
          <w:sz w:val="22"/>
          <w:szCs w:val="22"/>
        </w:rPr>
        <w:t>:</w:t>
      </w:r>
    </w:p>
    <w:p w:rsidR="00D668A2" w:rsidRPr="00EE1F6B" w:rsidRDefault="00D668A2" w:rsidP="00D668A2">
      <w:pPr>
        <w:pStyle w:val="ListParagraph"/>
        <w:ind w:left="2160"/>
        <w:jc w:val="both"/>
        <w:rPr>
          <w:color w:val="000000" w:themeColor="text1"/>
          <w:sz w:val="22"/>
          <w:szCs w:val="22"/>
        </w:rPr>
      </w:pPr>
    </w:p>
    <w:p w:rsidR="00FE365F" w:rsidRPr="00EE1F6B" w:rsidRDefault="00CA6F68" w:rsidP="001D13E5">
      <w:pPr>
        <w:pStyle w:val="ListParagraph"/>
        <w:numPr>
          <w:ilvl w:val="2"/>
          <w:numId w:val="10"/>
        </w:numPr>
        <w:ind w:left="2880" w:hanging="720"/>
        <w:jc w:val="both"/>
        <w:rPr>
          <w:color w:val="000000" w:themeColor="text1"/>
          <w:sz w:val="22"/>
          <w:szCs w:val="22"/>
        </w:rPr>
      </w:pPr>
      <w:r w:rsidRPr="00EE1F6B">
        <w:rPr>
          <w:color w:val="000000" w:themeColor="text1"/>
          <w:sz w:val="22"/>
          <w:szCs w:val="22"/>
        </w:rPr>
        <w:t xml:space="preserve">IT </w:t>
      </w:r>
      <w:r w:rsidR="00FE365F" w:rsidRPr="00EE1F6B">
        <w:rPr>
          <w:color w:val="000000" w:themeColor="text1"/>
          <w:sz w:val="22"/>
          <w:szCs w:val="22"/>
        </w:rPr>
        <w:t>requirements</w:t>
      </w:r>
      <w:r w:rsidR="00332F31" w:rsidRPr="00EE1F6B">
        <w:rPr>
          <w:color w:val="000000" w:themeColor="text1"/>
          <w:sz w:val="22"/>
          <w:szCs w:val="22"/>
        </w:rPr>
        <w:t>,</w:t>
      </w:r>
      <w:r w:rsidRPr="00EE1F6B">
        <w:rPr>
          <w:color w:val="000000" w:themeColor="text1"/>
          <w:sz w:val="22"/>
          <w:szCs w:val="22"/>
        </w:rPr>
        <w:t xml:space="preserve"> including the development of a TOR for any web-enabled platform to facilitate the effective </w:t>
      </w:r>
      <w:proofErr w:type="spellStart"/>
      <w:r w:rsidRPr="00EE1F6B">
        <w:rPr>
          <w:color w:val="000000" w:themeColor="text1"/>
          <w:sz w:val="22"/>
          <w:szCs w:val="22"/>
        </w:rPr>
        <w:t>operationali</w:t>
      </w:r>
      <w:r w:rsidR="00D668A2" w:rsidRPr="00EE1F6B">
        <w:rPr>
          <w:color w:val="000000" w:themeColor="text1"/>
          <w:sz w:val="22"/>
          <w:szCs w:val="22"/>
        </w:rPr>
        <w:t>s</w:t>
      </w:r>
      <w:r w:rsidRPr="00EE1F6B">
        <w:rPr>
          <w:color w:val="000000" w:themeColor="text1"/>
          <w:sz w:val="22"/>
          <w:szCs w:val="22"/>
        </w:rPr>
        <w:t>ation</w:t>
      </w:r>
      <w:proofErr w:type="spellEnd"/>
      <w:r w:rsidRPr="00EE1F6B">
        <w:rPr>
          <w:color w:val="000000" w:themeColor="text1"/>
          <w:sz w:val="22"/>
          <w:szCs w:val="22"/>
        </w:rPr>
        <w:t xml:space="preserve"> of the </w:t>
      </w:r>
      <w:r w:rsidR="00A95A27" w:rsidRPr="00EE1F6B">
        <w:rPr>
          <w:color w:val="000000" w:themeColor="text1"/>
          <w:sz w:val="22"/>
          <w:szCs w:val="22"/>
        </w:rPr>
        <w:t>R</w:t>
      </w:r>
      <w:r w:rsidRPr="00EE1F6B">
        <w:rPr>
          <w:color w:val="000000" w:themeColor="text1"/>
          <w:sz w:val="22"/>
          <w:szCs w:val="22"/>
        </w:rPr>
        <w:t>PCGS</w:t>
      </w:r>
      <w:r w:rsidR="00D668A2" w:rsidRPr="00EE1F6B">
        <w:rPr>
          <w:color w:val="000000" w:themeColor="text1"/>
          <w:sz w:val="22"/>
          <w:szCs w:val="22"/>
        </w:rPr>
        <w:t>.</w:t>
      </w:r>
    </w:p>
    <w:p w:rsidR="00D668A2" w:rsidRPr="00EE1F6B" w:rsidRDefault="00D668A2" w:rsidP="00D668A2">
      <w:pPr>
        <w:pStyle w:val="ListParagraph"/>
        <w:ind w:left="2880"/>
        <w:jc w:val="both"/>
        <w:rPr>
          <w:color w:val="000000" w:themeColor="text1"/>
          <w:sz w:val="22"/>
          <w:szCs w:val="22"/>
        </w:rPr>
      </w:pPr>
    </w:p>
    <w:p w:rsidR="00D668A2" w:rsidRPr="00EE1F6B" w:rsidRDefault="00CA6F68" w:rsidP="001D13E5">
      <w:pPr>
        <w:pStyle w:val="ListParagraph"/>
        <w:numPr>
          <w:ilvl w:val="2"/>
          <w:numId w:val="10"/>
        </w:numPr>
        <w:ind w:left="2880" w:hanging="720"/>
        <w:jc w:val="both"/>
        <w:rPr>
          <w:color w:val="000000" w:themeColor="text1"/>
          <w:sz w:val="22"/>
          <w:szCs w:val="22"/>
        </w:rPr>
      </w:pPr>
      <w:r w:rsidRPr="00EE1F6B">
        <w:rPr>
          <w:color w:val="000000" w:themeColor="text1"/>
          <w:sz w:val="22"/>
          <w:szCs w:val="22"/>
        </w:rPr>
        <w:t>Resourcing metrics for the facility</w:t>
      </w:r>
      <w:r w:rsidR="00D668A2" w:rsidRPr="00EE1F6B">
        <w:rPr>
          <w:color w:val="000000" w:themeColor="text1"/>
          <w:sz w:val="22"/>
          <w:szCs w:val="22"/>
        </w:rPr>
        <w:t>.</w:t>
      </w:r>
    </w:p>
    <w:p w:rsidR="00D668A2" w:rsidRPr="00EE1F6B" w:rsidRDefault="00D668A2" w:rsidP="00D668A2">
      <w:pPr>
        <w:pStyle w:val="ListParagraph"/>
        <w:rPr>
          <w:color w:val="000000" w:themeColor="text1"/>
          <w:sz w:val="22"/>
          <w:szCs w:val="22"/>
        </w:rPr>
      </w:pPr>
    </w:p>
    <w:p w:rsidR="00D668A2" w:rsidRPr="00EE1F6B" w:rsidRDefault="00CA6F68" w:rsidP="001D13E5">
      <w:pPr>
        <w:pStyle w:val="ListParagraph"/>
        <w:numPr>
          <w:ilvl w:val="2"/>
          <w:numId w:val="10"/>
        </w:numPr>
        <w:ind w:left="2880" w:hanging="720"/>
        <w:jc w:val="both"/>
        <w:rPr>
          <w:color w:val="000000" w:themeColor="text1"/>
          <w:sz w:val="22"/>
          <w:szCs w:val="22"/>
        </w:rPr>
      </w:pPr>
      <w:r w:rsidRPr="00EE1F6B">
        <w:rPr>
          <w:color w:val="000000" w:themeColor="text1"/>
          <w:sz w:val="22"/>
          <w:szCs w:val="22"/>
        </w:rPr>
        <w:t>Credit limits for countries and FIs</w:t>
      </w:r>
      <w:r w:rsidR="00D668A2" w:rsidRPr="00EE1F6B">
        <w:rPr>
          <w:color w:val="000000" w:themeColor="text1"/>
          <w:sz w:val="22"/>
          <w:szCs w:val="22"/>
        </w:rPr>
        <w:t>.</w:t>
      </w:r>
    </w:p>
    <w:p w:rsidR="00D668A2" w:rsidRPr="00EE1F6B" w:rsidRDefault="00D668A2" w:rsidP="00D668A2">
      <w:pPr>
        <w:pStyle w:val="ListParagraph"/>
        <w:rPr>
          <w:color w:val="000000" w:themeColor="text1"/>
          <w:sz w:val="22"/>
          <w:szCs w:val="22"/>
        </w:rPr>
      </w:pPr>
    </w:p>
    <w:p w:rsidR="00CA6F68" w:rsidRPr="00EE1F6B" w:rsidRDefault="00CA6F68" w:rsidP="001D13E5">
      <w:pPr>
        <w:pStyle w:val="ListParagraph"/>
        <w:numPr>
          <w:ilvl w:val="2"/>
          <w:numId w:val="10"/>
        </w:numPr>
        <w:ind w:left="2880" w:hanging="720"/>
        <w:jc w:val="both"/>
        <w:rPr>
          <w:color w:val="000000" w:themeColor="text1"/>
          <w:sz w:val="22"/>
          <w:szCs w:val="22"/>
        </w:rPr>
      </w:pPr>
      <w:r w:rsidRPr="00EE1F6B">
        <w:rPr>
          <w:color w:val="000000" w:themeColor="text1"/>
          <w:sz w:val="22"/>
          <w:szCs w:val="22"/>
        </w:rPr>
        <w:t>Qualification requirements for MSMEs and FIs</w:t>
      </w:r>
      <w:r w:rsidR="00D668A2" w:rsidRPr="00EE1F6B">
        <w:rPr>
          <w:color w:val="000000" w:themeColor="text1"/>
          <w:sz w:val="22"/>
          <w:szCs w:val="22"/>
        </w:rPr>
        <w:t>.</w:t>
      </w:r>
    </w:p>
    <w:p w:rsidR="00D668A2" w:rsidRPr="00EE1F6B" w:rsidRDefault="00D668A2" w:rsidP="00D668A2">
      <w:pPr>
        <w:pStyle w:val="ListParagraph"/>
        <w:rPr>
          <w:color w:val="000000" w:themeColor="text1"/>
          <w:sz w:val="22"/>
          <w:szCs w:val="22"/>
        </w:rPr>
      </w:pPr>
    </w:p>
    <w:p w:rsidR="00D668A2" w:rsidRPr="00EE1F6B" w:rsidRDefault="00CA6F68" w:rsidP="001D13E5">
      <w:pPr>
        <w:pStyle w:val="ListParagraph"/>
        <w:numPr>
          <w:ilvl w:val="2"/>
          <w:numId w:val="10"/>
        </w:numPr>
        <w:ind w:left="2880" w:hanging="720"/>
        <w:jc w:val="both"/>
        <w:rPr>
          <w:color w:val="000000" w:themeColor="text1"/>
          <w:sz w:val="22"/>
          <w:szCs w:val="22"/>
        </w:rPr>
      </w:pPr>
      <w:r w:rsidRPr="00EE1F6B">
        <w:rPr>
          <w:color w:val="000000" w:themeColor="text1"/>
          <w:sz w:val="22"/>
          <w:szCs w:val="22"/>
        </w:rPr>
        <w:t xml:space="preserve">Potential linkages with FIs and Credit </w:t>
      </w:r>
      <w:r w:rsidR="00332F31" w:rsidRPr="00EE1F6B">
        <w:rPr>
          <w:color w:val="000000" w:themeColor="text1"/>
          <w:sz w:val="22"/>
          <w:szCs w:val="22"/>
        </w:rPr>
        <w:t>bureau</w:t>
      </w:r>
      <w:r w:rsidR="00002DF1" w:rsidRPr="00EE1F6B">
        <w:rPr>
          <w:color w:val="000000" w:themeColor="text1"/>
          <w:sz w:val="22"/>
          <w:szCs w:val="22"/>
        </w:rPr>
        <w:t xml:space="preserve"> </w:t>
      </w:r>
      <w:r w:rsidRPr="00EE1F6B">
        <w:rPr>
          <w:color w:val="000000" w:themeColor="text1"/>
          <w:sz w:val="22"/>
          <w:szCs w:val="22"/>
        </w:rPr>
        <w:t xml:space="preserve">to ensure </w:t>
      </w:r>
      <w:r w:rsidR="00332F31" w:rsidRPr="00EE1F6B">
        <w:rPr>
          <w:color w:val="000000" w:themeColor="text1"/>
          <w:sz w:val="22"/>
          <w:szCs w:val="22"/>
        </w:rPr>
        <w:t xml:space="preserve">the </w:t>
      </w:r>
      <w:r w:rsidR="00002DF1" w:rsidRPr="00EE1F6B">
        <w:rPr>
          <w:color w:val="000000" w:themeColor="text1"/>
          <w:sz w:val="22"/>
          <w:szCs w:val="22"/>
        </w:rPr>
        <w:t>asymmetry</w:t>
      </w:r>
      <w:r w:rsidRPr="00EE1F6B">
        <w:rPr>
          <w:color w:val="000000" w:themeColor="text1"/>
          <w:sz w:val="22"/>
          <w:szCs w:val="22"/>
        </w:rPr>
        <w:t xml:space="preserve"> of information and </w:t>
      </w:r>
      <w:r w:rsidR="00002DF1" w:rsidRPr="00EE1F6B">
        <w:rPr>
          <w:color w:val="000000" w:themeColor="text1"/>
          <w:sz w:val="22"/>
          <w:szCs w:val="22"/>
        </w:rPr>
        <w:t>risk management</w:t>
      </w:r>
      <w:r w:rsidR="00D668A2" w:rsidRPr="00EE1F6B">
        <w:rPr>
          <w:color w:val="000000" w:themeColor="text1"/>
          <w:sz w:val="22"/>
          <w:szCs w:val="22"/>
        </w:rPr>
        <w:t>.</w:t>
      </w:r>
    </w:p>
    <w:p w:rsidR="00D668A2" w:rsidRPr="00EE1F6B" w:rsidRDefault="00D668A2" w:rsidP="00D668A2">
      <w:pPr>
        <w:pStyle w:val="ListParagraph"/>
        <w:rPr>
          <w:color w:val="000000" w:themeColor="text1"/>
          <w:sz w:val="22"/>
          <w:szCs w:val="22"/>
        </w:rPr>
      </w:pPr>
    </w:p>
    <w:p w:rsidR="00002DF1" w:rsidRPr="00EE1F6B" w:rsidRDefault="00002DF1" w:rsidP="001D13E5">
      <w:pPr>
        <w:pStyle w:val="ListParagraph"/>
        <w:numPr>
          <w:ilvl w:val="2"/>
          <w:numId w:val="10"/>
        </w:numPr>
        <w:ind w:left="2880" w:hanging="720"/>
        <w:jc w:val="both"/>
        <w:rPr>
          <w:color w:val="000000" w:themeColor="text1"/>
          <w:sz w:val="22"/>
          <w:szCs w:val="22"/>
        </w:rPr>
      </w:pPr>
      <w:r w:rsidRPr="00EE1F6B">
        <w:rPr>
          <w:color w:val="000000" w:themeColor="text1"/>
          <w:sz w:val="22"/>
          <w:szCs w:val="22"/>
        </w:rPr>
        <w:t xml:space="preserve">Implementation </w:t>
      </w:r>
      <w:r w:rsidR="00337177" w:rsidRPr="00EE1F6B">
        <w:rPr>
          <w:color w:val="000000" w:themeColor="text1"/>
          <w:sz w:val="22"/>
          <w:szCs w:val="22"/>
        </w:rPr>
        <w:t>P</w:t>
      </w:r>
      <w:r w:rsidRPr="00EE1F6B">
        <w:rPr>
          <w:color w:val="000000" w:themeColor="text1"/>
          <w:sz w:val="22"/>
          <w:szCs w:val="22"/>
        </w:rPr>
        <w:t xml:space="preserve">lan for </w:t>
      </w:r>
      <w:r w:rsidR="00D215FF" w:rsidRPr="00EE1F6B">
        <w:rPr>
          <w:color w:val="000000" w:themeColor="text1"/>
          <w:sz w:val="22"/>
          <w:szCs w:val="22"/>
        </w:rPr>
        <w:t>the facility</w:t>
      </w:r>
      <w:r w:rsidR="00FB374D" w:rsidRPr="00EE1F6B">
        <w:rPr>
          <w:color w:val="000000" w:themeColor="text1"/>
          <w:sz w:val="22"/>
          <w:szCs w:val="22"/>
        </w:rPr>
        <w:t>.</w:t>
      </w:r>
    </w:p>
    <w:p w:rsidR="00CA6F68" w:rsidRPr="00EE1F6B" w:rsidRDefault="00CA6F68" w:rsidP="00B915B3">
      <w:pPr>
        <w:pStyle w:val="ListParagraph"/>
        <w:ind w:left="2160"/>
        <w:jc w:val="both"/>
        <w:rPr>
          <w:color w:val="000000" w:themeColor="text1"/>
          <w:sz w:val="22"/>
          <w:szCs w:val="22"/>
        </w:rPr>
      </w:pPr>
    </w:p>
    <w:p w:rsidR="00247697" w:rsidRPr="00EE1F6B" w:rsidRDefault="00947487" w:rsidP="001D13E5">
      <w:pPr>
        <w:pStyle w:val="ListParagraph"/>
        <w:numPr>
          <w:ilvl w:val="0"/>
          <w:numId w:val="14"/>
        </w:numPr>
        <w:ind w:left="1440" w:hanging="720"/>
        <w:jc w:val="both"/>
        <w:rPr>
          <w:color w:val="000000" w:themeColor="text1"/>
          <w:sz w:val="22"/>
          <w:szCs w:val="22"/>
        </w:rPr>
      </w:pPr>
      <w:r w:rsidRPr="00EE1F6B">
        <w:rPr>
          <w:color w:val="000000" w:themeColor="text1"/>
          <w:sz w:val="22"/>
          <w:szCs w:val="22"/>
        </w:rPr>
        <w:t>Outline the l</w:t>
      </w:r>
      <w:r w:rsidR="00247697" w:rsidRPr="00EE1F6B">
        <w:rPr>
          <w:color w:val="000000" w:themeColor="text1"/>
          <w:sz w:val="22"/>
          <w:szCs w:val="22"/>
        </w:rPr>
        <w:t xml:space="preserve">egal </w:t>
      </w:r>
      <w:r w:rsidR="00002DF1" w:rsidRPr="00EE1F6B">
        <w:rPr>
          <w:color w:val="000000" w:themeColor="text1"/>
          <w:sz w:val="22"/>
          <w:szCs w:val="22"/>
        </w:rPr>
        <w:t xml:space="preserve">and regulatory </w:t>
      </w:r>
      <w:r w:rsidR="00247697" w:rsidRPr="00EE1F6B">
        <w:rPr>
          <w:color w:val="000000" w:themeColor="text1"/>
          <w:sz w:val="22"/>
          <w:szCs w:val="22"/>
        </w:rPr>
        <w:t xml:space="preserve">framework </w:t>
      </w:r>
      <w:r w:rsidRPr="00EE1F6B">
        <w:rPr>
          <w:color w:val="000000" w:themeColor="text1"/>
          <w:sz w:val="22"/>
          <w:szCs w:val="22"/>
        </w:rPr>
        <w:t xml:space="preserve">to support the </w:t>
      </w:r>
      <w:proofErr w:type="spellStart"/>
      <w:r w:rsidRPr="00EE1F6B">
        <w:rPr>
          <w:color w:val="000000" w:themeColor="text1"/>
          <w:sz w:val="22"/>
          <w:szCs w:val="22"/>
        </w:rPr>
        <w:t>operationali</w:t>
      </w:r>
      <w:r w:rsidR="00FB374D" w:rsidRPr="00EE1F6B">
        <w:rPr>
          <w:color w:val="000000" w:themeColor="text1"/>
          <w:sz w:val="22"/>
          <w:szCs w:val="22"/>
        </w:rPr>
        <w:t>s</w:t>
      </w:r>
      <w:r w:rsidRPr="00EE1F6B">
        <w:rPr>
          <w:color w:val="000000" w:themeColor="text1"/>
          <w:sz w:val="22"/>
          <w:szCs w:val="22"/>
        </w:rPr>
        <w:t>ation</w:t>
      </w:r>
      <w:proofErr w:type="spellEnd"/>
      <w:r w:rsidRPr="00EE1F6B">
        <w:rPr>
          <w:color w:val="000000" w:themeColor="text1"/>
          <w:sz w:val="22"/>
          <w:szCs w:val="22"/>
        </w:rPr>
        <w:t xml:space="preserve"> of a sustainable</w:t>
      </w:r>
      <w:r w:rsidR="00F420B9" w:rsidRPr="00EE1F6B">
        <w:rPr>
          <w:color w:val="000000" w:themeColor="text1"/>
          <w:sz w:val="22"/>
          <w:szCs w:val="22"/>
        </w:rPr>
        <w:t xml:space="preserve"> </w:t>
      </w:r>
      <w:r w:rsidR="00206F22">
        <w:rPr>
          <w:color w:val="000000" w:themeColor="text1"/>
          <w:sz w:val="22"/>
          <w:szCs w:val="22"/>
        </w:rPr>
        <w:t>PCGS.</w:t>
      </w:r>
    </w:p>
    <w:p w:rsidR="00D668A2" w:rsidRPr="00EE1F6B" w:rsidRDefault="00D668A2" w:rsidP="00D668A2">
      <w:pPr>
        <w:pStyle w:val="ListParagraph"/>
        <w:ind w:left="1530"/>
        <w:jc w:val="both"/>
        <w:rPr>
          <w:color w:val="000000" w:themeColor="text1"/>
          <w:sz w:val="22"/>
          <w:szCs w:val="22"/>
        </w:rPr>
      </w:pPr>
    </w:p>
    <w:p w:rsidR="00F10C7E" w:rsidRPr="00EE1F6B" w:rsidRDefault="00F10C7E" w:rsidP="001D13E5">
      <w:pPr>
        <w:pStyle w:val="ListParagraph"/>
        <w:numPr>
          <w:ilvl w:val="0"/>
          <w:numId w:val="14"/>
        </w:numPr>
        <w:ind w:left="1440" w:hanging="720"/>
        <w:jc w:val="both"/>
        <w:rPr>
          <w:color w:val="000000" w:themeColor="text1"/>
          <w:sz w:val="22"/>
          <w:szCs w:val="22"/>
        </w:rPr>
      </w:pPr>
      <w:r w:rsidRPr="00EE1F6B">
        <w:rPr>
          <w:color w:val="000000" w:themeColor="text1"/>
          <w:sz w:val="22"/>
          <w:szCs w:val="22"/>
        </w:rPr>
        <w:t>Recourse requirements</w:t>
      </w:r>
      <w:r w:rsidR="00FB374D" w:rsidRPr="00EE1F6B">
        <w:rPr>
          <w:color w:val="000000" w:themeColor="text1"/>
          <w:sz w:val="22"/>
          <w:szCs w:val="22"/>
        </w:rPr>
        <w:t>.</w:t>
      </w:r>
      <w:r w:rsidRPr="00EE1F6B">
        <w:rPr>
          <w:color w:val="000000" w:themeColor="text1"/>
          <w:sz w:val="22"/>
          <w:szCs w:val="22"/>
        </w:rPr>
        <w:t xml:space="preserve"> </w:t>
      </w:r>
    </w:p>
    <w:p w:rsidR="00D668A2" w:rsidRPr="00EE1F6B" w:rsidRDefault="00D668A2" w:rsidP="00D668A2">
      <w:pPr>
        <w:pStyle w:val="ListParagraph"/>
        <w:ind w:left="1440" w:hanging="720"/>
        <w:rPr>
          <w:color w:val="000000" w:themeColor="text1"/>
          <w:sz w:val="22"/>
          <w:szCs w:val="22"/>
        </w:rPr>
      </w:pPr>
    </w:p>
    <w:p w:rsidR="00D668A2" w:rsidRPr="00EE1F6B" w:rsidRDefault="00F10C7E" w:rsidP="001D13E5">
      <w:pPr>
        <w:pStyle w:val="ListParagraph"/>
        <w:numPr>
          <w:ilvl w:val="0"/>
          <w:numId w:val="14"/>
        </w:numPr>
        <w:ind w:left="1440" w:hanging="720"/>
        <w:jc w:val="both"/>
        <w:rPr>
          <w:color w:val="000000" w:themeColor="text1"/>
          <w:sz w:val="22"/>
          <w:szCs w:val="22"/>
        </w:rPr>
      </w:pPr>
      <w:r w:rsidRPr="00EE1F6B">
        <w:rPr>
          <w:color w:val="000000" w:themeColor="text1"/>
          <w:sz w:val="22"/>
          <w:szCs w:val="22"/>
        </w:rPr>
        <w:t xml:space="preserve">Linkages with existing </w:t>
      </w:r>
      <w:r w:rsidR="00D215FF" w:rsidRPr="00EE1F6B">
        <w:rPr>
          <w:color w:val="000000" w:themeColor="text1"/>
          <w:sz w:val="22"/>
          <w:szCs w:val="22"/>
        </w:rPr>
        <w:t>national PCGSs</w:t>
      </w:r>
      <w:r w:rsidR="00FB374D" w:rsidRPr="00EE1F6B">
        <w:rPr>
          <w:color w:val="000000" w:themeColor="text1"/>
          <w:sz w:val="22"/>
          <w:szCs w:val="22"/>
        </w:rPr>
        <w:t>.</w:t>
      </w:r>
      <w:r w:rsidR="00D215FF" w:rsidRPr="00EE1F6B">
        <w:rPr>
          <w:color w:val="000000" w:themeColor="text1"/>
          <w:sz w:val="22"/>
          <w:szCs w:val="22"/>
        </w:rPr>
        <w:t xml:space="preserve"> </w:t>
      </w:r>
    </w:p>
    <w:p w:rsidR="00D668A2" w:rsidRPr="00EE1F6B" w:rsidRDefault="00D668A2" w:rsidP="00D668A2">
      <w:pPr>
        <w:pStyle w:val="ListParagraph"/>
        <w:ind w:left="1440" w:hanging="720"/>
        <w:rPr>
          <w:color w:val="000000" w:themeColor="text1"/>
          <w:sz w:val="22"/>
          <w:szCs w:val="22"/>
        </w:rPr>
      </w:pPr>
    </w:p>
    <w:p w:rsidR="00366F3B" w:rsidRPr="00EE1F6B" w:rsidRDefault="00366F3B" w:rsidP="001D13E5">
      <w:pPr>
        <w:pStyle w:val="ListParagraph"/>
        <w:numPr>
          <w:ilvl w:val="0"/>
          <w:numId w:val="14"/>
        </w:numPr>
        <w:ind w:left="1440" w:hanging="720"/>
        <w:jc w:val="both"/>
        <w:rPr>
          <w:color w:val="000000" w:themeColor="text1"/>
          <w:sz w:val="22"/>
          <w:szCs w:val="22"/>
        </w:rPr>
      </w:pPr>
      <w:r w:rsidRPr="00EE1F6B">
        <w:rPr>
          <w:color w:val="000000" w:themeColor="text1"/>
          <w:sz w:val="22"/>
          <w:szCs w:val="22"/>
        </w:rPr>
        <w:t>Sustainability plan</w:t>
      </w:r>
      <w:r w:rsidR="00FB374D" w:rsidRPr="00EE1F6B">
        <w:rPr>
          <w:color w:val="000000" w:themeColor="text1"/>
          <w:sz w:val="22"/>
          <w:szCs w:val="22"/>
        </w:rPr>
        <w:t>.</w:t>
      </w:r>
      <w:r w:rsidRPr="00EE1F6B">
        <w:rPr>
          <w:color w:val="000000" w:themeColor="text1"/>
          <w:sz w:val="22"/>
          <w:szCs w:val="22"/>
        </w:rPr>
        <w:t xml:space="preserve"> </w:t>
      </w:r>
    </w:p>
    <w:p w:rsidR="00D668A2" w:rsidRPr="00EE1F6B" w:rsidRDefault="00D668A2" w:rsidP="00D668A2">
      <w:pPr>
        <w:pStyle w:val="ListParagraph"/>
        <w:ind w:left="1440" w:hanging="720"/>
        <w:rPr>
          <w:color w:val="000000" w:themeColor="text1"/>
          <w:sz w:val="22"/>
          <w:szCs w:val="22"/>
        </w:rPr>
      </w:pPr>
    </w:p>
    <w:p w:rsidR="00EE5418" w:rsidRPr="00EE1F6B" w:rsidRDefault="00EE5418" w:rsidP="001D13E5">
      <w:pPr>
        <w:pStyle w:val="ListParagraph"/>
        <w:numPr>
          <w:ilvl w:val="0"/>
          <w:numId w:val="14"/>
        </w:numPr>
        <w:ind w:left="1440" w:hanging="720"/>
        <w:jc w:val="both"/>
        <w:rPr>
          <w:color w:val="000000" w:themeColor="text1"/>
          <w:sz w:val="22"/>
          <w:szCs w:val="22"/>
        </w:rPr>
      </w:pPr>
      <w:r w:rsidRPr="00EE1F6B">
        <w:rPr>
          <w:color w:val="000000" w:themeColor="text1"/>
          <w:sz w:val="22"/>
          <w:szCs w:val="22"/>
        </w:rPr>
        <w:t>Development of a marketing plan for the facility</w:t>
      </w:r>
      <w:r w:rsidR="00FB374D" w:rsidRPr="00EE1F6B">
        <w:rPr>
          <w:color w:val="000000" w:themeColor="text1"/>
          <w:sz w:val="22"/>
          <w:szCs w:val="22"/>
        </w:rPr>
        <w:t>:</w:t>
      </w:r>
      <w:r w:rsidRPr="00EE1F6B">
        <w:rPr>
          <w:color w:val="000000" w:themeColor="text1"/>
          <w:sz w:val="22"/>
          <w:szCs w:val="22"/>
        </w:rPr>
        <w:t xml:space="preserve"> </w:t>
      </w:r>
    </w:p>
    <w:p w:rsidR="00D668A2" w:rsidRPr="00EE1F6B" w:rsidRDefault="00D668A2" w:rsidP="00D668A2">
      <w:pPr>
        <w:pStyle w:val="ListParagraph"/>
        <w:ind w:left="1440" w:hanging="720"/>
        <w:rPr>
          <w:color w:val="000000" w:themeColor="text1"/>
          <w:sz w:val="22"/>
          <w:szCs w:val="22"/>
        </w:rPr>
      </w:pPr>
    </w:p>
    <w:p w:rsidR="00A7403A" w:rsidRPr="00EE1F6B" w:rsidRDefault="00A7403A" w:rsidP="001D13E5">
      <w:pPr>
        <w:pStyle w:val="ListParagraph"/>
        <w:numPr>
          <w:ilvl w:val="0"/>
          <w:numId w:val="13"/>
        </w:numPr>
        <w:ind w:left="2160" w:hanging="720"/>
        <w:jc w:val="both"/>
        <w:rPr>
          <w:color w:val="000000" w:themeColor="text1"/>
          <w:sz w:val="22"/>
          <w:szCs w:val="22"/>
        </w:rPr>
      </w:pPr>
      <w:r w:rsidRPr="00EE1F6B">
        <w:rPr>
          <w:color w:val="000000" w:themeColor="text1"/>
          <w:sz w:val="22"/>
          <w:szCs w:val="22"/>
        </w:rPr>
        <w:t xml:space="preserve">This should include separate strategies for engaging FIs and MSMEs </w:t>
      </w:r>
    </w:p>
    <w:p w:rsidR="00D668A2" w:rsidRPr="00EE1F6B" w:rsidRDefault="00D668A2" w:rsidP="00D668A2">
      <w:pPr>
        <w:pStyle w:val="ListParagraph"/>
        <w:ind w:left="2250"/>
        <w:jc w:val="both"/>
        <w:rPr>
          <w:color w:val="000000" w:themeColor="text1"/>
          <w:sz w:val="22"/>
          <w:szCs w:val="22"/>
        </w:rPr>
      </w:pPr>
    </w:p>
    <w:p w:rsidR="00366F3B" w:rsidRPr="00EE1F6B" w:rsidRDefault="00366F3B" w:rsidP="001D13E5">
      <w:pPr>
        <w:pStyle w:val="ListParagraph"/>
        <w:numPr>
          <w:ilvl w:val="0"/>
          <w:numId w:val="14"/>
        </w:numPr>
        <w:ind w:left="1440" w:hanging="720"/>
        <w:jc w:val="both"/>
        <w:rPr>
          <w:color w:val="000000" w:themeColor="text1"/>
          <w:sz w:val="22"/>
          <w:szCs w:val="22"/>
        </w:rPr>
      </w:pPr>
      <w:r w:rsidRPr="00EE1F6B">
        <w:rPr>
          <w:color w:val="000000" w:themeColor="text1"/>
          <w:sz w:val="22"/>
          <w:szCs w:val="22"/>
        </w:rPr>
        <w:t>M</w:t>
      </w:r>
      <w:r w:rsidR="00D215FF" w:rsidRPr="00EE1F6B">
        <w:rPr>
          <w:color w:val="000000" w:themeColor="text1"/>
          <w:sz w:val="22"/>
          <w:szCs w:val="22"/>
        </w:rPr>
        <w:t>onitoring and Evaluation p</w:t>
      </w:r>
      <w:r w:rsidRPr="00EE1F6B">
        <w:rPr>
          <w:color w:val="000000" w:themeColor="text1"/>
          <w:sz w:val="22"/>
          <w:szCs w:val="22"/>
        </w:rPr>
        <w:t>lan</w:t>
      </w:r>
      <w:r w:rsidR="00FB374D" w:rsidRPr="00EE1F6B">
        <w:rPr>
          <w:color w:val="000000" w:themeColor="text1"/>
          <w:sz w:val="22"/>
          <w:szCs w:val="22"/>
        </w:rPr>
        <w:t>.</w:t>
      </w:r>
      <w:r w:rsidRPr="00EE1F6B">
        <w:rPr>
          <w:color w:val="000000" w:themeColor="text1"/>
          <w:sz w:val="22"/>
          <w:szCs w:val="22"/>
        </w:rPr>
        <w:t xml:space="preserve"> </w:t>
      </w:r>
    </w:p>
    <w:p w:rsidR="004A4AD7" w:rsidRPr="00EE1F6B" w:rsidRDefault="004A4AD7" w:rsidP="00B915B3">
      <w:pPr>
        <w:pStyle w:val="ListParagraph"/>
        <w:ind w:left="1440"/>
        <w:jc w:val="both"/>
        <w:rPr>
          <w:color w:val="000000" w:themeColor="text1"/>
          <w:sz w:val="22"/>
          <w:szCs w:val="22"/>
        </w:rPr>
      </w:pPr>
    </w:p>
    <w:p w:rsidR="004A4AD7" w:rsidRPr="00EE1F6B" w:rsidRDefault="004A4AD7" w:rsidP="00F420B9">
      <w:pPr>
        <w:ind w:left="720"/>
        <w:jc w:val="both"/>
        <w:rPr>
          <w:rFonts w:ascii="Times New Roman" w:hAnsi="Times New Roman"/>
          <w:b/>
          <w:color w:val="000000" w:themeColor="text1"/>
          <w:sz w:val="22"/>
          <w:szCs w:val="22"/>
        </w:rPr>
      </w:pPr>
      <w:r w:rsidRPr="00EE1F6B">
        <w:rPr>
          <w:rFonts w:ascii="Times New Roman" w:hAnsi="Times New Roman"/>
          <w:b/>
          <w:color w:val="000000" w:themeColor="text1"/>
          <w:sz w:val="22"/>
          <w:szCs w:val="22"/>
        </w:rPr>
        <w:t>Component 3:</w:t>
      </w:r>
    </w:p>
    <w:p w:rsidR="00366F3B" w:rsidRPr="00EE1F6B" w:rsidRDefault="00366F3B" w:rsidP="00B915B3">
      <w:pPr>
        <w:pStyle w:val="ListParagraph"/>
        <w:ind w:left="2520"/>
        <w:jc w:val="both"/>
        <w:rPr>
          <w:color w:val="000000" w:themeColor="text1"/>
          <w:sz w:val="22"/>
          <w:szCs w:val="22"/>
        </w:rPr>
      </w:pPr>
    </w:p>
    <w:p w:rsidR="00E05BF9" w:rsidRPr="00EE1F6B" w:rsidRDefault="00026562" w:rsidP="001D13E5">
      <w:pPr>
        <w:pStyle w:val="ListParagraph"/>
        <w:numPr>
          <w:ilvl w:val="0"/>
          <w:numId w:val="15"/>
        </w:numPr>
        <w:ind w:left="1440" w:hanging="720"/>
        <w:jc w:val="both"/>
        <w:rPr>
          <w:color w:val="000000" w:themeColor="text1"/>
          <w:sz w:val="22"/>
          <w:szCs w:val="22"/>
        </w:rPr>
      </w:pPr>
      <w:r w:rsidRPr="00EE1F6B">
        <w:rPr>
          <w:color w:val="000000" w:themeColor="text1"/>
          <w:sz w:val="22"/>
          <w:szCs w:val="22"/>
        </w:rPr>
        <w:t xml:space="preserve">Develop </w:t>
      </w:r>
      <w:r w:rsidR="00EB02E0" w:rsidRPr="00EE1F6B">
        <w:rPr>
          <w:color w:val="000000" w:themeColor="text1"/>
          <w:sz w:val="22"/>
          <w:szCs w:val="22"/>
        </w:rPr>
        <w:t xml:space="preserve">a </w:t>
      </w:r>
      <w:r w:rsidR="00366F3B" w:rsidRPr="00EE1F6B">
        <w:rPr>
          <w:color w:val="000000" w:themeColor="text1"/>
          <w:sz w:val="22"/>
          <w:szCs w:val="22"/>
        </w:rPr>
        <w:t xml:space="preserve">PCGS </w:t>
      </w:r>
      <w:r w:rsidR="001D1886" w:rsidRPr="00EE1F6B">
        <w:rPr>
          <w:color w:val="000000" w:themeColor="text1"/>
          <w:sz w:val="22"/>
          <w:szCs w:val="22"/>
        </w:rPr>
        <w:t>t</w:t>
      </w:r>
      <w:r w:rsidR="00366F3B" w:rsidRPr="00EE1F6B">
        <w:rPr>
          <w:color w:val="000000" w:themeColor="text1"/>
          <w:sz w:val="22"/>
          <w:szCs w:val="22"/>
        </w:rPr>
        <w:t xml:space="preserve">raining </w:t>
      </w:r>
      <w:proofErr w:type="spellStart"/>
      <w:r w:rsidR="001D1886" w:rsidRPr="00EE1F6B">
        <w:rPr>
          <w:color w:val="000000" w:themeColor="text1"/>
          <w:sz w:val="22"/>
          <w:szCs w:val="22"/>
        </w:rPr>
        <w:t>programme</w:t>
      </w:r>
      <w:proofErr w:type="spellEnd"/>
      <w:r w:rsidR="001D1886" w:rsidRPr="00EE1F6B">
        <w:rPr>
          <w:color w:val="000000" w:themeColor="text1"/>
          <w:sz w:val="22"/>
          <w:szCs w:val="22"/>
        </w:rPr>
        <w:t xml:space="preserve"> including training manuals </w:t>
      </w:r>
      <w:r w:rsidRPr="00EE1F6B">
        <w:rPr>
          <w:color w:val="000000" w:themeColor="text1"/>
          <w:sz w:val="22"/>
          <w:szCs w:val="22"/>
        </w:rPr>
        <w:t>for</w:t>
      </w:r>
      <w:r w:rsidR="00366F3B" w:rsidRPr="00EE1F6B">
        <w:rPr>
          <w:color w:val="000000" w:themeColor="text1"/>
          <w:sz w:val="22"/>
          <w:szCs w:val="22"/>
        </w:rPr>
        <w:t xml:space="preserve"> FIs</w:t>
      </w:r>
      <w:r w:rsidR="002F78BB" w:rsidRPr="00EE1F6B">
        <w:rPr>
          <w:color w:val="000000" w:themeColor="text1"/>
          <w:sz w:val="22"/>
          <w:szCs w:val="22"/>
        </w:rPr>
        <w:t xml:space="preserve"> administering the facility in countries</w:t>
      </w:r>
      <w:r w:rsidR="001D1886" w:rsidRPr="00EE1F6B">
        <w:rPr>
          <w:color w:val="000000" w:themeColor="text1"/>
          <w:sz w:val="22"/>
          <w:szCs w:val="22"/>
        </w:rPr>
        <w:t xml:space="preserve"> and CDB staff managing the RPCGS</w:t>
      </w:r>
      <w:r w:rsidR="00E05BF9" w:rsidRPr="00EE1F6B">
        <w:rPr>
          <w:color w:val="000000" w:themeColor="text1"/>
          <w:sz w:val="22"/>
          <w:szCs w:val="22"/>
        </w:rPr>
        <w:t>.</w:t>
      </w:r>
    </w:p>
    <w:p w:rsidR="00E05BF9" w:rsidRPr="00EE1F6B" w:rsidRDefault="00E05BF9" w:rsidP="00E05BF9">
      <w:pPr>
        <w:pStyle w:val="ListParagraph"/>
        <w:ind w:left="1440"/>
        <w:jc w:val="both"/>
        <w:rPr>
          <w:color w:val="000000" w:themeColor="text1"/>
          <w:sz w:val="22"/>
          <w:szCs w:val="22"/>
        </w:rPr>
      </w:pPr>
    </w:p>
    <w:p w:rsidR="00EB55B6" w:rsidRPr="00EE1F6B" w:rsidRDefault="002F78BB" w:rsidP="001D13E5">
      <w:pPr>
        <w:pStyle w:val="ListParagraph"/>
        <w:numPr>
          <w:ilvl w:val="0"/>
          <w:numId w:val="15"/>
        </w:numPr>
        <w:ind w:left="1440" w:hanging="720"/>
        <w:jc w:val="both"/>
        <w:rPr>
          <w:color w:val="000000" w:themeColor="text1"/>
          <w:sz w:val="22"/>
          <w:szCs w:val="22"/>
        </w:rPr>
      </w:pPr>
      <w:r w:rsidRPr="00EE1F6B">
        <w:rPr>
          <w:color w:val="000000" w:themeColor="text1"/>
          <w:sz w:val="22"/>
          <w:szCs w:val="22"/>
        </w:rPr>
        <w:t>Conduct one regional c</w:t>
      </w:r>
      <w:r w:rsidR="00002DF1" w:rsidRPr="00EE1F6B">
        <w:rPr>
          <w:color w:val="000000" w:themeColor="text1"/>
          <w:sz w:val="22"/>
          <w:szCs w:val="22"/>
        </w:rPr>
        <w:t xml:space="preserve">apacity building </w:t>
      </w:r>
      <w:r w:rsidR="00EB02E0" w:rsidRPr="00EE1F6B">
        <w:rPr>
          <w:color w:val="000000" w:themeColor="text1"/>
          <w:sz w:val="22"/>
          <w:szCs w:val="22"/>
        </w:rPr>
        <w:t>training</w:t>
      </w:r>
      <w:r w:rsidR="00624B6A" w:rsidRPr="00EE1F6B">
        <w:rPr>
          <w:color w:val="000000" w:themeColor="text1"/>
          <w:sz w:val="22"/>
          <w:szCs w:val="22"/>
        </w:rPr>
        <w:t xml:space="preserve"> </w:t>
      </w:r>
      <w:r w:rsidRPr="00EE1F6B">
        <w:rPr>
          <w:color w:val="000000" w:themeColor="text1"/>
          <w:sz w:val="22"/>
          <w:szCs w:val="22"/>
        </w:rPr>
        <w:t xml:space="preserve">for </w:t>
      </w:r>
      <w:r w:rsidR="00002DF1" w:rsidRPr="00EE1F6B">
        <w:rPr>
          <w:color w:val="000000" w:themeColor="text1"/>
          <w:sz w:val="22"/>
          <w:szCs w:val="22"/>
        </w:rPr>
        <w:t xml:space="preserve">FI </w:t>
      </w:r>
      <w:r w:rsidRPr="00EE1F6B">
        <w:rPr>
          <w:color w:val="000000" w:themeColor="text1"/>
          <w:sz w:val="22"/>
          <w:szCs w:val="22"/>
        </w:rPr>
        <w:t xml:space="preserve">administering the facility in </w:t>
      </w:r>
      <w:r w:rsidR="007A3943" w:rsidRPr="00EE1F6B">
        <w:rPr>
          <w:color w:val="000000" w:themeColor="text1"/>
          <w:sz w:val="22"/>
          <w:szCs w:val="22"/>
        </w:rPr>
        <w:t>BMCs</w:t>
      </w:r>
      <w:r w:rsidR="00E05BF9" w:rsidRPr="00EE1F6B">
        <w:rPr>
          <w:color w:val="000000" w:themeColor="text1"/>
          <w:sz w:val="22"/>
          <w:szCs w:val="22"/>
        </w:rPr>
        <w:t>.</w:t>
      </w:r>
    </w:p>
    <w:p w:rsidR="00A83D7E" w:rsidRPr="00EE1F6B" w:rsidRDefault="00A83D7E" w:rsidP="00B915B3">
      <w:pPr>
        <w:pStyle w:val="ListParagraph"/>
        <w:ind w:left="450"/>
        <w:jc w:val="both"/>
        <w:rPr>
          <w:color w:val="000000" w:themeColor="text1"/>
          <w:sz w:val="22"/>
          <w:szCs w:val="22"/>
        </w:rPr>
      </w:pPr>
    </w:p>
    <w:p w:rsidR="00337177" w:rsidRPr="00EE1F6B" w:rsidRDefault="00EB55B6" w:rsidP="00B915B3">
      <w:pPr>
        <w:ind w:left="1440"/>
        <w:jc w:val="both"/>
        <w:rPr>
          <w:rFonts w:ascii="Times New Roman" w:hAnsi="Times New Roman"/>
          <w:sz w:val="22"/>
          <w:szCs w:val="22"/>
          <w:lang w:val="en-GB"/>
        </w:rPr>
      </w:pPr>
      <w:r w:rsidRPr="00EE1F6B">
        <w:rPr>
          <w:rFonts w:ascii="Times New Roman" w:hAnsi="Times New Roman"/>
          <w:sz w:val="22"/>
          <w:szCs w:val="22"/>
          <w:lang w:val="en-GB"/>
        </w:rPr>
        <w:t xml:space="preserve">Gender issues will be strategically incorporated in the capacity-building training modules to be delivered by </w:t>
      </w:r>
      <w:r w:rsidR="003D7458" w:rsidRPr="00EE1F6B">
        <w:rPr>
          <w:rFonts w:ascii="Times New Roman" w:hAnsi="Times New Roman"/>
          <w:sz w:val="22"/>
          <w:szCs w:val="22"/>
          <w:lang w:val="en-GB"/>
        </w:rPr>
        <w:t xml:space="preserve">the </w:t>
      </w:r>
      <w:r w:rsidRPr="00EE1F6B">
        <w:rPr>
          <w:rFonts w:ascii="Times New Roman" w:hAnsi="Times New Roman"/>
          <w:sz w:val="22"/>
          <w:szCs w:val="22"/>
          <w:lang w:val="en-GB"/>
        </w:rPr>
        <w:t>consultant.</w:t>
      </w:r>
    </w:p>
    <w:p w:rsidR="00337177" w:rsidRPr="00EE1F6B" w:rsidRDefault="00337177" w:rsidP="00B915B3">
      <w:pPr>
        <w:ind w:left="1440"/>
        <w:jc w:val="both"/>
        <w:rPr>
          <w:rFonts w:ascii="Times New Roman" w:hAnsi="Times New Roman"/>
          <w:sz w:val="22"/>
          <w:szCs w:val="22"/>
          <w:lang w:val="en-GB"/>
        </w:rPr>
      </w:pPr>
    </w:p>
    <w:p w:rsidR="00337177" w:rsidRPr="00EE1F6B" w:rsidRDefault="00337177" w:rsidP="00B915B3">
      <w:pPr>
        <w:ind w:left="1440"/>
        <w:jc w:val="both"/>
        <w:rPr>
          <w:rFonts w:ascii="Times New Roman" w:hAnsi="Times New Roman"/>
          <w:sz w:val="22"/>
          <w:szCs w:val="22"/>
          <w:lang w:val="en-GB"/>
        </w:rPr>
      </w:pPr>
    </w:p>
    <w:p w:rsidR="00E05BF9" w:rsidRPr="00EE1F6B" w:rsidRDefault="00E05BF9" w:rsidP="00B915B3">
      <w:pPr>
        <w:ind w:left="1440"/>
        <w:jc w:val="both"/>
        <w:rPr>
          <w:rFonts w:ascii="Times New Roman" w:hAnsi="Times New Roman"/>
          <w:sz w:val="22"/>
          <w:szCs w:val="22"/>
          <w:lang w:val="en-GB"/>
        </w:rPr>
      </w:pPr>
      <w:r w:rsidRPr="00EE1F6B">
        <w:rPr>
          <w:rFonts w:ascii="Times New Roman" w:hAnsi="Times New Roman"/>
          <w:sz w:val="22"/>
          <w:szCs w:val="22"/>
          <w:lang w:val="en-GB"/>
        </w:rPr>
        <w:br w:type="page"/>
      </w:r>
    </w:p>
    <w:p w:rsidR="00EB55B6" w:rsidRPr="00EE1F6B" w:rsidRDefault="00A37399" w:rsidP="00B915B3">
      <w:pPr>
        <w:widowControl/>
        <w:autoSpaceDE/>
        <w:autoSpaceDN/>
        <w:adjustRightInd/>
        <w:jc w:val="both"/>
        <w:rPr>
          <w:rFonts w:ascii="Times New Roman" w:eastAsia="Calibri" w:hAnsi="Times New Roman"/>
          <w:b/>
          <w:sz w:val="22"/>
          <w:szCs w:val="22"/>
          <w:u w:val="single"/>
          <w:lang w:val="en-GB"/>
        </w:rPr>
      </w:pPr>
      <w:r w:rsidRPr="00EE1F6B">
        <w:rPr>
          <w:rFonts w:ascii="Times New Roman" w:eastAsia="Calibri" w:hAnsi="Times New Roman"/>
          <w:sz w:val="22"/>
          <w:szCs w:val="22"/>
          <w:lang w:val="en-GB"/>
        </w:rPr>
        <w:lastRenderedPageBreak/>
        <w:t>4.</w:t>
      </w:r>
      <w:r w:rsidRPr="00EE1F6B">
        <w:rPr>
          <w:rFonts w:ascii="Times New Roman" w:eastAsia="Calibri" w:hAnsi="Times New Roman"/>
          <w:sz w:val="22"/>
          <w:szCs w:val="22"/>
          <w:lang w:val="en-GB"/>
        </w:rPr>
        <w:tab/>
      </w:r>
      <w:r w:rsidR="00EB55B6" w:rsidRPr="00EE1F6B">
        <w:rPr>
          <w:rFonts w:ascii="Times New Roman" w:eastAsia="Calibri" w:hAnsi="Times New Roman"/>
          <w:b/>
          <w:sz w:val="22"/>
          <w:szCs w:val="22"/>
          <w:u w:val="single"/>
          <w:lang w:val="en-GB"/>
        </w:rPr>
        <w:t xml:space="preserve">REPORTING REQUIREMENTS </w:t>
      </w:r>
    </w:p>
    <w:p w:rsidR="00EB55B6" w:rsidRPr="00EE1F6B" w:rsidRDefault="00EB55B6" w:rsidP="00B915B3">
      <w:pPr>
        <w:widowControl/>
        <w:autoSpaceDE/>
        <w:autoSpaceDN/>
        <w:adjustRightInd/>
        <w:jc w:val="both"/>
        <w:rPr>
          <w:rFonts w:ascii="Times New Roman" w:eastAsia="Calibri" w:hAnsi="Times New Roman"/>
          <w:b/>
          <w:sz w:val="22"/>
          <w:szCs w:val="22"/>
          <w:lang w:val="en-GB"/>
        </w:rPr>
      </w:pPr>
    </w:p>
    <w:p w:rsidR="00EB55B6" w:rsidRPr="00EE1F6B" w:rsidRDefault="00EB55B6" w:rsidP="001D13E5">
      <w:pPr>
        <w:widowControl/>
        <w:numPr>
          <w:ilvl w:val="1"/>
          <w:numId w:val="2"/>
        </w:numPr>
        <w:autoSpaceDE/>
        <w:autoSpaceDN/>
        <w:adjustRightInd/>
        <w:ind w:left="0" w:firstLine="0"/>
        <w:jc w:val="both"/>
        <w:rPr>
          <w:rFonts w:ascii="Times New Roman" w:eastAsia="Calibri" w:hAnsi="Times New Roman"/>
          <w:sz w:val="22"/>
          <w:szCs w:val="22"/>
          <w:lang w:val="en-GB"/>
        </w:rPr>
      </w:pPr>
      <w:r w:rsidRPr="00EE1F6B">
        <w:rPr>
          <w:rFonts w:ascii="Times New Roman" w:eastAsia="Calibri" w:hAnsi="Times New Roman"/>
          <w:sz w:val="22"/>
          <w:szCs w:val="22"/>
          <w:lang w:val="en-GB"/>
        </w:rPr>
        <w:t xml:space="preserve">The Consultant will be required to submit an electronic copy to </w:t>
      </w:r>
      <w:r w:rsidR="00CD3DCC" w:rsidRPr="00EE1F6B">
        <w:rPr>
          <w:rFonts w:ascii="Times New Roman" w:eastAsia="Calibri" w:hAnsi="Times New Roman"/>
          <w:sz w:val="22"/>
          <w:szCs w:val="22"/>
          <w:lang w:val="en-GB"/>
        </w:rPr>
        <w:t>CDB</w:t>
      </w:r>
      <w:r w:rsidRPr="00EE1F6B">
        <w:rPr>
          <w:rFonts w:ascii="Times New Roman" w:eastAsia="Calibri" w:hAnsi="Times New Roman"/>
          <w:sz w:val="22"/>
          <w:szCs w:val="22"/>
          <w:lang w:val="en-GB"/>
        </w:rPr>
        <w:t xml:space="preserve"> of the following reports:</w:t>
      </w:r>
    </w:p>
    <w:p w:rsidR="00EB55B6" w:rsidRPr="00EE1F6B" w:rsidRDefault="00EB55B6" w:rsidP="00B915B3">
      <w:pPr>
        <w:widowControl/>
        <w:autoSpaceDE/>
        <w:autoSpaceDN/>
        <w:adjustRightInd/>
        <w:jc w:val="both"/>
        <w:rPr>
          <w:rFonts w:ascii="Times New Roman" w:eastAsia="Calibri" w:hAnsi="Times New Roman"/>
          <w:sz w:val="22"/>
          <w:szCs w:val="22"/>
          <w:lang w:val="en-GB"/>
        </w:rPr>
      </w:pPr>
    </w:p>
    <w:p w:rsidR="00A537C1" w:rsidRPr="00EE1F6B" w:rsidRDefault="00EB55B6" w:rsidP="001D13E5">
      <w:pPr>
        <w:pStyle w:val="ListParagraph"/>
        <w:numPr>
          <w:ilvl w:val="0"/>
          <w:numId w:val="5"/>
        </w:numPr>
        <w:ind w:left="1440" w:hanging="720"/>
        <w:jc w:val="both"/>
        <w:rPr>
          <w:rFonts w:eastAsia="Calibri"/>
          <w:sz w:val="22"/>
          <w:szCs w:val="22"/>
          <w:lang w:val="en-GB"/>
        </w:rPr>
      </w:pPr>
      <w:r w:rsidRPr="00EE1F6B">
        <w:rPr>
          <w:rFonts w:eastAsia="Calibri"/>
          <w:b/>
          <w:sz w:val="22"/>
          <w:szCs w:val="22"/>
          <w:lang w:val="en-GB"/>
        </w:rPr>
        <w:t>Inception Report:</w:t>
      </w:r>
      <w:r w:rsidRPr="00EE1F6B">
        <w:rPr>
          <w:rFonts w:eastAsia="Calibri"/>
          <w:sz w:val="22"/>
          <w:szCs w:val="22"/>
          <w:lang w:val="en-GB"/>
        </w:rPr>
        <w:t xml:space="preserve">  Within </w:t>
      </w:r>
      <w:r w:rsidR="001C4B03" w:rsidRPr="00EE1F6B">
        <w:rPr>
          <w:rFonts w:eastAsia="Calibri"/>
          <w:sz w:val="22"/>
          <w:szCs w:val="22"/>
          <w:lang w:val="en-GB"/>
        </w:rPr>
        <w:t xml:space="preserve">two </w:t>
      </w:r>
      <w:r w:rsidRPr="00EE1F6B">
        <w:rPr>
          <w:rFonts w:eastAsia="Calibri"/>
          <w:sz w:val="22"/>
          <w:szCs w:val="22"/>
          <w:lang w:val="en-GB"/>
        </w:rPr>
        <w:t>(</w:t>
      </w:r>
      <w:r w:rsidR="001C4B03" w:rsidRPr="00EE1F6B">
        <w:rPr>
          <w:rFonts w:eastAsia="Calibri"/>
          <w:sz w:val="22"/>
          <w:szCs w:val="22"/>
          <w:lang w:val="en-GB"/>
        </w:rPr>
        <w:t xml:space="preserve">2) weeks </w:t>
      </w:r>
      <w:r w:rsidRPr="00EE1F6B">
        <w:rPr>
          <w:rFonts w:eastAsia="Calibri"/>
          <w:sz w:val="22"/>
          <w:szCs w:val="22"/>
          <w:lang w:val="en-GB"/>
        </w:rPr>
        <w:t xml:space="preserve">of signing the contract, the consultant will submit an Inception Report. </w:t>
      </w:r>
      <w:r w:rsidR="00A37399" w:rsidRPr="00EE1F6B">
        <w:rPr>
          <w:rFonts w:eastAsia="Calibri"/>
          <w:sz w:val="22"/>
          <w:szCs w:val="22"/>
          <w:lang w:val="en-GB"/>
        </w:rPr>
        <w:t xml:space="preserve"> </w:t>
      </w:r>
      <w:r w:rsidRPr="00EE1F6B">
        <w:rPr>
          <w:rFonts w:eastAsia="Calibri"/>
          <w:sz w:val="22"/>
          <w:szCs w:val="22"/>
          <w:lang w:val="en-GB"/>
        </w:rPr>
        <w:t>The report should</w:t>
      </w:r>
      <w:r w:rsidR="00A537C1" w:rsidRPr="00EE1F6B">
        <w:rPr>
          <w:rFonts w:eastAsia="Calibri"/>
          <w:sz w:val="22"/>
          <w:szCs w:val="22"/>
          <w:lang w:val="en-GB"/>
        </w:rPr>
        <w:t xml:space="preserve"> outline:</w:t>
      </w:r>
    </w:p>
    <w:p w:rsidR="00A37399" w:rsidRPr="00EE1F6B" w:rsidRDefault="00A37399" w:rsidP="00A37399">
      <w:pPr>
        <w:pStyle w:val="ListParagraph"/>
        <w:ind w:left="1440"/>
        <w:jc w:val="both"/>
        <w:rPr>
          <w:rFonts w:eastAsia="Calibri"/>
          <w:sz w:val="22"/>
          <w:szCs w:val="22"/>
          <w:lang w:val="en-GB"/>
        </w:rPr>
      </w:pPr>
    </w:p>
    <w:p w:rsidR="00A537C1" w:rsidRPr="00EE1F6B" w:rsidRDefault="003D7458" w:rsidP="001D13E5">
      <w:pPr>
        <w:pStyle w:val="ListParagraph"/>
        <w:numPr>
          <w:ilvl w:val="1"/>
          <w:numId w:val="5"/>
        </w:numPr>
        <w:ind w:left="2160" w:hanging="720"/>
        <w:rPr>
          <w:rFonts w:eastAsia="Calibri"/>
          <w:sz w:val="22"/>
          <w:szCs w:val="22"/>
          <w:lang w:val="en-GB"/>
        </w:rPr>
      </w:pPr>
      <w:r w:rsidRPr="00EE1F6B">
        <w:rPr>
          <w:rFonts w:eastAsia="Calibri"/>
          <w:sz w:val="22"/>
          <w:szCs w:val="22"/>
          <w:lang w:val="en-GB"/>
        </w:rPr>
        <w:t>The p</w:t>
      </w:r>
      <w:r w:rsidR="00A537C1" w:rsidRPr="00EE1F6B">
        <w:rPr>
          <w:rFonts w:eastAsia="Calibri"/>
          <w:sz w:val="22"/>
          <w:szCs w:val="22"/>
          <w:lang w:val="en-GB"/>
        </w:rPr>
        <w:t>roposed methodology for the consultancy</w:t>
      </w:r>
      <w:r w:rsidR="00A37399" w:rsidRPr="00EE1F6B">
        <w:rPr>
          <w:rFonts w:eastAsia="Calibri"/>
          <w:sz w:val="22"/>
          <w:szCs w:val="22"/>
          <w:lang w:val="en-GB"/>
        </w:rPr>
        <w:t>.</w:t>
      </w:r>
    </w:p>
    <w:p w:rsidR="00A37399" w:rsidRPr="00EE1F6B" w:rsidRDefault="00A37399" w:rsidP="00A37399">
      <w:pPr>
        <w:pStyle w:val="ListParagraph"/>
        <w:ind w:left="2160"/>
        <w:rPr>
          <w:rFonts w:eastAsia="Calibri"/>
          <w:sz w:val="22"/>
          <w:szCs w:val="22"/>
          <w:lang w:val="en-GB"/>
        </w:rPr>
      </w:pPr>
    </w:p>
    <w:p w:rsidR="00A537C1" w:rsidRPr="00EE1F6B" w:rsidRDefault="00A537C1" w:rsidP="001D13E5">
      <w:pPr>
        <w:pStyle w:val="ListParagraph"/>
        <w:numPr>
          <w:ilvl w:val="1"/>
          <w:numId w:val="5"/>
        </w:numPr>
        <w:ind w:left="2160" w:hanging="720"/>
        <w:rPr>
          <w:rFonts w:eastAsia="Calibri"/>
          <w:sz w:val="22"/>
          <w:szCs w:val="22"/>
          <w:lang w:val="en-GB"/>
        </w:rPr>
      </w:pPr>
      <w:r w:rsidRPr="00EE1F6B">
        <w:rPr>
          <w:rFonts w:eastAsia="Calibri"/>
          <w:sz w:val="22"/>
          <w:szCs w:val="22"/>
          <w:lang w:val="en-GB"/>
        </w:rPr>
        <w:t>Work breakdown structure</w:t>
      </w:r>
      <w:r w:rsidR="00FB374D" w:rsidRPr="00EE1F6B">
        <w:rPr>
          <w:rFonts w:eastAsia="Calibri"/>
          <w:sz w:val="22"/>
          <w:szCs w:val="22"/>
          <w:lang w:val="en-GB"/>
        </w:rPr>
        <w:t>,</w:t>
      </w:r>
      <w:r w:rsidRPr="00EE1F6B">
        <w:rPr>
          <w:rFonts w:eastAsia="Calibri"/>
          <w:sz w:val="22"/>
          <w:szCs w:val="22"/>
          <w:lang w:val="en-GB"/>
        </w:rPr>
        <w:t xml:space="preserve"> including times for the deliverables</w:t>
      </w:r>
      <w:r w:rsidR="00EC0842" w:rsidRPr="00EE1F6B">
        <w:rPr>
          <w:rFonts w:eastAsia="Calibri"/>
          <w:sz w:val="22"/>
          <w:szCs w:val="22"/>
          <w:lang w:val="en-GB"/>
        </w:rPr>
        <w:t xml:space="preserve"> and </w:t>
      </w:r>
      <w:r w:rsidRPr="00EE1F6B">
        <w:rPr>
          <w:rFonts w:eastAsia="Calibri"/>
          <w:sz w:val="22"/>
          <w:szCs w:val="22"/>
          <w:lang w:val="en-GB"/>
        </w:rPr>
        <w:t>risk</w:t>
      </w:r>
      <w:r w:rsidR="00FB374D" w:rsidRPr="00EE1F6B">
        <w:rPr>
          <w:rFonts w:eastAsia="Calibri"/>
          <w:sz w:val="22"/>
          <w:szCs w:val="22"/>
          <w:lang w:val="en-GB"/>
        </w:rPr>
        <w:t>s</w:t>
      </w:r>
      <w:r w:rsidRPr="00EE1F6B">
        <w:rPr>
          <w:rFonts w:eastAsia="Calibri"/>
          <w:sz w:val="22"/>
          <w:szCs w:val="22"/>
          <w:lang w:val="en-GB"/>
        </w:rPr>
        <w:t xml:space="preserve"> </w:t>
      </w:r>
      <w:r w:rsidR="00EC0842" w:rsidRPr="00EE1F6B">
        <w:rPr>
          <w:rFonts w:eastAsia="Calibri"/>
          <w:sz w:val="22"/>
          <w:szCs w:val="22"/>
          <w:lang w:val="en-GB"/>
        </w:rPr>
        <w:t xml:space="preserve">and risk mitigation </w:t>
      </w:r>
      <w:r w:rsidRPr="00EE1F6B">
        <w:rPr>
          <w:rFonts w:eastAsia="Calibri"/>
          <w:sz w:val="22"/>
          <w:szCs w:val="22"/>
          <w:lang w:val="en-GB"/>
        </w:rPr>
        <w:t>matrix</w:t>
      </w:r>
      <w:r w:rsidR="00A37399" w:rsidRPr="00EE1F6B">
        <w:rPr>
          <w:rFonts w:eastAsia="Calibri"/>
          <w:sz w:val="22"/>
          <w:szCs w:val="22"/>
          <w:lang w:val="en-GB"/>
        </w:rPr>
        <w:t>.</w:t>
      </w:r>
    </w:p>
    <w:p w:rsidR="00A37399" w:rsidRPr="00EE1F6B" w:rsidRDefault="00A37399" w:rsidP="00A37399">
      <w:pPr>
        <w:pStyle w:val="ListParagraph"/>
        <w:rPr>
          <w:rFonts w:eastAsia="Calibri"/>
          <w:sz w:val="22"/>
          <w:szCs w:val="22"/>
          <w:lang w:val="en-GB"/>
        </w:rPr>
      </w:pPr>
    </w:p>
    <w:p w:rsidR="00EC0842" w:rsidRPr="00EE1F6B" w:rsidRDefault="00A537C1" w:rsidP="001D13E5">
      <w:pPr>
        <w:pStyle w:val="ListParagraph"/>
        <w:numPr>
          <w:ilvl w:val="1"/>
          <w:numId w:val="5"/>
        </w:numPr>
        <w:ind w:left="2160" w:hanging="720"/>
        <w:rPr>
          <w:rFonts w:eastAsia="Calibri"/>
          <w:sz w:val="22"/>
          <w:szCs w:val="22"/>
          <w:lang w:val="en-GB"/>
        </w:rPr>
      </w:pPr>
      <w:r w:rsidRPr="00EE1F6B">
        <w:rPr>
          <w:rFonts w:eastAsia="Calibri"/>
          <w:sz w:val="22"/>
          <w:szCs w:val="22"/>
          <w:lang w:val="en-GB"/>
        </w:rPr>
        <w:t xml:space="preserve">Summary of </w:t>
      </w:r>
      <w:r w:rsidR="00EC0842" w:rsidRPr="00EE1F6B">
        <w:rPr>
          <w:rFonts w:eastAsia="Calibri"/>
          <w:sz w:val="22"/>
          <w:szCs w:val="22"/>
          <w:lang w:val="en-GB"/>
        </w:rPr>
        <w:t>inception meeting</w:t>
      </w:r>
      <w:r w:rsidRPr="00EE1F6B">
        <w:rPr>
          <w:rFonts w:eastAsia="Calibri"/>
          <w:sz w:val="22"/>
          <w:szCs w:val="22"/>
          <w:lang w:val="en-GB"/>
        </w:rPr>
        <w:t xml:space="preserve"> with CDB staff on </w:t>
      </w:r>
      <w:r w:rsidR="003D7458" w:rsidRPr="00EE1F6B">
        <w:rPr>
          <w:rFonts w:eastAsia="Calibri"/>
          <w:sz w:val="22"/>
          <w:szCs w:val="22"/>
          <w:lang w:val="en-GB"/>
        </w:rPr>
        <w:t xml:space="preserve">the </w:t>
      </w:r>
      <w:r w:rsidRPr="00EE1F6B">
        <w:rPr>
          <w:rFonts w:eastAsia="Calibri"/>
          <w:sz w:val="22"/>
          <w:szCs w:val="22"/>
          <w:lang w:val="en-GB"/>
        </w:rPr>
        <w:t>project</w:t>
      </w:r>
      <w:r w:rsidR="00A37399" w:rsidRPr="00EE1F6B">
        <w:rPr>
          <w:rFonts w:eastAsia="Calibri"/>
          <w:sz w:val="22"/>
          <w:szCs w:val="22"/>
          <w:lang w:val="en-GB"/>
        </w:rPr>
        <w:t>.</w:t>
      </w:r>
    </w:p>
    <w:p w:rsidR="00A37399" w:rsidRPr="00EE1F6B" w:rsidRDefault="00A37399" w:rsidP="00A37399">
      <w:pPr>
        <w:pStyle w:val="ListParagraph"/>
        <w:rPr>
          <w:rFonts w:eastAsia="Calibri"/>
          <w:sz w:val="22"/>
          <w:szCs w:val="22"/>
          <w:lang w:val="en-GB"/>
        </w:rPr>
      </w:pPr>
    </w:p>
    <w:p w:rsidR="00EC0842" w:rsidRPr="00EE1F6B" w:rsidRDefault="00EC0842" w:rsidP="001D13E5">
      <w:pPr>
        <w:pStyle w:val="ListParagraph"/>
        <w:numPr>
          <w:ilvl w:val="1"/>
          <w:numId w:val="5"/>
        </w:numPr>
        <w:ind w:left="2160" w:hanging="720"/>
        <w:rPr>
          <w:rFonts w:eastAsia="Calibri"/>
          <w:sz w:val="22"/>
          <w:szCs w:val="22"/>
          <w:lang w:val="en-GB"/>
        </w:rPr>
      </w:pPr>
      <w:r w:rsidRPr="00EE1F6B">
        <w:rPr>
          <w:rFonts w:eastAsia="Calibri"/>
          <w:sz w:val="22"/>
          <w:szCs w:val="22"/>
          <w:lang w:val="en-GB"/>
        </w:rPr>
        <w:t>S</w:t>
      </w:r>
      <w:r w:rsidR="00EB55B6" w:rsidRPr="00EE1F6B">
        <w:rPr>
          <w:rFonts w:eastAsia="Calibri"/>
          <w:sz w:val="22"/>
          <w:szCs w:val="22"/>
          <w:lang w:val="en-GB"/>
        </w:rPr>
        <w:t>cope of works outline</w:t>
      </w:r>
      <w:r w:rsidR="003D7458" w:rsidRPr="00EE1F6B">
        <w:rPr>
          <w:rFonts w:eastAsia="Calibri"/>
          <w:sz w:val="22"/>
          <w:szCs w:val="22"/>
          <w:lang w:val="en-GB"/>
        </w:rPr>
        <w:t>,</w:t>
      </w:r>
      <w:r w:rsidR="00EB55B6" w:rsidRPr="00EE1F6B">
        <w:rPr>
          <w:rFonts w:eastAsia="Calibri"/>
          <w:sz w:val="22"/>
          <w:szCs w:val="22"/>
          <w:lang w:val="en-GB"/>
        </w:rPr>
        <w:t xml:space="preserve"> including initial findings</w:t>
      </w:r>
      <w:r w:rsidR="00A37399" w:rsidRPr="00EE1F6B">
        <w:rPr>
          <w:rFonts w:eastAsia="Calibri"/>
          <w:sz w:val="22"/>
          <w:szCs w:val="22"/>
          <w:lang w:val="en-GB"/>
        </w:rPr>
        <w:t>.</w:t>
      </w:r>
      <w:r w:rsidR="00EB55B6" w:rsidRPr="00EE1F6B">
        <w:rPr>
          <w:rFonts w:eastAsia="Calibri"/>
          <w:sz w:val="22"/>
          <w:szCs w:val="22"/>
          <w:lang w:val="en-GB"/>
        </w:rPr>
        <w:t xml:space="preserve"> </w:t>
      </w:r>
    </w:p>
    <w:p w:rsidR="00EC0842" w:rsidRPr="00EE1F6B" w:rsidRDefault="00EC0842" w:rsidP="00B915B3">
      <w:pPr>
        <w:ind w:left="360"/>
        <w:rPr>
          <w:rFonts w:ascii="Times New Roman" w:eastAsia="Calibri" w:hAnsi="Times New Roman"/>
          <w:sz w:val="22"/>
          <w:szCs w:val="22"/>
          <w:lang w:val="en-GB"/>
        </w:rPr>
      </w:pPr>
    </w:p>
    <w:p w:rsidR="00E01327" w:rsidRPr="00EE1F6B" w:rsidRDefault="00E01327" w:rsidP="00A37399">
      <w:pPr>
        <w:ind w:left="1440"/>
        <w:rPr>
          <w:rFonts w:ascii="Times New Roman" w:eastAsia="Calibri" w:hAnsi="Times New Roman"/>
          <w:sz w:val="22"/>
          <w:szCs w:val="22"/>
          <w:lang w:val="en-GB"/>
        </w:rPr>
      </w:pPr>
      <w:r w:rsidRPr="00EE1F6B">
        <w:rPr>
          <w:rFonts w:ascii="Times New Roman" w:eastAsia="Calibri" w:hAnsi="Times New Roman"/>
          <w:sz w:val="22"/>
          <w:szCs w:val="22"/>
          <w:lang w:val="en-GB"/>
        </w:rPr>
        <w:t xml:space="preserve">Comments to be provided by CDB within </w:t>
      </w:r>
      <w:r w:rsidR="00EC0842" w:rsidRPr="00EE1F6B">
        <w:rPr>
          <w:rFonts w:ascii="Times New Roman" w:eastAsia="Calibri" w:hAnsi="Times New Roman"/>
          <w:sz w:val="22"/>
          <w:szCs w:val="22"/>
          <w:lang w:val="en-GB"/>
        </w:rPr>
        <w:t>one (1</w:t>
      </w:r>
      <w:r w:rsidR="00B442BF" w:rsidRPr="00EE1F6B">
        <w:rPr>
          <w:rFonts w:ascii="Times New Roman" w:eastAsia="Calibri" w:hAnsi="Times New Roman"/>
          <w:sz w:val="22"/>
          <w:szCs w:val="22"/>
          <w:lang w:val="en-GB"/>
        </w:rPr>
        <w:t xml:space="preserve">) </w:t>
      </w:r>
      <w:r w:rsidRPr="00EE1F6B">
        <w:rPr>
          <w:rFonts w:ascii="Times New Roman" w:eastAsia="Calibri" w:hAnsi="Times New Roman"/>
          <w:sz w:val="22"/>
          <w:szCs w:val="22"/>
          <w:lang w:val="en-GB"/>
        </w:rPr>
        <w:t>week of submission.</w:t>
      </w:r>
    </w:p>
    <w:p w:rsidR="00EB55B6" w:rsidRPr="00EE1F6B" w:rsidRDefault="00EB55B6" w:rsidP="00B915B3">
      <w:pPr>
        <w:widowControl/>
        <w:autoSpaceDE/>
        <w:autoSpaceDN/>
        <w:adjustRightInd/>
        <w:ind w:left="720"/>
        <w:jc w:val="both"/>
        <w:rPr>
          <w:rFonts w:ascii="Times New Roman" w:eastAsia="Calibri" w:hAnsi="Times New Roman"/>
          <w:sz w:val="22"/>
          <w:szCs w:val="22"/>
          <w:lang w:val="en-GB"/>
        </w:rPr>
      </w:pPr>
    </w:p>
    <w:p w:rsidR="00EB55B6" w:rsidRPr="00EE1F6B" w:rsidRDefault="00CD3DCC" w:rsidP="001D13E5">
      <w:pPr>
        <w:widowControl/>
        <w:numPr>
          <w:ilvl w:val="0"/>
          <w:numId w:val="5"/>
        </w:numPr>
        <w:autoSpaceDE/>
        <w:autoSpaceDN/>
        <w:adjustRightInd/>
        <w:ind w:left="1440" w:hanging="720"/>
        <w:jc w:val="both"/>
        <w:rPr>
          <w:rFonts w:ascii="Times New Roman" w:eastAsia="Calibri" w:hAnsi="Times New Roman"/>
          <w:sz w:val="22"/>
          <w:szCs w:val="22"/>
          <w:lang w:val="en-GB"/>
        </w:rPr>
      </w:pPr>
      <w:r w:rsidRPr="00EE1F6B">
        <w:rPr>
          <w:rFonts w:ascii="Times New Roman" w:eastAsia="Calibri" w:hAnsi="Times New Roman"/>
          <w:b/>
          <w:sz w:val="22"/>
          <w:szCs w:val="22"/>
          <w:lang w:val="en-GB"/>
        </w:rPr>
        <w:t xml:space="preserve">Draft </w:t>
      </w:r>
      <w:r w:rsidR="00EB55B6" w:rsidRPr="00EE1F6B">
        <w:rPr>
          <w:rFonts w:ascii="Times New Roman" w:eastAsia="Calibri" w:hAnsi="Times New Roman"/>
          <w:b/>
          <w:sz w:val="22"/>
          <w:szCs w:val="22"/>
          <w:lang w:val="en-GB"/>
        </w:rPr>
        <w:t>Report</w:t>
      </w:r>
      <w:r w:rsidRPr="00EE1F6B">
        <w:rPr>
          <w:rFonts w:ascii="Times New Roman" w:eastAsia="Calibri" w:hAnsi="Times New Roman"/>
          <w:b/>
          <w:sz w:val="22"/>
          <w:szCs w:val="22"/>
          <w:lang w:val="en-GB"/>
        </w:rPr>
        <w:t xml:space="preserve"> 2:</w:t>
      </w:r>
      <w:r w:rsidR="00EB55B6" w:rsidRPr="00EE1F6B">
        <w:rPr>
          <w:rFonts w:ascii="Times New Roman" w:eastAsia="Calibri" w:hAnsi="Times New Roman"/>
          <w:sz w:val="22"/>
          <w:szCs w:val="22"/>
          <w:lang w:val="en-GB"/>
        </w:rPr>
        <w:t xml:space="preserve">  Within </w:t>
      </w:r>
      <w:r w:rsidR="00402FFA" w:rsidRPr="00EE1F6B">
        <w:rPr>
          <w:rFonts w:ascii="Times New Roman" w:eastAsia="Calibri" w:hAnsi="Times New Roman"/>
          <w:sz w:val="22"/>
          <w:szCs w:val="22"/>
          <w:lang w:val="en-GB"/>
        </w:rPr>
        <w:t xml:space="preserve">six </w:t>
      </w:r>
      <w:r w:rsidR="00EB55B6" w:rsidRPr="00EE1F6B">
        <w:rPr>
          <w:rFonts w:ascii="Times New Roman" w:eastAsia="Calibri" w:hAnsi="Times New Roman"/>
          <w:sz w:val="22"/>
          <w:szCs w:val="22"/>
          <w:lang w:val="en-GB"/>
        </w:rPr>
        <w:t>(</w:t>
      </w:r>
      <w:r w:rsidR="00A7403A" w:rsidRPr="00EE1F6B">
        <w:rPr>
          <w:rFonts w:ascii="Times New Roman" w:eastAsia="Calibri" w:hAnsi="Times New Roman"/>
          <w:sz w:val="22"/>
          <w:szCs w:val="22"/>
          <w:lang w:val="en-GB"/>
        </w:rPr>
        <w:t>6</w:t>
      </w:r>
      <w:r w:rsidR="00EB55B6" w:rsidRPr="00EE1F6B">
        <w:rPr>
          <w:rFonts w:ascii="Times New Roman" w:eastAsia="Calibri" w:hAnsi="Times New Roman"/>
          <w:sz w:val="22"/>
          <w:szCs w:val="22"/>
          <w:lang w:val="en-GB"/>
        </w:rPr>
        <w:t>) weeks of signing the contract, the consultant</w:t>
      </w:r>
      <w:r w:rsidR="005B6F76" w:rsidRPr="00EE1F6B">
        <w:rPr>
          <w:rFonts w:ascii="Times New Roman" w:eastAsia="Calibri" w:hAnsi="Times New Roman"/>
          <w:sz w:val="22"/>
          <w:szCs w:val="22"/>
          <w:lang w:val="en-GB"/>
        </w:rPr>
        <w:t xml:space="preserve"> will </w:t>
      </w:r>
      <w:r w:rsidR="00AE316B" w:rsidRPr="00EE1F6B">
        <w:rPr>
          <w:rFonts w:ascii="Times New Roman" w:eastAsia="Calibri" w:hAnsi="Times New Roman"/>
          <w:sz w:val="22"/>
          <w:szCs w:val="22"/>
          <w:lang w:val="en-GB"/>
        </w:rPr>
        <w:t xml:space="preserve">submit </w:t>
      </w:r>
      <w:r w:rsidR="005B6F76" w:rsidRPr="00EE1F6B">
        <w:rPr>
          <w:rFonts w:ascii="Times New Roman" w:eastAsia="Calibri" w:hAnsi="Times New Roman"/>
          <w:sz w:val="22"/>
          <w:szCs w:val="22"/>
          <w:lang w:val="en-GB"/>
        </w:rPr>
        <w:t>a r</w:t>
      </w:r>
      <w:r w:rsidRPr="00EE1F6B">
        <w:rPr>
          <w:rFonts w:ascii="Times New Roman" w:eastAsia="Calibri" w:hAnsi="Times New Roman"/>
          <w:sz w:val="22"/>
          <w:szCs w:val="22"/>
          <w:lang w:val="en-GB"/>
        </w:rPr>
        <w:t>eport on the national and regional MSMEs Credit Guarantee Schemes within CDB’s BMCs</w:t>
      </w:r>
      <w:r w:rsidR="00A7403A" w:rsidRPr="00EE1F6B">
        <w:rPr>
          <w:rFonts w:ascii="Times New Roman" w:eastAsia="Calibri" w:hAnsi="Times New Roman"/>
          <w:sz w:val="22"/>
          <w:szCs w:val="22"/>
          <w:lang w:val="en-GB"/>
        </w:rPr>
        <w:t xml:space="preserve">. The report should include deliverables for </w:t>
      </w:r>
      <w:r w:rsidR="00EB55B6" w:rsidRPr="00EE1F6B">
        <w:rPr>
          <w:rFonts w:ascii="Times New Roman" w:eastAsia="Calibri" w:hAnsi="Times New Roman"/>
          <w:sz w:val="22"/>
          <w:szCs w:val="22"/>
          <w:lang w:val="en-GB"/>
        </w:rPr>
        <w:t xml:space="preserve">items </w:t>
      </w:r>
      <w:r w:rsidR="00A7403A" w:rsidRPr="00EE1F6B">
        <w:rPr>
          <w:rFonts w:ascii="Times New Roman" w:eastAsia="Calibri" w:hAnsi="Times New Roman"/>
          <w:sz w:val="22"/>
          <w:szCs w:val="22"/>
          <w:lang w:val="en-GB"/>
        </w:rPr>
        <w:t>listed under</w:t>
      </w:r>
      <w:r w:rsidR="00EB55B6" w:rsidRPr="00EE1F6B">
        <w:rPr>
          <w:rFonts w:ascii="Times New Roman" w:eastAsia="Calibri" w:hAnsi="Times New Roman"/>
          <w:sz w:val="22"/>
          <w:szCs w:val="22"/>
          <w:lang w:val="en-GB"/>
        </w:rPr>
        <w:t xml:space="preserve"> </w:t>
      </w:r>
      <w:r w:rsidR="003F4D67" w:rsidRPr="00EE1F6B">
        <w:rPr>
          <w:rFonts w:ascii="Times New Roman" w:eastAsia="Calibri" w:hAnsi="Times New Roman"/>
          <w:sz w:val="22"/>
          <w:szCs w:val="22"/>
          <w:lang w:val="en-GB"/>
        </w:rPr>
        <w:t>S</w:t>
      </w:r>
      <w:r w:rsidR="00EB55B6" w:rsidRPr="00EE1F6B">
        <w:rPr>
          <w:rFonts w:ascii="Times New Roman" w:eastAsia="Calibri" w:hAnsi="Times New Roman"/>
          <w:sz w:val="22"/>
          <w:szCs w:val="22"/>
          <w:lang w:val="en-GB"/>
        </w:rPr>
        <w:t>ection 3.01</w:t>
      </w:r>
      <w:r w:rsidR="00EC0842" w:rsidRPr="00EE1F6B">
        <w:rPr>
          <w:rFonts w:ascii="Times New Roman" w:eastAsia="Calibri" w:hAnsi="Times New Roman"/>
          <w:sz w:val="22"/>
          <w:szCs w:val="22"/>
          <w:lang w:val="en-GB"/>
        </w:rPr>
        <w:t xml:space="preserve">, </w:t>
      </w:r>
      <w:r w:rsidR="003F4D67" w:rsidRPr="00EE1F6B">
        <w:rPr>
          <w:rFonts w:ascii="Times New Roman" w:eastAsia="Calibri" w:hAnsi="Times New Roman"/>
          <w:sz w:val="22"/>
          <w:szCs w:val="22"/>
          <w:lang w:val="en-GB"/>
        </w:rPr>
        <w:t>C</w:t>
      </w:r>
      <w:r w:rsidR="00EC0842" w:rsidRPr="00EE1F6B">
        <w:rPr>
          <w:rFonts w:ascii="Times New Roman" w:eastAsia="Calibri" w:hAnsi="Times New Roman"/>
          <w:sz w:val="22"/>
          <w:szCs w:val="22"/>
          <w:lang w:val="en-GB"/>
        </w:rPr>
        <w:t>omponent 1</w:t>
      </w:r>
      <w:r w:rsidR="00EB55B6" w:rsidRPr="00EE1F6B">
        <w:rPr>
          <w:rFonts w:ascii="Times New Roman" w:eastAsia="Calibri" w:hAnsi="Times New Roman"/>
          <w:sz w:val="22"/>
          <w:szCs w:val="22"/>
          <w:lang w:val="en-GB"/>
        </w:rPr>
        <w:t xml:space="preserve"> of this TOR. </w:t>
      </w:r>
      <w:r w:rsidR="00E01327" w:rsidRPr="00EE1F6B">
        <w:rPr>
          <w:rFonts w:ascii="Times New Roman" w:eastAsia="Calibri" w:hAnsi="Times New Roman"/>
          <w:sz w:val="22"/>
          <w:szCs w:val="22"/>
          <w:lang w:val="en-GB"/>
        </w:rPr>
        <w:t xml:space="preserve"> Comments to be provided by CDB within </w:t>
      </w:r>
      <w:r w:rsidR="00B442BF" w:rsidRPr="00EE1F6B">
        <w:rPr>
          <w:rFonts w:ascii="Times New Roman" w:eastAsia="Calibri" w:hAnsi="Times New Roman"/>
          <w:sz w:val="22"/>
          <w:szCs w:val="22"/>
          <w:lang w:val="en-GB"/>
        </w:rPr>
        <w:t xml:space="preserve">one (1) </w:t>
      </w:r>
      <w:r w:rsidR="00E01327" w:rsidRPr="00EE1F6B">
        <w:rPr>
          <w:rFonts w:ascii="Times New Roman" w:eastAsia="Calibri" w:hAnsi="Times New Roman"/>
          <w:sz w:val="22"/>
          <w:szCs w:val="22"/>
          <w:lang w:val="en-GB"/>
        </w:rPr>
        <w:t>week of submission.</w:t>
      </w:r>
    </w:p>
    <w:p w:rsidR="00EB55B6" w:rsidRPr="00EE1F6B" w:rsidRDefault="00EB55B6" w:rsidP="00A37399">
      <w:pPr>
        <w:widowControl/>
        <w:autoSpaceDE/>
        <w:autoSpaceDN/>
        <w:adjustRightInd/>
        <w:ind w:left="1440" w:hanging="720"/>
        <w:jc w:val="both"/>
        <w:rPr>
          <w:rFonts w:ascii="Times New Roman" w:eastAsia="Calibri" w:hAnsi="Times New Roman"/>
          <w:sz w:val="22"/>
          <w:szCs w:val="22"/>
          <w:lang w:val="en-GB"/>
        </w:rPr>
      </w:pPr>
    </w:p>
    <w:p w:rsidR="00EB55B6" w:rsidRPr="00EE1F6B" w:rsidRDefault="00EB55B6" w:rsidP="001D13E5">
      <w:pPr>
        <w:widowControl/>
        <w:numPr>
          <w:ilvl w:val="0"/>
          <w:numId w:val="5"/>
        </w:numPr>
        <w:autoSpaceDE/>
        <w:autoSpaceDN/>
        <w:adjustRightInd/>
        <w:ind w:left="1440" w:hanging="720"/>
        <w:jc w:val="both"/>
        <w:rPr>
          <w:rFonts w:ascii="Times New Roman" w:eastAsia="Calibri" w:hAnsi="Times New Roman"/>
          <w:sz w:val="22"/>
          <w:szCs w:val="22"/>
          <w:lang w:val="en-GB"/>
        </w:rPr>
      </w:pPr>
      <w:r w:rsidRPr="00EE1F6B">
        <w:rPr>
          <w:rFonts w:ascii="Times New Roman" w:eastAsia="Calibri" w:hAnsi="Times New Roman"/>
          <w:b/>
          <w:sz w:val="22"/>
          <w:szCs w:val="22"/>
          <w:lang w:val="en-GB"/>
        </w:rPr>
        <w:t xml:space="preserve">Draft </w:t>
      </w:r>
      <w:r w:rsidR="00CD3DCC" w:rsidRPr="00EE1F6B">
        <w:rPr>
          <w:rFonts w:ascii="Times New Roman" w:eastAsia="Calibri" w:hAnsi="Times New Roman"/>
          <w:b/>
          <w:sz w:val="22"/>
          <w:szCs w:val="22"/>
          <w:lang w:val="en-GB"/>
        </w:rPr>
        <w:t>Report 3:</w:t>
      </w:r>
      <w:r w:rsidRPr="00EE1F6B">
        <w:rPr>
          <w:rFonts w:ascii="Times New Roman" w:eastAsia="Calibri" w:hAnsi="Times New Roman"/>
          <w:sz w:val="22"/>
          <w:szCs w:val="22"/>
          <w:lang w:val="en-GB"/>
        </w:rPr>
        <w:t xml:space="preserve"> Within </w:t>
      </w:r>
      <w:r w:rsidR="00402FFA" w:rsidRPr="00EE1F6B">
        <w:rPr>
          <w:rFonts w:ascii="Times New Roman" w:eastAsia="Calibri" w:hAnsi="Times New Roman"/>
          <w:sz w:val="22"/>
          <w:szCs w:val="22"/>
          <w:lang w:val="en-GB"/>
        </w:rPr>
        <w:t xml:space="preserve">nine </w:t>
      </w:r>
      <w:r w:rsidRPr="00EE1F6B">
        <w:rPr>
          <w:rFonts w:ascii="Times New Roman" w:eastAsia="Calibri" w:hAnsi="Times New Roman"/>
          <w:sz w:val="22"/>
          <w:szCs w:val="22"/>
          <w:lang w:val="en-GB"/>
        </w:rPr>
        <w:t>(</w:t>
      </w:r>
      <w:r w:rsidR="00402FFA" w:rsidRPr="00EE1F6B">
        <w:rPr>
          <w:rFonts w:ascii="Times New Roman" w:eastAsia="Calibri" w:hAnsi="Times New Roman"/>
          <w:sz w:val="22"/>
          <w:szCs w:val="22"/>
          <w:lang w:val="en-GB"/>
        </w:rPr>
        <w:t>9) w</w:t>
      </w:r>
      <w:r w:rsidRPr="00EE1F6B">
        <w:rPr>
          <w:rFonts w:ascii="Times New Roman" w:eastAsia="Calibri" w:hAnsi="Times New Roman"/>
          <w:sz w:val="22"/>
          <w:szCs w:val="22"/>
          <w:lang w:val="en-GB"/>
        </w:rPr>
        <w:t xml:space="preserve">eeks of signing the contract, the consultant will submit for feedback and approval by the project steering committee (PSC) </w:t>
      </w:r>
      <w:r w:rsidR="00402FFA" w:rsidRPr="00EE1F6B">
        <w:rPr>
          <w:rFonts w:ascii="Times New Roman" w:eastAsia="Calibri" w:hAnsi="Times New Roman"/>
          <w:sz w:val="22"/>
          <w:szCs w:val="22"/>
          <w:lang w:val="en-GB"/>
        </w:rPr>
        <w:t xml:space="preserve">with CDB, </w:t>
      </w:r>
      <w:r w:rsidR="00CD3DCC" w:rsidRPr="00EE1F6B">
        <w:rPr>
          <w:rFonts w:ascii="Times New Roman" w:eastAsia="Calibri" w:hAnsi="Times New Roman"/>
          <w:sz w:val="22"/>
          <w:szCs w:val="22"/>
          <w:lang w:val="en-GB"/>
        </w:rPr>
        <w:t xml:space="preserve">the draft structure for the MSME PCGS in accordance with </w:t>
      </w:r>
      <w:r w:rsidR="001D2635" w:rsidRPr="00EE1F6B">
        <w:rPr>
          <w:rFonts w:ascii="Times New Roman" w:eastAsia="Calibri" w:hAnsi="Times New Roman"/>
          <w:sz w:val="22"/>
          <w:szCs w:val="22"/>
          <w:lang w:val="en-GB"/>
        </w:rPr>
        <w:t>S</w:t>
      </w:r>
      <w:r w:rsidR="00CD3DCC" w:rsidRPr="00EE1F6B">
        <w:rPr>
          <w:rFonts w:ascii="Times New Roman" w:eastAsia="Calibri" w:hAnsi="Times New Roman"/>
          <w:sz w:val="22"/>
          <w:szCs w:val="22"/>
          <w:lang w:val="en-GB"/>
        </w:rPr>
        <w:t>ection 3.01</w:t>
      </w:r>
      <w:r w:rsidR="001D2635" w:rsidRPr="00EE1F6B">
        <w:rPr>
          <w:rFonts w:ascii="Times New Roman" w:eastAsia="Calibri" w:hAnsi="Times New Roman"/>
          <w:sz w:val="22"/>
          <w:szCs w:val="22"/>
          <w:lang w:val="en-GB"/>
        </w:rPr>
        <w:t xml:space="preserve">, Component 2 from </w:t>
      </w:r>
      <w:r w:rsidR="00CD3DCC" w:rsidRPr="00EE1F6B">
        <w:rPr>
          <w:rFonts w:ascii="Times New Roman" w:eastAsia="Calibri" w:hAnsi="Times New Roman"/>
          <w:sz w:val="22"/>
          <w:szCs w:val="22"/>
          <w:lang w:val="en-GB"/>
        </w:rPr>
        <w:t>of this TOR</w:t>
      </w:r>
      <w:r w:rsidRPr="00EE1F6B">
        <w:rPr>
          <w:rFonts w:ascii="Times New Roman" w:eastAsia="Calibri" w:hAnsi="Times New Roman"/>
          <w:sz w:val="22"/>
          <w:szCs w:val="22"/>
          <w:lang w:val="en-GB"/>
        </w:rPr>
        <w:t xml:space="preserve">. </w:t>
      </w:r>
      <w:r w:rsidR="00726B35" w:rsidRPr="00EE1F6B">
        <w:rPr>
          <w:rFonts w:ascii="Times New Roman" w:eastAsia="Calibri" w:hAnsi="Times New Roman"/>
          <w:sz w:val="22"/>
          <w:szCs w:val="22"/>
          <w:lang w:val="en-GB"/>
        </w:rPr>
        <w:t xml:space="preserve"> This report should also include any proposed digital platform to be used to facilitate the coordination and implementation </w:t>
      </w:r>
      <w:r w:rsidR="001D2635" w:rsidRPr="00EE1F6B">
        <w:rPr>
          <w:rFonts w:ascii="Times New Roman" w:eastAsia="Calibri" w:hAnsi="Times New Roman"/>
          <w:sz w:val="22"/>
          <w:szCs w:val="22"/>
          <w:lang w:val="en-GB"/>
        </w:rPr>
        <w:t xml:space="preserve">of </w:t>
      </w:r>
      <w:r w:rsidR="00726B35" w:rsidRPr="00EE1F6B">
        <w:rPr>
          <w:rFonts w:ascii="Times New Roman" w:eastAsia="Calibri" w:hAnsi="Times New Roman"/>
          <w:sz w:val="22"/>
          <w:szCs w:val="22"/>
          <w:lang w:val="en-GB"/>
        </w:rPr>
        <w:t xml:space="preserve">the facility. </w:t>
      </w:r>
      <w:r w:rsidR="00EC0842" w:rsidRPr="00EE1F6B">
        <w:rPr>
          <w:rFonts w:ascii="Times New Roman" w:eastAsia="Calibri" w:hAnsi="Times New Roman"/>
          <w:sz w:val="22"/>
          <w:szCs w:val="22"/>
          <w:lang w:val="en-GB"/>
        </w:rPr>
        <w:t>Comments to be provided by CDB within two (2) weeks of submission.</w:t>
      </w:r>
    </w:p>
    <w:p w:rsidR="00EB55B6" w:rsidRPr="00EE1F6B" w:rsidRDefault="00EB55B6" w:rsidP="00A37399">
      <w:pPr>
        <w:widowControl/>
        <w:autoSpaceDE/>
        <w:autoSpaceDN/>
        <w:adjustRightInd/>
        <w:ind w:left="1440" w:hanging="720"/>
        <w:contextualSpacing/>
        <w:jc w:val="both"/>
        <w:rPr>
          <w:rFonts w:ascii="Times New Roman" w:eastAsia="Calibri" w:hAnsi="Times New Roman"/>
          <w:sz w:val="22"/>
          <w:szCs w:val="22"/>
          <w:lang w:val="en-GB"/>
        </w:rPr>
      </w:pPr>
    </w:p>
    <w:p w:rsidR="00726B35" w:rsidRPr="00EE1F6B" w:rsidRDefault="00EB55B6" w:rsidP="001D13E5">
      <w:pPr>
        <w:pStyle w:val="ListParagraph"/>
        <w:numPr>
          <w:ilvl w:val="0"/>
          <w:numId w:val="5"/>
        </w:numPr>
        <w:ind w:left="1440" w:hanging="720"/>
        <w:jc w:val="both"/>
        <w:rPr>
          <w:rFonts w:eastAsia="Calibri"/>
          <w:bCs/>
          <w:sz w:val="22"/>
          <w:szCs w:val="22"/>
          <w:lang w:val="en-GB"/>
        </w:rPr>
      </w:pPr>
      <w:r w:rsidRPr="00EE1F6B">
        <w:rPr>
          <w:rFonts w:eastAsia="Calibri"/>
          <w:b/>
          <w:sz w:val="22"/>
          <w:szCs w:val="22"/>
          <w:lang w:val="en-GB"/>
        </w:rPr>
        <w:t xml:space="preserve">Training Agendas and Material: </w:t>
      </w:r>
      <w:r w:rsidRPr="00EE1F6B">
        <w:rPr>
          <w:rFonts w:eastAsia="Calibri"/>
          <w:bCs/>
          <w:sz w:val="22"/>
          <w:szCs w:val="22"/>
          <w:lang w:val="en-GB"/>
        </w:rPr>
        <w:t xml:space="preserve">Within </w:t>
      </w:r>
      <w:r w:rsidR="00402FFA" w:rsidRPr="00EE1F6B">
        <w:rPr>
          <w:rFonts w:eastAsia="Calibri"/>
          <w:bCs/>
          <w:sz w:val="22"/>
          <w:szCs w:val="22"/>
          <w:lang w:val="en-GB"/>
        </w:rPr>
        <w:t xml:space="preserve">eleven </w:t>
      </w:r>
      <w:r w:rsidRPr="00EE1F6B">
        <w:rPr>
          <w:rFonts w:eastAsia="Calibri"/>
          <w:bCs/>
          <w:sz w:val="22"/>
          <w:szCs w:val="22"/>
          <w:lang w:val="en-GB"/>
        </w:rPr>
        <w:t>(</w:t>
      </w:r>
      <w:r w:rsidR="00402FFA" w:rsidRPr="00EE1F6B">
        <w:rPr>
          <w:rFonts w:eastAsia="Calibri"/>
          <w:bCs/>
          <w:sz w:val="22"/>
          <w:szCs w:val="22"/>
          <w:lang w:val="en-GB"/>
        </w:rPr>
        <w:t>11</w:t>
      </w:r>
      <w:r w:rsidRPr="00EE1F6B">
        <w:rPr>
          <w:rFonts w:eastAsia="Calibri"/>
          <w:bCs/>
          <w:sz w:val="22"/>
          <w:szCs w:val="22"/>
          <w:lang w:val="en-GB"/>
        </w:rPr>
        <w:t xml:space="preserve">) weeks of signing the contract, the consultant will submit </w:t>
      </w:r>
      <w:r w:rsidR="00807875" w:rsidRPr="00EE1F6B">
        <w:rPr>
          <w:rFonts w:eastAsia="Calibri"/>
          <w:bCs/>
          <w:sz w:val="22"/>
          <w:szCs w:val="22"/>
          <w:lang w:val="en-GB"/>
        </w:rPr>
        <w:t xml:space="preserve">for approval draft </w:t>
      </w:r>
      <w:r w:rsidR="0089562C" w:rsidRPr="00EE1F6B">
        <w:rPr>
          <w:rFonts w:eastAsia="Calibri"/>
          <w:bCs/>
          <w:sz w:val="22"/>
          <w:szCs w:val="22"/>
          <w:lang w:val="en-GB"/>
        </w:rPr>
        <w:t>agendas and</w:t>
      </w:r>
      <w:r w:rsidR="00807875" w:rsidRPr="00EE1F6B">
        <w:rPr>
          <w:rFonts w:eastAsia="Calibri"/>
          <w:bCs/>
          <w:sz w:val="22"/>
          <w:szCs w:val="22"/>
          <w:lang w:val="en-GB"/>
        </w:rPr>
        <w:t xml:space="preserve"> training material </w:t>
      </w:r>
      <w:r w:rsidRPr="00EE1F6B">
        <w:rPr>
          <w:rFonts w:eastAsia="Calibri"/>
          <w:bCs/>
          <w:sz w:val="22"/>
          <w:szCs w:val="22"/>
          <w:lang w:val="en-GB"/>
        </w:rPr>
        <w:t xml:space="preserve">for </w:t>
      </w:r>
      <w:r w:rsidR="00807875" w:rsidRPr="00EE1F6B">
        <w:rPr>
          <w:rFonts w:eastAsia="Calibri"/>
          <w:bCs/>
          <w:sz w:val="22"/>
          <w:szCs w:val="22"/>
          <w:lang w:val="en-GB"/>
        </w:rPr>
        <w:t xml:space="preserve">the PCGS Training module for FIs in accordance </w:t>
      </w:r>
      <w:r w:rsidR="001D2635" w:rsidRPr="00EE1F6B">
        <w:rPr>
          <w:rFonts w:eastAsia="Calibri"/>
          <w:bCs/>
          <w:sz w:val="22"/>
          <w:szCs w:val="22"/>
          <w:lang w:val="en-GB"/>
        </w:rPr>
        <w:t>with S</w:t>
      </w:r>
      <w:r w:rsidR="00807875" w:rsidRPr="00EE1F6B">
        <w:rPr>
          <w:rFonts w:eastAsia="Calibri"/>
          <w:bCs/>
          <w:sz w:val="22"/>
          <w:szCs w:val="22"/>
          <w:lang w:val="en-GB"/>
        </w:rPr>
        <w:t xml:space="preserve">ection </w:t>
      </w:r>
      <w:r w:rsidRPr="00EE1F6B">
        <w:rPr>
          <w:rFonts w:eastAsia="Calibri"/>
          <w:bCs/>
          <w:sz w:val="22"/>
          <w:szCs w:val="22"/>
          <w:lang w:val="en-GB"/>
        </w:rPr>
        <w:t>3.0</w:t>
      </w:r>
      <w:r w:rsidR="00807875" w:rsidRPr="00EE1F6B">
        <w:rPr>
          <w:rFonts w:eastAsia="Calibri"/>
          <w:bCs/>
          <w:sz w:val="22"/>
          <w:szCs w:val="22"/>
          <w:lang w:val="en-GB"/>
        </w:rPr>
        <w:t>1</w:t>
      </w:r>
      <w:r w:rsidR="001D2635" w:rsidRPr="00EE1F6B">
        <w:rPr>
          <w:rFonts w:eastAsia="Calibri"/>
          <w:bCs/>
          <w:sz w:val="22"/>
          <w:szCs w:val="22"/>
          <w:lang w:val="en-GB"/>
        </w:rPr>
        <w:t xml:space="preserve">, Component 3 </w:t>
      </w:r>
      <w:r w:rsidR="0089562C" w:rsidRPr="00EE1F6B">
        <w:rPr>
          <w:rFonts w:eastAsia="Calibri"/>
          <w:bCs/>
          <w:sz w:val="22"/>
          <w:szCs w:val="22"/>
          <w:lang w:val="en-GB"/>
        </w:rPr>
        <w:t>of</w:t>
      </w:r>
      <w:r w:rsidRPr="00EE1F6B">
        <w:rPr>
          <w:rFonts w:eastAsia="Calibri"/>
          <w:bCs/>
          <w:sz w:val="22"/>
          <w:szCs w:val="22"/>
          <w:lang w:val="en-GB"/>
        </w:rPr>
        <w:t xml:space="preserve"> this TOR.</w:t>
      </w:r>
      <w:r w:rsidR="00726B35" w:rsidRPr="00EE1F6B">
        <w:rPr>
          <w:rFonts w:eastAsia="Calibri"/>
          <w:bCs/>
          <w:sz w:val="22"/>
          <w:szCs w:val="22"/>
          <w:lang w:val="en-GB"/>
        </w:rPr>
        <w:t xml:space="preserve"> Comments to be provided by CDB within one (1) week of submission.</w:t>
      </w:r>
    </w:p>
    <w:p w:rsidR="00726B35" w:rsidRPr="00EE1F6B" w:rsidRDefault="00726B35" w:rsidP="00A37399">
      <w:pPr>
        <w:widowControl/>
        <w:autoSpaceDE/>
        <w:autoSpaceDN/>
        <w:adjustRightInd/>
        <w:ind w:left="1440" w:hanging="720"/>
        <w:jc w:val="both"/>
        <w:rPr>
          <w:rFonts w:ascii="Times New Roman" w:eastAsia="Calibri" w:hAnsi="Times New Roman"/>
          <w:b/>
          <w:sz w:val="22"/>
          <w:szCs w:val="22"/>
          <w:lang w:val="en-GB"/>
        </w:rPr>
      </w:pPr>
    </w:p>
    <w:p w:rsidR="00726B35" w:rsidRPr="00EE1F6B" w:rsidRDefault="0089562C" w:rsidP="001D13E5">
      <w:pPr>
        <w:widowControl/>
        <w:numPr>
          <w:ilvl w:val="0"/>
          <w:numId w:val="5"/>
        </w:numPr>
        <w:autoSpaceDE/>
        <w:autoSpaceDN/>
        <w:adjustRightInd/>
        <w:ind w:left="1440" w:hanging="720"/>
        <w:jc w:val="both"/>
        <w:rPr>
          <w:rFonts w:ascii="Times New Roman" w:eastAsia="Calibri" w:hAnsi="Times New Roman"/>
          <w:bCs/>
          <w:sz w:val="22"/>
          <w:szCs w:val="22"/>
          <w:lang w:val="en-GB"/>
        </w:rPr>
      </w:pPr>
      <w:r w:rsidRPr="00EE1F6B">
        <w:rPr>
          <w:rFonts w:ascii="Times New Roman" w:eastAsia="Calibri" w:hAnsi="Times New Roman"/>
          <w:b/>
          <w:sz w:val="22"/>
          <w:szCs w:val="22"/>
          <w:lang w:val="en-GB"/>
        </w:rPr>
        <w:t>Final</w:t>
      </w:r>
      <w:r w:rsidR="00EB55B6" w:rsidRPr="00EE1F6B">
        <w:rPr>
          <w:rFonts w:ascii="Times New Roman" w:eastAsia="Calibri" w:hAnsi="Times New Roman"/>
          <w:b/>
          <w:sz w:val="22"/>
          <w:szCs w:val="22"/>
          <w:lang w:val="en-GB"/>
        </w:rPr>
        <w:t xml:space="preserve"> Report: </w:t>
      </w:r>
      <w:r w:rsidR="005F20C1" w:rsidRPr="00EE1F6B">
        <w:rPr>
          <w:rFonts w:ascii="Times New Roman" w:eastAsia="Calibri" w:hAnsi="Times New Roman"/>
          <w:bCs/>
          <w:sz w:val="22"/>
          <w:szCs w:val="22"/>
          <w:lang w:val="en-GB"/>
        </w:rPr>
        <w:t xml:space="preserve">Within </w:t>
      </w:r>
      <w:r w:rsidR="00402FFA" w:rsidRPr="00EE1F6B">
        <w:rPr>
          <w:rFonts w:ascii="Times New Roman" w:eastAsia="Calibri" w:hAnsi="Times New Roman"/>
          <w:bCs/>
          <w:sz w:val="22"/>
          <w:szCs w:val="22"/>
          <w:lang w:val="en-GB"/>
        </w:rPr>
        <w:t xml:space="preserve">thirteen </w:t>
      </w:r>
      <w:r w:rsidR="00EB55B6" w:rsidRPr="00EE1F6B">
        <w:rPr>
          <w:rFonts w:ascii="Times New Roman" w:eastAsia="Calibri" w:hAnsi="Times New Roman"/>
          <w:bCs/>
          <w:sz w:val="22"/>
          <w:szCs w:val="22"/>
          <w:lang w:val="en-GB"/>
        </w:rPr>
        <w:t>(</w:t>
      </w:r>
      <w:r w:rsidR="00402FFA" w:rsidRPr="00EE1F6B">
        <w:rPr>
          <w:rFonts w:ascii="Times New Roman" w:eastAsia="Calibri" w:hAnsi="Times New Roman"/>
          <w:bCs/>
          <w:sz w:val="22"/>
          <w:szCs w:val="22"/>
          <w:lang w:val="en-GB"/>
        </w:rPr>
        <w:t>13</w:t>
      </w:r>
      <w:r w:rsidR="00EB55B6" w:rsidRPr="00EE1F6B">
        <w:rPr>
          <w:rFonts w:ascii="Times New Roman" w:eastAsia="Calibri" w:hAnsi="Times New Roman"/>
          <w:bCs/>
          <w:sz w:val="22"/>
          <w:szCs w:val="22"/>
          <w:lang w:val="en-GB"/>
        </w:rPr>
        <w:t xml:space="preserve">) </w:t>
      </w:r>
      <w:r w:rsidR="00402FFA" w:rsidRPr="00EE1F6B">
        <w:rPr>
          <w:rFonts w:ascii="Times New Roman" w:eastAsia="Calibri" w:hAnsi="Times New Roman"/>
          <w:bCs/>
          <w:sz w:val="22"/>
          <w:szCs w:val="22"/>
          <w:lang w:val="en-GB"/>
        </w:rPr>
        <w:t xml:space="preserve">weeks </w:t>
      </w:r>
      <w:r w:rsidR="00EB55B6" w:rsidRPr="00EE1F6B">
        <w:rPr>
          <w:rFonts w:ascii="Times New Roman" w:eastAsia="Calibri" w:hAnsi="Times New Roman"/>
          <w:bCs/>
          <w:sz w:val="22"/>
          <w:szCs w:val="22"/>
          <w:lang w:val="en-GB"/>
        </w:rPr>
        <w:t>of signing the contract, the consultan</w:t>
      </w:r>
      <w:r w:rsidRPr="00EE1F6B">
        <w:rPr>
          <w:rFonts w:ascii="Times New Roman" w:eastAsia="Calibri" w:hAnsi="Times New Roman"/>
          <w:bCs/>
          <w:sz w:val="22"/>
          <w:szCs w:val="22"/>
          <w:lang w:val="en-GB"/>
        </w:rPr>
        <w:t>t will submit a final report</w:t>
      </w:r>
      <w:r w:rsidR="001D2635" w:rsidRPr="00EE1F6B">
        <w:rPr>
          <w:rFonts w:ascii="Times New Roman" w:eastAsia="Calibri" w:hAnsi="Times New Roman"/>
          <w:bCs/>
          <w:sz w:val="22"/>
          <w:szCs w:val="22"/>
          <w:lang w:val="en-GB"/>
        </w:rPr>
        <w:t>,</w:t>
      </w:r>
      <w:r w:rsidRPr="00EE1F6B">
        <w:rPr>
          <w:rFonts w:ascii="Times New Roman" w:eastAsia="Calibri" w:hAnsi="Times New Roman"/>
          <w:bCs/>
          <w:sz w:val="22"/>
          <w:szCs w:val="22"/>
          <w:lang w:val="en-GB"/>
        </w:rPr>
        <w:t xml:space="preserve"> including the final version of all documents produced in accordance with </w:t>
      </w:r>
      <w:r w:rsidR="001D2635" w:rsidRPr="00EE1F6B">
        <w:rPr>
          <w:rFonts w:ascii="Times New Roman" w:eastAsia="Calibri" w:hAnsi="Times New Roman"/>
          <w:bCs/>
          <w:sz w:val="22"/>
          <w:szCs w:val="22"/>
          <w:lang w:val="en-GB"/>
        </w:rPr>
        <w:t>S</w:t>
      </w:r>
      <w:r w:rsidRPr="00EE1F6B">
        <w:rPr>
          <w:rFonts w:ascii="Times New Roman" w:eastAsia="Calibri" w:hAnsi="Times New Roman"/>
          <w:bCs/>
          <w:sz w:val="22"/>
          <w:szCs w:val="22"/>
          <w:lang w:val="en-GB"/>
        </w:rPr>
        <w:t xml:space="preserve">ection 3.01 of </w:t>
      </w:r>
      <w:r w:rsidR="00EB55B6" w:rsidRPr="00EE1F6B">
        <w:rPr>
          <w:rFonts w:ascii="Times New Roman" w:eastAsia="Calibri" w:hAnsi="Times New Roman"/>
          <w:bCs/>
          <w:sz w:val="22"/>
          <w:szCs w:val="22"/>
          <w:lang w:val="en-GB"/>
        </w:rPr>
        <w:t xml:space="preserve">this TOR.  </w:t>
      </w:r>
      <w:r w:rsidR="00726B35" w:rsidRPr="00EE1F6B">
        <w:rPr>
          <w:rFonts w:ascii="Times New Roman" w:eastAsia="Calibri" w:hAnsi="Times New Roman"/>
          <w:bCs/>
          <w:sz w:val="22"/>
          <w:szCs w:val="22"/>
          <w:lang w:val="en-GB"/>
        </w:rPr>
        <w:t>Comments to be provided by CDB within two (2) weeks of submission.</w:t>
      </w:r>
    </w:p>
    <w:p w:rsidR="00897B70" w:rsidRPr="00EE1F6B" w:rsidRDefault="00897B70" w:rsidP="00B915B3">
      <w:pPr>
        <w:widowControl/>
        <w:autoSpaceDE/>
        <w:autoSpaceDN/>
        <w:adjustRightInd/>
        <w:ind w:left="1440"/>
        <w:jc w:val="both"/>
        <w:rPr>
          <w:rFonts w:ascii="Times New Roman" w:eastAsia="Calibri" w:hAnsi="Times New Roman"/>
          <w:b/>
          <w:sz w:val="22"/>
          <w:szCs w:val="22"/>
          <w:u w:val="single"/>
          <w:lang w:val="en-GB"/>
        </w:rPr>
      </w:pPr>
    </w:p>
    <w:p w:rsidR="00EB55B6" w:rsidRPr="00EE1F6B" w:rsidRDefault="00EB55B6" w:rsidP="001D13E5">
      <w:pPr>
        <w:widowControl/>
        <w:numPr>
          <w:ilvl w:val="0"/>
          <w:numId w:val="1"/>
        </w:numPr>
        <w:autoSpaceDE/>
        <w:autoSpaceDN/>
        <w:adjustRightInd/>
        <w:ind w:hanging="644"/>
        <w:jc w:val="both"/>
        <w:rPr>
          <w:rFonts w:ascii="Times New Roman" w:eastAsia="Calibri" w:hAnsi="Times New Roman"/>
          <w:b/>
          <w:sz w:val="22"/>
          <w:szCs w:val="22"/>
          <w:u w:val="single"/>
          <w:lang w:val="en-GB"/>
        </w:rPr>
      </w:pPr>
      <w:r w:rsidRPr="00EE1F6B">
        <w:rPr>
          <w:rFonts w:ascii="Times New Roman" w:eastAsia="Calibri" w:hAnsi="Times New Roman"/>
          <w:b/>
          <w:sz w:val="22"/>
          <w:szCs w:val="22"/>
          <w:u w:val="single"/>
          <w:lang w:val="en-GB"/>
        </w:rPr>
        <w:t xml:space="preserve">IMPLEMENTATION ARRANGEMENTS </w:t>
      </w:r>
    </w:p>
    <w:p w:rsidR="00EB55B6" w:rsidRPr="00EE1F6B" w:rsidRDefault="00EB55B6" w:rsidP="00B915B3">
      <w:pPr>
        <w:widowControl/>
        <w:autoSpaceDE/>
        <w:autoSpaceDN/>
        <w:adjustRightInd/>
        <w:ind w:left="719"/>
        <w:jc w:val="both"/>
        <w:rPr>
          <w:rFonts w:ascii="Times New Roman" w:eastAsia="Calibri" w:hAnsi="Times New Roman"/>
          <w:b/>
          <w:sz w:val="22"/>
          <w:szCs w:val="22"/>
          <w:u w:val="single"/>
          <w:lang w:val="en-GB"/>
        </w:rPr>
      </w:pPr>
    </w:p>
    <w:p w:rsidR="00897B70" w:rsidRPr="00EE1F6B" w:rsidRDefault="00897B70" w:rsidP="001D13E5">
      <w:pPr>
        <w:pStyle w:val="ListParagraph"/>
        <w:numPr>
          <w:ilvl w:val="1"/>
          <w:numId w:val="1"/>
        </w:numPr>
        <w:ind w:left="0" w:firstLine="0"/>
        <w:jc w:val="both"/>
        <w:rPr>
          <w:rFonts w:eastAsia="Calibri"/>
          <w:sz w:val="22"/>
          <w:szCs w:val="22"/>
          <w:lang w:val="en-GB"/>
        </w:rPr>
      </w:pPr>
      <w:r w:rsidRPr="00EE1F6B">
        <w:rPr>
          <w:rFonts w:eastAsia="Calibri"/>
          <w:sz w:val="22"/>
          <w:szCs w:val="22"/>
          <w:lang w:val="en-GB"/>
        </w:rPr>
        <w:t xml:space="preserve">The consultant will report to </w:t>
      </w:r>
      <w:r w:rsidR="00CF3B9D">
        <w:rPr>
          <w:rFonts w:eastAsia="Calibri"/>
          <w:sz w:val="22"/>
          <w:szCs w:val="22"/>
          <w:lang w:val="en-GB"/>
        </w:rPr>
        <w:t xml:space="preserve">the MSME Development Coordinator </w:t>
      </w:r>
      <w:r w:rsidRPr="00EE1F6B">
        <w:rPr>
          <w:rFonts w:eastAsia="Calibri"/>
          <w:sz w:val="22"/>
          <w:szCs w:val="22"/>
          <w:lang w:val="en-GB"/>
        </w:rPr>
        <w:t xml:space="preserve">in </w:t>
      </w:r>
      <w:r w:rsidR="000C0DD1" w:rsidRPr="00EE1F6B">
        <w:rPr>
          <w:rFonts w:eastAsia="Calibri"/>
          <w:sz w:val="22"/>
          <w:szCs w:val="22"/>
          <w:lang w:val="en-GB"/>
        </w:rPr>
        <w:t xml:space="preserve">the </w:t>
      </w:r>
      <w:r w:rsidR="00A37399" w:rsidRPr="00EE1F6B">
        <w:rPr>
          <w:rFonts w:eastAsia="Calibri"/>
          <w:sz w:val="22"/>
          <w:szCs w:val="22"/>
          <w:lang w:val="en-GB"/>
        </w:rPr>
        <w:t>Technical Cooperation Division</w:t>
      </w:r>
      <w:r w:rsidR="001D2635" w:rsidRPr="00EE1F6B">
        <w:rPr>
          <w:rFonts w:eastAsia="Calibri"/>
          <w:sz w:val="22"/>
          <w:szCs w:val="22"/>
          <w:lang w:val="en-GB"/>
        </w:rPr>
        <w:t>,</w:t>
      </w:r>
      <w:r w:rsidRPr="00EE1F6B">
        <w:rPr>
          <w:rFonts w:eastAsia="Calibri"/>
          <w:sz w:val="22"/>
          <w:szCs w:val="22"/>
          <w:lang w:val="en-GB"/>
        </w:rPr>
        <w:t xml:space="preserve"> which will provide overall direction and guidance, and approval of deliverables.</w:t>
      </w:r>
      <w:r w:rsidR="000C0DD1" w:rsidRPr="00EE1F6B">
        <w:rPr>
          <w:rFonts w:eastAsia="Calibri"/>
          <w:sz w:val="22"/>
          <w:szCs w:val="22"/>
          <w:lang w:val="en-GB"/>
        </w:rPr>
        <w:t xml:space="preserve"> </w:t>
      </w:r>
      <w:r w:rsidRPr="00EE1F6B">
        <w:rPr>
          <w:rFonts w:eastAsia="Calibri"/>
          <w:sz w:val="22"/>
          <w:szCs w:val="22"/>
          <w:lang w:val="en-GB"/>
        </w:rPr>
        <w:t xml:space="preserve"> </w:t>
      </w:r>
      <w:r w:rsidR="00035352" w:rsidRPr="00EE1F6B">
        <w:rPr>
          <w:rFonts w:eastAsia="Calibri"/>
          <w:sz w:val="22"/>
          <w:szCs w:val="22"/>
          <w:lang w:val="en-GB"/>
        </w:rPr>
        <w:t xml:space="preserve">CDB’s project coordinator </w:t>
      </w:r>
      <w:r w:rsidRPr="00EE1F6B">
        <w:rPr>
          <w:rFonts w:eastAsia="Calibri"/>
          <w:sz w:val="22"/>
          <w:szCs w:val="22"/>
          <w:lang w:val="en-GB"/>
        </w:rPr>
        <w:t xml:space="preserve">will </w:t>
      </w:r>
      <w:r w:rsidR="00035352" w:rsidRPr="00EE1F6B">
        <w:rPr>
          <w:rFonts w:eastAsia="Calibri"/>
          <w:sz w:val="22"/>
          <w:szCs w:val="22"/>
          <w:lang w:val="en-GB"/>
        </w:rPr>
        <w:t xml:space="preserve">establish </w:t>
      </w:r>
      <w:r w:rsidRPr="00EE1F6B">
        <w:rPr>
          <w:rFonts w:eastAsia="Calibri"/>
          <w:sz w:val="22"/>
          <w:szCs w:val="22"/>
          <w:lang w:val="en-GB"/>
        </w:rPr>
        <w:t xml:space="preserve">an Advisory Team of principal stakeholders from the Operations area of CDB for this </w:t>
      </w:r>
      <w:r w:rsidR="00FE365F" w:rsidRPr="00EE1F6B">
        <w:rPr>
          <w:rFonts w:eastAsia="Calibri"/>
          <w:sz w:val="22"/>
          <w:szCs w:val="22"/>
          <w:lang w:val="en-GB"/>
        </w:rPr>
        <w:t xml:space="preserve">consultancy. </w:t>
      </w:r>
      <w:r w:rsidRPr="00EE1F6B">
        <w:rPr>
          <w:rFonts w:eastAsia="Calibri"/>
          <w:sz w:val="22"/>
          <w:szCs w:val="22"/>
          <w:lang w:val="en-GB"/>
        </w:rPr>
        <w:t>The Group will provide feedback on the scope of work, work plan, findings, and draft reports.</w:t>
      </w:r>
    </w:p>
    <w:p w:rsidR="00897B70" w:rsidRPr="00EE1F6B" w:rsidRDefault="00897B70" w:rsidP="00B915B3">
      <w:pPr>
        <w:widowControl/>
        <w:jc w:val="both"/>
        <w:rPr>
          <w:rFonts w:ascii="Times New Roman" w:eastAsia="Calibri" w:hAnsi="Times New Roman"/>
          <w:sz w:val="22"/>
          <w:szCs w:val="22"/>
          <w:lang w:val="en-GB"/>
        </w:rPr>
      </w:pPr>
    </w:p>
    <w:p w:rsidR="0018146A" w:rsidRDefault="000C0DD1" w:rsidP="00B915B3">
      <w:pPr>
        <w:widowControl/>
        <w:jc w:val="both"/>
        <w:rPr>
          <w:rFonts w:ascii="Times New Roman" w:eastAsia="Calibri" w:hAnsi="Times New Roman"/>
          <w:color w:val="000000"/>
          <w:sz w:val="22"/>
          <w:szCs w:val="22"/>
          <w:lang w:val="en-GB"/>
        </w:rPr>
      </w:pPr>
      <w:r w:rsidRPr="00EE1F6B">
        <w:rPr>
          <w:rFonts w:ascii="Times New Roman" w:eastAsia="Calibri" w:hAnsi="Times New Roman"/>
          <w:sz w:val="22"/>
          <w:szCs w:val="22"/>
          <w:lang w:val="en-GB"/>
        </w:rPr>
        <w:lastRenderedPageBreak/>
        <w:t>5.02</w:t>
      </w:r>
      <w:r w:rsidRPr="00EE1F6B">
        <w:rPr>
          <w:rFonts w:ascii="Times New Roman" w:eastAsia="Calibri" w:hAnsi="Times New Roman"/>
          <w:sz w:val="22"/>
          <w:szCs w:val="22"/>
          <w:lang w:val="en-GB"/>
        </w:rPr>
        <w:tab/>
      </w:r>
      <w:r w:rsidR="005F20C1" w:rsidRPr="00EE1F6B">
        <w:rPr>
          <w:rFonts w:ascii="Times New Roman" w:eastAsia="Calibri" w:hAnsi="Times New Roman"/>
          <w:sz w:val="22"/>
          <w:szCs w:val="22"/>
          <w:lang w:val="en-GB"/>
        </w:rPr>
        <w:t>CDB</w:t>
      </w:r>
      <w:r w:rsidR="00EB55B6" w:rsidRPr="00EE1F6B">
        <w:rPr>
          <w:rFonts w:ascii="Times New Roman" w:eastAsia="Calibri" w:hAnsi="Times New Roman"/>
          <w:sz w:val="22"/>
          <w:szCs w:val="22"/>
          <w:lang w:val="en-GB"/>
        </w:rPr>
        <w:t xml:space="preserve"> </w:t>
      </w:r>
      <w:r w:rsidR="00EB55B6" w:rsidRPr="00EE1F6B">
        <w:rPr>
          <w:rFonts w:ascii="Times New Roman" w:eastAsia="Calibri" w:hAnsi="Times New Roman"/>
          <w:color w:val="000000"/>
          <w:sz w:val="22"/>
          <w:szCs w:val="22"/>
          <w:lang w:val="en-GB"/>
        </w:rPr>
        <w:t xml:space="preserve">will facilitate the work of the consultant and will make available all </w:t>
      </w:r>
      <w:r w:rsidR="00AB5A4C" w:rsidRPr="00EE1F6B">
        <w:rPr>
          <w:rFonts w:ascii="Times New Roman" w:eastAsia="Calibri" w:hAnsi="Times New Roman"/>
          <w:color w:val="000000"/>
          <w:sz w:val="22"/>
          <w:szCs w:val="22"/>
          <w:lang w:val="en-GB"/>
        </w:rPr>
        <w:t xml:space="preserve">secondary studies </w:t>
      </w:r>
      <w:r w:rsidR="00726B35" w:rsidRPr="00EE1F6B">
        <w:rPr>
          <w:rFonts w:ascii="Times New Roman" w:eastAsia="Calibri" w:hAnsi="Times New Roman"/>
          <w:color w:val="000000"/>
          <w:sz w:val="22"/>
          <w:szCs w:val="22"/>
          <w:lang w:val="en-GB"/>
        </w:rPr>
        <w:t xml:space="preserve">conducted by the </w:t>
      </w:r>
      <w:r w:rsidR="00AB5A4C" w:rsidRPr="00EE1F6B">
        <w:rPr>
          <w:rFonts w:ascii="Times New Roman" w:eastAsia="Calibri" w:hAnsi="Times New Roman"/>
          <w:color w:val="000000"/>
          <w:sz w:val="22"/>
          <w:szCs w:val="22"/>
          <w:lang w:val="en-GB"/>
        </w:rPr>
        <w:t xml:space="preserve">Bank </w:t>
      </w:r>
      <w:r w:rsidR="00726B35" w:rsidRPr="00EE1F6B">
        <w:rPr>
          <w:rFonts w:ascii="Times New Roman" w:eastAsia="Calibri" w:hAnsi="Times New Roman"/>
          <w:color w:val="000000"/>
          <w:sz w:val="22"/>
          <w:szCs w:val="22"/>
          <w:lang w:val="en-GB"/>
        </w:rPr>
        <w:t xml:space="preserve">that are related to the </w:t>
      </w:r>
      <w:r w:rsidR="00EB55B6" w:rsidRPr="00EE1F6B">
        <w:rPr>
          <w:rFonts w:ascii="Times New Roman" w:eastAsia="Calibri" w:hAnsi="Times New Roman"/>
          <w:color w:val="000000"/>
          <w:sz w:val="22"/>
          <w:szCs w:val="22"/>
          <w:lang w:val="en-GB"/>
        </w:rPr>
        <w:t xml:space="preserve">Project.  </w:t>
      </w:r>
      <w:r w:rsidR="00AB5A4C" w:rsidRPr="00EE1F6B">
        <w:rPr>
          <w:rFonts w:ascii="Times New Roman" w:eastAsia="Calibri" w:hAnsi="Times New Roman"/>
          <w:color w:val="000000"/>
          <w:sz w:val="22"/>
          <w:szCs w:val="22"/>
          <w:lang w:val="en-GB"/>
        </w:rPr>
        <w:t xml:space="preserve">CDB’s MSME unit will </w:t>
      </w:r>
      <w:r w:rsidR="00EB55B6" w:rsidRPr="00EE1F6B">
        <w:rPr>
          <w:rFonts w:ascii="Times New Roman" w:eastAsia="Calibri" w:hAnsi="Times New Roman"/>
          <w:color w:val="000000"/>
          <w:sz w:val="22"/>
          <w:szCs w:val="22"/>
          <w:lang w:val="en-GB"/>
        </w:rPr>
        <w:t>also assist with the arrangement of all meetings/training and local logistics support.</w:t>
      </w:r>
    </w:p>
    <w:p w:rsidR="0018146A" w:rsidRDefault="0018146A" w:rsidP="00B915B3">
      <w:pPr>
        <w:widowControl/>
        <w:jc w:val="both"/>
        <w:rPr>
          <w:rFonts w:ascii="Times New Roman" w:eastAsia="Calibri" w:hAnsi="Times New Roman"/>
          <w:color w:val="000000"/>
          <w:sz w:val="22"/>
          <w:szCs w:val="22"/>
          <w:lang w:val="en-GB"/>
        </w:rPr>
      </w:pPr>
    </w:p>
    <w:p w:rsidR="001C4B03" w:rsidRPr="00EE1F6B" w:rsidRDefault="00EB55B6" w:rsidP="00B915B3">
      <w:pPr>
        <w:widowControl/>
        <w:jc w:val="both"/>
        <w:rPr>
          <w:rFonts w:ascii="Times New Roman" w:eastAsia="Calibri" w:hAnsi="Times New Roman"/>
          <w:color w:val="000000"/>
          <w:sz w:val="22"/>
          <w:szCs w:val="22"/>
          <w:lang w:val="en-GB"/>
        </w:rPr>
      </w:pPr>
      <w:r w:rsidRPr="00EE1F6B">
        <w:rPr>
          <w:rFonts w:ascii="Times New Roman" w:eastAsia="Calibri" w:hAnsi="Times New Roman"/>
          <w:color w:val="000000"/>
          <w:sz w:val="22"/>
          <w:szCs w:val="22"/>
          <w:lang w:val="en-GB"/>
        </w:rPr>
        <w:t>5.03</w:t>
      </w:r>
      <w:r w:rsidRPr="00EE1F6B">
        <w:rPr>
          <w:rFonts w:ascii="Times New Roman" w:eastAsia="Calibri" w:hAnsi="Times New Roman"/>
          <w:color w:val="000000"/>
          <w:sz w:val="22"/>
          <w:szCs w:val="22"/>
          <w:lang w:val="en-GB"/>
        </w:rPr>
        <w:tab/>
        <w:t xml:space="preserve">It is estimated that this consultancy will require </w:t>
      </w:r>
      <w:r w:rsidR="001C4B03" w:rsidRPr="00EE1F6B">
        <w:rPr>
          <w:rFonts w:ascii="Times New Roman" w:eastAsia="Calibri" w:hAnsi="Times New Roman"/>
          <w:color w:val="000000"/>
          <w:sz w:val="22"/>
          <w:szCs w:val="22"/>
          <w:lang w:val="en-GB"/>
        </w:rPr>
        <w:t>40</w:t>
      </w:r>
      <w:r w:rsidRPr="00EE1F6B">
        <w:rPr>
          <w:rFonts w:ascii="Times New Roman" w:eastAsia="Calibri" w:hAnsi="Times New Roman"/>
          <w:color w:val="000000"/>
          <w:sz w:val="22"/>
          <w:szCs w:val="22"/>
          <w:lang w:val="en-GB"/>
        </w:rPr>
        <w:t xml:space="preserve"> person-days, to be carried out over a period not greater than </w:t>
      </w:r>
      <w:r w:rsidR="00AE316B" w:rsidRPr="00EE1F6B">
        <w:rPr>
          <w:rFonts w:ascii="Times New Roman" w:eastAsia="Calibri" w:hAnsi="Times New Roman"/>
          <w:color w:val="000000"/>
          <w:sz w:val="22"/>
          <w:szCs w:val="22"/>
          <w:lang w:val="en-GB"/>
        </w:rPr>
        <w:t xml:space="preserve">three </w:t>
      </w:r>
      <w:r w:rsidRPr="00EE1F6B">
        <w:rPr>
          <w:rFonts w:ascii="Times New Roman" w:eastAsia="Calibri" w:hAnsi="Times New Roman"/>
          <w:color w:val="000000"/>
          <w:sz w:val="22"/>
          <w:szCs w:val="22"/>
          <w:lang w:val="en-GB"/>
        </w:rPr>
        <w:t>(</w:t>
      </w:r>
      <w:r w:rsidR="001C4B03" w:rsidRPr="00EE1F6B">
        <w:rPr>
          <w:rFonts w:ascii="Times New Roman" w:eastAsia="Calibri" w:hAnsi="Times New Roman"/>
          <w:color w:val="000000"/>
          <w:sz w:val="22"/>
          <w:szCs w:val="22"/>
          <w:lang w:val="en-GB"/>
        </w:rPr>
        <w:t>3</w:t>
      </w:r>
      <w:r w:rsidRPr="00EE1F6B">
        <w:rPr>
          <w:rFonts w:ascii="Times New Roman" w:eastAsia="Calibri" w:hAnsi="Times New Roman"/>
          <w:color w:val="000000"/>
          <w:sz w:val="22"/>
          <w:szCs w:val="22"/>
          <w:lang w:val="en-GB"/>
        </w:rPr>
        <w:t>) calendar months.</w:t>
      </w:r>
      <w:r w:rsidR="00897B70" w:rsidRPr="00EE1F6B">
        <w:rPr>
          <w:rFonts w:ascii="Times New Roman" w:hAnsi="Times New Roman"/>
          <w:sz w:val="22"/>
          <w:szCs w:val="22"/>
        </w:rPr>
        <w:t xml:space="preserve"> </w:t>
      </w:r>
      <w:r w:rsidR="001D2635" w:rsidRPr="00EE1F6B">
        <w:rPr>
          <w:rFonts w:ascii="Times New Roman" w:hAnsi="Times New Roman"/>
          <w:sz w:val="22"/>
          <w:szCs w:val="22"/>
        </w:rPr>
        <w:t xml:space="preserve"> </w:t>
      </w:r>
      <w:r w:rsidR="00897B70" w:rsidRPr="00EE1F6B">
        <w:rPr>
          <w:rFonts w:ascii="Times New Roman" w:eastAsia="Calibri" w:hAnsi="Times New Roman"/>
          <w:color w:val="000000"/>
          <w:sz w:val="22"/>
          <w:szCs w:val="22"/>
          <w:lang w:val="en-GB"/>
        </w:rPr>
        <w:t xml:space="preserve">It is expected the </w:t>
      </w:r>
      <w:r w:rsidR="001C136C" w:rsidRPr="00EE1F6B">
        <w:rPr>
          <w:rFonts w:ascii="Times New Roman" w:eastAsia="Calibri" w:hAnsi="Times New Roman"/>
          <w:color w:val="000000"/>
          <w:sz w:val="22"/>
          <w:szCs w:val="22"/>
          <w:lang w:val="en-GB"/>
        </w:rPr>
        <w:t xml:space="preserve">consultancy </w:t>
      </w:r>
      <w:r w:rsidR="00AB5A4C" w:rsidRPr="00EE1F6B">
        <w:rPr>
          <w:rFonts w:ascii="Times New Roman" w:eastAsia="Calibri" w:hAnsi="Times New Roman"/>
          <w:color w:val="000000"/>
          <w:sz w:val="22"/>
          <w:szCs w:val="22"/>
          <w:lang w:val="en-GB"/>
        </w:rPr>
        <w:t>will commence</w:t>
      </w:r>
      <w:r w:rsidR="00897B70" w:rsidRPr="00EE1F6B">
        <w:rPr>
          <w:rFonts w:ascii="Times New Roman" w:eastAsia="Calibri" w:hAnsi="Times New Roman"/>
          <w:color w:val="000000"/>
          <w:sz w:val="22"/>
          <w:szCs w:val="22"/>
          <w:lang w:val="en-GB"/>
        </w:rPr>
        <w:t xml:space="preserve"> </w:t>
      </w:r>
      <w:r w:rsidR="001D2635" w:rsidRPr="00EE1F6B">
        <w:rPr>
          <w:rFonts w:ascii="Times New Roman" w:eastAsia="Calibri" w:hAnsi="Times New Roman"/>
          <w:color w:val="000000"/>
          <w:sz w:val="22"/>
          <w:szCs w:val="22"/>
          <w:lang w:val="en-GB"/>
        </w:rPr>
        <w:t>o</w:t>
      </w:r>
      <w:r w:rsidR="00897B70" w:rsidRPr="00EE1F6B">
        <w:rPr>
          <w:rFonts w:ascii="Times New Roman" w:eastAsia="Calibri" w:hAnsi="Times New Roman"/>
          <w:color w:val="000000"/>
          <w:sz w:val="22"/>
          <w:szCs w:val="22"/>
          <w:lang w:val="en-GB"/>
        </w:rPr>
        <w:t>n</w:t>
      </w:r>
      <w:r w:rsidR="00AB5A4C" w:rsidRPr="00EE1F6B">
        <w:rPr>
          <w:rFonts w:ascii="Times New Roman" w:eastAsia="Calibri" w:hAnsi="Times New Roman"/>
          <w:color w:val="000000"/>
          <w:sz w:val="22"/>
          <w:szCs w:val="22"/>
          <w:lang w:val="en-GB"/>
        </w:rPr>
        <w:t xml:space="preserve"> August 10, 2020</w:t>
      </w:r>
      <w:r w:rsidR="00897B70" w:rsidRPr="00EE1F6B">
        <w:rPr>
          <w:rFonts w:ascii="Times New Roman" w:eastAsia="Calibri" w:hAnsi="Times New Roman"/>
          <w:color w:val="000000"/>
          <w:sz w:val="22"/>
          <w:szCs w:val="22"/>
          <w:lang w:val="en-GB"/>
        </w:rPr>
        <w:t xml:space="preserve">, and the submission of the </w:t>
      </w:r>
      <w:r w:rsidR="00AB5A4C" w:rsidRPr="00EE1F6B">
        <w:rPr>
          <w:rFonts w:ascii="Times New Roman" w:eastAsia="Calibri" w:hAnsi="Times New Roman"/>
          <w:color w:val="000000"/>
          <w:sz w:val="22"/>
          <w:szCs w:val="22"/>
          <w:lang w:val="en-GB"/>
        </w:rPr>
        <w:t>final report</w:t>
      </w:r>
      <w:r w:rsidR="00897B70" w:rsidRPr="00EE1F6B">
        <w:rPr>
          <w:rFonts w:ascii="Times New Roman" w:eastAsia="Calibri" w:hAnsi="Times New Roman"/>
          <w:color w:val="000000"/>
          <w:sz w:val="22"/>
          <w:szCs w:val="22"/>
          <w:lang w:val="en-GB"/>
        </w:rPr>
        <w:t xml:space="preserve"> </w:t>
      </w:r>
      <w:r w:rsidR="001D2635" w:rsidRPr="00EE1F6B">
        <w:rPr>
          <w:rFonts w:ascii="Times New Roman" w:eastAsia="Calibri" w:hAnsi="Times New Roman"/>
          <w:color w:val="000000"/>
          <w:sz w:val="22"/>
          <w:szCs w:val="22"/>
          <w:lang w:val="en-GB"/>
        </w:rPr>
        <w:t>o</w:t>
      </w:r>
      <w:r w:rsidR="00897B70" w:rsidRPr="00EE1F6B">
        <w:rPr>
          <w:rFonts w:ascii="Times New Roman" w:eastAsia="Calibri" w:hAnsi="Times New Roman"/>
          <w:color w:val="000000"/>
          <w:sz w:val="22"/>
          <w:szCs w:val="22"/>
          <w:lang w:val="en-GB"/>
        </w:rPr>
        <w:t xml:space="preserve">n </w:t>
      </w:r>
      <w:r w:rsidR="00AB5A4C" w:rsidRPr="00EE1F6B">
        <w:rPr>
          <w:rFonts w:ascii="Times New Roman" w:eastAsia="Calibri" w:hAnsi="Times New Roman"/>
          <w:color w:val="000000"/>
          <w:sz w:val="22"/>
          <w:szCs w:val="22"/>
          <w:lang w:val="en-GB"/>
        </w:rPr>
        <w:t xml:space="preserve">October 12, </w:t>
      </w:r>
      <w:r w:rsidR="00897B70" w:rsidRPr="00EE1F6B">
        <w:rPr>
          <w:rFonts w:ascii="Times New Roman" w:eastAsia="Calibri" w:hAnsi="Times New Roman"/>
          <w:color w:val="000000"/>
          <w:sz w:val="22"/>
          <w:szCs w:val="22"/>
          <w:lang w:val="en-GB"/>
        </w:rPr>
        <w:t xml:space="preserve">2020. </w:t>
      </w:r>
    </w:p>
    <w:p w:rsidR="00EB55B6" w:rsidRPr="00EE1F6B" w:rsidRDefault="00EB55B6" w:rsidP="00B915B3">
      <w:pPr>
        <w:pStyle w:val="ListParagraph"/>
        <w:rPr>
          <w:sz w:val="22"/>
          <w:szCs w:val="22"/>
          <w:lang w:val="en-GB"/>
        </w:rPr>
      </w:pPr>
    </w:p>
    <w:p w:rsidR="00EB55B6" w:rsidRPr="00EE1F6B" w:rsidRDefault="00EB55B6" w:rsidP="00B915B3">
      <w:pPr>
        <w:jc w:val="both"/>
        <w:rPr>
          <w:rFonts w:ascii="Times New Roman" w:hAnsi="Times New Roman"/>
          <w:bCs/>
          <w:sz w:val="22"/>
          <w:szCs w:val="22"/>
        </w:rPr>
      </w:pPr>
      <w:r w:rsidRPr="00EE1F6B">
        <w:rPr>
          <w:rFonts w:ascii="Times New Roman" w:hAnsi="Times New Roman"/>
          <w:b/>
          <w:bCs/>
          <w:sz w:val="22"/>
          <w:szCs w:val="22"/>
        </w:rPr>
        <w:t>6.</w:t>
      </w:r>
      <w:r w:rsidRPr="00EE1F6B">
        <w:rPr>
          <w:rFonts w:ascii="Times New Roman" w:hAnsi="Times New Roman"/>
          <w:bCs/>
          <w:sz w:val="22"/>
          <w:szCs w:val="22"/>
        </w:rPr>
        <w:tab/>
      </w:r>
      <w:r w:rsidRPr="00EE1F6B">
        <w:rPr>
          <w:rFonts w:ascii="Times New Roman" w:hAnsi="Times New Roman"/>
          <w:b/>
          <w:bCs/>
          <w:sz w:val="22"/>
          <w:szCs w:val="22"/>
          <w:u w:val="single"/>
        </w:rPr>
        <w:t>QUALIFICATIONS AND EXPERIENCE</w:t>
      </w:r>
    </w:p>
    <w:p w:rsidR="00EB55B6" w:rsidRPr="00EE1F6B" w:rsidRDefault="00EB55B6" w:rsidP="00B915B3">
      <w:pPr>
        <w:jc w:val="both"/>
        <w:rPr>
          <w:rFonts w:ascii="Times New Roman" w:hAnsi="Times New Roman"/>
          <w:bCs/>
          <w:sz w:val="22"/>
          <w:szCs w:val="22"/>
        </w:rPr>
      </w:pPr>
    </w:p>
    <w:p w:rsidR="00E60B71" w:rsidRPr="00EE1F6B" w:rsidRDefault="00E60B71" w:rsidP="001D13E5">
      <w:pPr>
        <w:pStyle w:val="ListParagraph"/>
        <w:numPr>
          <w:ilvl w:val="1"/>
          <w:numId w:val="16"/>
        </w:numPr>
        <w:ind w:left="720" w:hanging="720"/>
        <w:jc w:val="both"/>
        <w:rPr>
          <w:bCs/>
          <w:sz w:val="22"/>
          <w:szCs w:val="22"/>
        </w:rPr>
      </w:pPr>
      <w:r w:rsidRPr="00EE1F6B">
        <w:rPr>
          <w:bCs/>
          <w:sz w:val="22"/>
          <w:szCs w:val="22"/>
        </w:rPr>
        <w:t>The Consultant should possess the following qualifications and experience:</w:t>
      </w:r>
    </w:p>
    <w:p w:rsidR="00E60B71" w:rsidRPr="00EE1F6B" w:rsidRDefault="00E60B71" w:rsidP="00B915B3">
      <w:pPr>
        <w:jc w:val="both"/>
        <w:rPr>
          <w:rFonts w:ascii="Times New Roman" w:hAnsi="Times New Roman"/>
          <w:bCs/>
          <w:sz w:val="22"/>
          <w:szCs w:val="22"/>
        </w:rPr>
      </w:pPr>
    </w:p>
    <w:p w:rsidR="001D2635" w:rsidRPr="00EE1F6B" w:rsidRDefault="00E60B71" w:rsidP="001D13E5">
      <w:pPr>
        <w:pStyle w:val="ListParagraph"/>
        <w:numPr>
          <w:ilvl w:val="0"/>
          <w:numId w:val="17"/>
        </w:numPr>
        <w:ind w:left="1440" w:hanging="720"/>
        <w:jc w:val="both"/>
        <w:rPr>
          <w:bCs/>
          <w:sz w:val="22"/>
          <w:szCs w:val="22"/>
        </w:rPr>
      </w:pPr>
      <w:r w:rsidRPr="00EE1F6B">
        <w:rPr>
          <w:bCs/>
          <w:sz w:val="22"/>
          <w:szCs w:val="22"/>
        </w:rPr>
        <w:t>A post graduate degree in Economics, Business Administration, Finance or any other related subject areas</w:t>
      </w:r>
      <w:r w:rsidR="001D2635" w:rsidRPr="00EE1F6B">
        <w:rPr>
          <w:bCs/>
          <w:sz w:val="22"/>
          <w:szCs w:val="22"/>
        </w:rPr>
        <w:t>.</w:t>
      </w:r>
    </w:p>
    <w:p w:rsidR="001D2635" w:rsidRPr="00EE1F6B" w:rsidRDefault="001D2635" w:rsidP="001D2635">
      <w:pPr>
        <w:pStyle w:val="ListParagraph"/>
        <w:ind w:left="1440"/>
        <w:jc w:val="both"/>
        <w:rPr>
          <w:bCs/>
          <w:sz w:val="22"/>
          <w:szCs w:val="22"/>
        </w:rPr>
      </w:pPr>
    </w:p>
    <w:p w:rsidR="00E60B71" w:rsidRPr="00EE1F6B" w:rsidRDefault="00E60B71" w:rsidP="001D13E5">
      <w:pPr>
        <w:pStyle w:val="ListParagraph"/>
        <w:numPr>
          <w:ilvl w:val="0"/>
          <w:numId w:val="17"/>
        </w:numPr>
        <w:ind w:left="1440" w:hanging="720"/>
        <w:jc w:val="both"/>
        <w:rPr>
          <w:bCs/>
          <w:sz w:val="22"/>
          <w:szCs w:val="22"/>
        </w:rPr>
      </w:pPr>
      <w:r w:rsidRPr="00EE1F6B">
        <w:rPr>
          <w:bCs/>
          <w:sz w:val="22"/>
          <w:szCs w:val="22"/>
        </w:rPr>
        <w:t xml:space="preserve">Experience in the design and </w:t>
      </w:r>
      <w:proofErr w:type="spellStart"/>
      <w:r w:rsidRPr="00EE1F6B">
        <w:rPr>
          <w:bCs/>
          <w:sz w:val="22"/>
          <w:szCs w:val="22"/>
        </w:rPr>
        <w:t>operationali</w:t>
      </w:r>
      <w:r w:rsidR="00AB5A4C" w:rsidRPr="00EE1F6B">
        <w:rPr>
          <w:bCs/>
          <w:sz w:val="22"/>
          <w:szCs w:val="22"/>
        </w:rPr>
        <w:t>s</w:t>
      </w:r>
      <w:r w:rsidRPr="00EE1F6B">
        <w:rPr>
          <w:bCs/>
          <w:sz w:val="22"/>
          <w:szCs w:val="22"/>
        </w:rPr>
        <w:t>ation</w:t>
      </w:r>
      <w:proofErr w:type="spellEnd"/>
      <w:r w:rsidRPr="00EE1F6B">
        <w:rPr>
          <w:bCs/>
          <w:sz w:val="22"/>
          <w:szCs w:val="22"/>
        </w:rPr>
        <w:t xml:space="preserve"> of a credit guarantee scheme</w:t>
      </w:r>
      <w:r w:rsidR="000C0DD1" w:rsidRPr="00EE1F6B">
        <w:rPr>
          <w:bCs/>
          <w:sz w:val="22"/>
          <w:szCs w:val="22"/>
        </w:rPr>
        <w:t>.</w:t>
      </w:r>
      <w:r w:rsidRPr="00EE1F6B">
        <w:rPr>
          <w:bCs/>
          <w:sz w:val="22"/>
          <w:szCs w:val="22"/>
        </w:rPr>
        <w:t xml:space="preserve"> </w:t>
      </w:r>
    </w:p>
    <w:p w:rsidR="00E60B71" w:rsidRPr="00EE1F6B" w:rsidRDefault="00E60B71" w:rsidP="00B915B3">
      <w:pPr>
        <w:jc w:val="both"/>
        <w:rPr>
          <w:rFonts w:ascii="Times New Roman" w:hAnsi="Times New Roman"/>
          <w:bCs/>
          <w:sz w:val="22"/>
          <w:szCs w:val="22"/>
        </w:rPr>
      </w:pPr>
    </w:p>
    <w:p w:rsidR="00E60B71" w:rsidRPr="00EE1F6B" w:rsidRDefault="00AB5A4C" w:rsidP="001D13E5">
      <w:pPr>
        <w:pStyle w:val="ListParagraph"/>
        <w:numPr>
          <w:ilvl w:val="0"/>
          <w:numId w:val="17"/>
        </w:numPr>
        <w:ind w:left="1440" w:hanging="720"/>
        <w:jc w:val="both"/>
        <w:rPr>
          <w:bCs/>
          <w:sz w:val="22"/>
          <w:szCs w:val="22"/>
        </w:rPr>
      </w:pPr>
      <w:r w:rsidRPr="00EE1F6B">
        <w:rPr>
          <w:bCs/>
          <w:sz w:val="22"/>
          <w:szCs w:val="22"/>
        </w:rPr>
        <w:t>E</w:t>
      </w:r>
      <w:r w:rsidR="00E60B71" w:rsidRPr="00EE1F6B">
        <w:rPr>
          <w:bCs/>
          <w:sz w:val="22"/>
          <w:szCs w:val="22"/>
        </w:rPr>
        <w:t xml:space="preserve">xperience </w:t>
      </w:r>
      <w:r w:rsidRPr="00EE1F6B">
        <w:rPr>
          <w:bCs/>
          <w:sz w:val="22"/>
          <w:szCs w:val="22"/>
        </w:rPr>
        <w:t>in</w:t>
      </w:r>
      <w:r w:rsidR="00E60B71" w:rsidRPr="00EE1F6B">
        <w:rPr>
          <w:bCs/>
          <w:sz w:val="22"/>
          <w:szCs w:val="22"/>
        </w:rPr>
        <w:t xml:space="preserve"> address</w:t>
      </w:r>
      <w:r w:rsidR="002D5E70" w:rsidRPr="00EE1F6B">
        <w:rPr>
          <w:bCs/>
          <w:sz w:val="22"/>
          <w:szCs w:val="22"/>
        </w:rPr>
        <w:t>ing</w:t>
      </w:r>
      <w:r w:rsidR="00E60B71" w:rsidRPr="00EE1F6B">
        <w:rPr>
          <w:bCs/>
          <w:sz w:val="22"/>
          <w:szCs w:val="22"/>
        </w:rPr>
        <w:t xml:space="preserve"> the thematic areas identified, particularly private sector development, small and medium enterprise development, developmen</w:t>
      </w:r>
      <w:r w:rsidR="000C0DD1" w:rsidRPr="00EE1F6B">
        <w:rPr>
          <w:bCs/>
          <w:sz w:val="22"/>
          <w:szCs w:val="22"/>
        </w:rPr>
        <w:t>t finance institution practices.</w:t>
      </w:r>
    </w:p>
    <w:p w:rsidR="000C0DD1" w:rsidRPr="00EE1F6B" w:rsidRDefault="000C0DD1" w:rsidP="000C0DD1">
      <w:pPr>
        <w:pStyle w:val="ListParagraph"/>
        <w:rPr>
          <w:bCs/>
          <w:sz w:val="22"/>
          <w:szCs w:val="22"/>
        </w:rPr>
      </w:pPr>
    </w:p>
    <w:p w:rsidR="00E60B71" w:rsidRPr="00EE1F6B" w:rsidRDefault="00E60B71" w:rsidP="001D13E5">
      <w:pPr>
        <w:pStyle w:val="ListParagraph"/>
        <w:numPr>
          <w:ilvl w:val="0"/>
          <w:numId w:val="17"/>
        </w:numPr>
        <w:ind w:left="1440" w:hanging="720"/>
        <w:jc w:val="both"/>
        <w:rPr>
          <w:bCs/>
          <w:sz w:val="22"/>
          <w:szCs w:val="22"/>
        </w:rPr>
      </w:pPr>
      <w:r w:rsidRPr="00EE1F6B">
        <w:rPr>
          <w:bCs/>
          <w:sz w:val="22"/>
          <w:szCs w:val="22"/>
        </w:rPr>
        <w:t>Knowledge of development issues in the Caribbean</w:t>
      </w:r>
      <w:r w:rsidR="00B96A8F" w:rsidRPr="00EE1F6B">
        <w:rPr>
          <w:bCs/>
          <w:sz w:val="22"/>
          <w:szCs w:val="22"/>
        </w:rPr>
        <w:t xml:space="preserve"> and small island developing states</w:t>
      </w:r>
      <w:r w:rsidRPr="00EE1F6B">
        <w:rPr>
          <w:bCs/>
          <w:sz w:val="22"/>
          <w:szCs w:val="22"/>
        </w:rPr>
        <w:t>, including the context of poverty and vulnerability, private sector development, development finance institutions, and gender equality</w:t>
      </w:r>
      <w:r w:rsidR="000C0DD1" w:rsidRPr="00EE1F6B">
        <w:rPr>
          <w:bCs/>
          <w:sz w:val="22"/>
          <w:szCs w:val="22"/>
        </w:rPr>
        <w:t>.</w:t>
      </w:r>
    </w:p>
    <w:p w:rsidR="000C0DD1" w:rsidRPr="00EE1F6B" w:rsidRDefault="000C0DD1" w:rsidP="000C0DD1">
      <w:pPr>
        <w:pStyle w:val="ListParagraph"/>
        <w:rPr>
          <w:bCs/>
          <w:sz w:val="22"/>
          <w:szCs w:val="22"/>
        </w:rPr>
      </w:pPr>
    </w:p>
    <w:p w:rsidR="00E60B71" w:rsidRPr="00EE1F6B" w:rsidRDefault="00E60B71" w:rsidP="001D13E5">
      <w:pPr>
        <w:pStyle w:val="ListParagraph"/>
        <w:numPr>
          <w:ilvl w:val="0"/>
          <w:numId w:val="17"/>
        </w:numPr>
        <w:ind w:left="1440" w:hanging="720"/>
        <w:jc w:val="both"/>
        <w:rPr>
          <w:bCs/>
          <w:sz w:val="22"/>
          <w:szCs w:val="22"/>
        </w:rPr>
      </w:pPr>
      <w:r w:rsidRPr="00EE1F6B">
        <w:rPr>
          <w:bCs/>
          <w:sz w:val="22"/>
          <w:szCs w:val="22"/>
        </w:rPr>
        <w:t>Ability to integrate qualitative and quantitative data</w:t>
      </w:r>
      <w:r w:rsidR="000C0DD1" w:rsidRPr="00EE1F6B">
        <w:rPr>
          <w:bCs/>
          <w:sz w:val="22"/>
          <w:szCs w:val="22"/>
        </w:rPr>
        <w:t>.</w:t>
      </w:r>
    </w:p>
    <w:p w:rsidR="000C0DD1" w:rsidRPr="00EE1F6B" w:rsidRDefault="000C0DD1" w:rsidP="000C0DD1">
      <w:pPr>
        <w:pStyle w:val="ListParagraph"/>
        <w:ind w:left="1440" w:hanging="720"/>
        <w:rPr>
          <w:bCs/>
          <w:sz w:val="22"/>
          <w:szCs w:val="22"/>
        </w:rPr>
      </w:pPr>
    </w:p>
    <w:p w:rsidR="00E60B71" w:rsidRPr="00EE1F6B" w:rsidRDefault="00E60B71" w:rsidP="001D13E5">
      <w:pPr>
        <w:pStyle w:val="ListParagraph"/>
        <w:numPr>
          <w:ilvl w:val="0"/>
          <w:numId w:val="17"/>
        </w:numPr>
        <w:ind w:left="1440" w:hanging="720"/>
        <w:jc w:val="both"/>
        <w:rPr>
          <w:bCs/>
          <w:sz w:val="22"/>
          <w:szCs w:val="22"/>
        </w:rPr>
      </w:pPr>
      <w:r w:rsidRPr="00EE1F6B">
        <w:rPr>
          <w:bCs/>
          <w:sz w:val="22"/>
          <w:szCs w:val="22"/>
        </w:rPr>
        <w:t>Strong report writing and presentation skills, ability</w:t>
      </w:r>
      <w:r w:rsidR="002D5E70" w:rsidRPr="00EE1F6B">
        <w:rPr>
          <w:bCs/>
          <w:sz w:val="22"/>
          <w:szCs w:val="22"/>
        </w:rPr>
        <w:t>,</w:t>
      </w:r>
      <w:r w:rsidRPr="00EE1F6B">
        <w:rPr>
          <w:bCs/>
          <w:sz w:val="22"/>
          <w:szCs w:val="22"/>
        </w:rPr>
        <w:t xml:space="preserve"> and experience in communicating concepts using non-technical language to diverse audiences</w:t>
      </w:r>
      <w:r w:rsidR="000C0DD1" w:rsidRPr="00EE1F6B">
        <w:rPr>
          <w:bCs/>
          <w:sz w:val="22"/>
          <w:szCs w:val="22"/>
        </w:rPr>
        <w:t>.</w:t>
      </w:r>
    </w:p>
    <w:p w:rsidR="000C0DD1" w:rsidRPr="00EE1F6B" w:rsidRDefault="000C0DD1" w:rsidP="000C0DD1">
      <w:pPr>
        <w:pStyle w:val="ListParagraph"/>
        <w:rPr>
          <w:bCs/>
          <w:sz w:val="22"/>
          <w:szCs w:val="22"/>
        </w:rPr>
      </w:pPr>
    </w:p>
    <w:p w:rsidR="00E60B71" w:rsidRPr="00EE1F6B" w:rsidRDefault="00630BE8" w:rsidP="001D13E5">
      <w:pPr>
        <w:pStyle w:val="ListParagraph"/>
        <w:numPr>
          <w:ilvl w:val="0"/>
          <w:numId w:val="17"/>
        </w:numPr>
        <w:ind w:left="1440" w:hanging="720"/>
        <w:jc w:val="both"/>
        <w:rPr>
          <w:bCs/>
          <w:sz w:val="22"/>
          <w:szCs w:val="22"/>
        </w:rPr>
      </w:pPr>
      <w:r w:rsidRPr="00EE1F6B">
        <w:rPr>
          <w:bCs/>
          <w:sz w:val="22"/>
          <w:szCs w:val="22"/>
        </w:rPr>
        <w:t>Fluency in English.</w:t>
      </w:r>
      <w:r w:rsidR="00EB55B6" w:rsidRPr="00EE1F6B">
        <w:rPr>
          <w:bCs/>
          <w:sz w:val="22"/>
          <w:szCs w:val="22"/>
        </w:rPr>
        <w:t xml:space="preserve"> </w:t>
      </w:r>
    </w:p>
    <w:p w:rsidR="00650127" w:rsidRPr="00B915B3" w:rsidRDefault="00650127" w:rsidP="00B915B3">
      <w:pPr>
        <w:rPr>
          <w:rFonts w:ascii="Times New Roman" w:hAnsi="Times New Roman"/>
          <w:sz w:val="22"/>
          <w:szCs w:val="22"/>
        </w:rPr>
      </w:pPr>
    </w:p>
    <w:sectPr w:rsidR="00650127" w:rsidRPr="00B915B3" w:rsidSect="00A32C84">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A1D" w:rsidRDefault="00225A1D" w:rsidP="00EB55B6">
      <w:r>
        <w:separator/>
      </w:r>
    </w:p>
  </w:endnote>
  <w:endnote w:type="continuationSeparator" w:id="0">
    <w:p w:rsidR="00225A1D" w:rsidRDefault="00225A1D" w:rsidP="00EB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A1D" w:rsidRDefault="00225A1D" w:rsidP="00EB55B6">
      <w:r>
        <w:separator/>
      </w:r>
    </w:p>
  </w:footnote>
  <w:footnote w:type="continuationSeparator" w:id="0">
    <w:p w:rsidR="00225A1D" w:rsidRDefault="00225A1D" w:rsidP="00EB55B6">
      <w:r>
        <w:continuationSeparator/>
      </w:r>
    </w:p>
  </w:footnote>
  <w:footnote w:id="1">
    <w:p w:rsidR="00D47343" w:rsidRPr="00E8573D" w:rsidRDefault="00D47343" w:rsidP="00D47343">
      <w:pPr>
        <w:pStyle w:val="FootnoteText"/>
        <w:rPr>
          <w:rFonts w:ascii="Times New Roman" w:hAnsi="Times New Roman"/>
          <w:sz w:val="18"/>
          <w:szCs w:val="18"/>
        </w:rPr>
      </w:pPr>
      <w:r w:rsidRPr="00E8573D">
        <w:rPr>
          <w:rStyle w:val="FootnoteReference"/>
          <w:rFonts w:ascii="Times New Roman" w:hAnsi="Times New Roman"/>
          <w:sz w:val="18"/>
          <w:szCs w:val="18"/>
          <w:vertAlign w:val="superscript"/>
        </w:rPr>
        <w:footnoteRef/>
      </w:r>
      <w:r w:rsidRPr="00E8573D">
        <w:rPr>
          <w:rFonts w:ascii="Times New Roman" w:hAnsi="Times New Roman"/>
          <w:sz w:val="18"/>
          <w:szCs w:val="18"/>
          <w:vertAlign w:val="superscript"/>
        </w:rPr>
        <w:t xml:space="preserve">/ </w:t>
      </w:r>
      <w:r w:rsidRPr="00E8573D">
        <w:rPr>
          <w:rFonts w:ascii="Times New Roman" w:hAnsi="Times New Roman"/>
          <w:sz w:val="18"/>
          <w:szCs w:val="18"/>
        </w:rPr>
        <w:t>Ibid.</w:t>
      </w:r>
    </w:p>
    <w:p w:rsidR="00D47343" w:rsidRPr="00E8573D" w:rsidRDefault="00D47343" w:rsidP="00D47343">
      <w:pPr>
        <w:pStyle w:val="FootnoteText"/>
        <w:rPr>
          <w:rFonts w:ascii="Times New Roman" w:hAnsi="Times New Roman"/>
          <w:sz w:val="18"/>
          <w:szCs w:val="18"/>
        </w:rPr>
      </w:pPr>
    </w:p>
  </w:footnote>
  <w:footnote w:id="2">
    <w:p w:rsidR="00D47343" w:rsidRPr="00E8573D" w:rsidRDefault="00D47343" w:rsidP="00D47343">
      <w:pPr>
        <w:pStyle w:val="FootnoteText"/>
        <w:rPr>
          <w:rFonts w:ascii="Times New Roman" w:hAnsi="Times New Roman"/>
          <w:sz w:val="18"/>
          <w:szCs w:val="18"/>
        </w:rPr>
      </w:pPr>
      <w:r w:rsidRPr="00E8573D">
        <w:rPr>
          <w:rStyle w:val="FootnoteReference"/>
          <w:rFonts w:ascii="Times New Roman" w:hAnsi="Times New Roman"/>
          <w:sz w:val="18"/>
          <w:szCs w:val="18"/>
          <w:vertAlign w:val="superscript"/>
        </w:rPr>
        <w:footnoteRef/>
      </w:r>
      <w:r w:rsidRPr="00E8573D">
        <w:rPr>
          <w:rFonts w:ascii="Times New Roman" w:hAnsi="Times New Roman"/>
          <w:sz w:val="18"/>
          <w:szCs w:val="18"/>
          <w:vertAlign w:val="superscript"/>
        </w:rPr>
        <w:t xml:space="preserve">/ </w:t>
      </w:r>
      <w:r w:rsidRPr="00E8573D">
        <w:rPr>
          <w:rFonts w:ascii="Times New Roman" w:hAnsi="Times New Roman"/>
          <w:sz w:val="18"/>
          <w:szCs w:val="18"/>
        </w:rPr>
        <w:t>Ibid.</w:t>
      </w:r>
    </w:p>
    <w:p w:rsidR="00D47343" w:rsidRPr="00E8573D" w:rsidRDefault="00D47343" w:rsidP="00D47343">
      <w:pPr>
        <w:pStyle w:val="FootnoteText"/>
        <w:rPr>
          <w:rFonts w:ascii="Times New Roman" w:hAnsi="Times New Roman"/>
          <w:sz w:val="18"/>
          <w:szCs w:val="18"/>
        </w:rPr>
      </w:pPr>
    </w:p>
  </w:footnote>
  <w:footnote w:id="3">
    <w:p w:rsidR="00EA5EBD" w:rsidRDefault="00EA5EBD" w:rsidP="00B915B3">
      <w:pPr>
        <w:pStyle w:val="FootnoteText"/>
        <w:ind w:left="90" w:hanging="90"/>
      </w:pPr>
      <w:r w:rsidRPr="00E8573D">
        <w:rPr>
          <w:rStyle w:val="FootnoteReference"/>
          <w:rFonts w:ascii="Times New Roman" w:hAnsi="Times New Roman"/>
          <w:sz w:val="18"/>
          <w:szCs w:val="18"/>
          <w:vertAlign w:val="superscript"/>
        </w:rPr>
        <w:footnoteRef/>
      </w:r>
      <w:r w:rsidRPr="00E8573D">
        <w:rPr>
          <w:rFonts w:ascii="Times New Roman" w:hAnsi="Times New Roman"/>
          <w:sz w:val="18"/>
          <w:szCs w:val="18"/>
        </w:rPr>
        <w:t xml:space="preserve"> </w:t>
      </w:r>
      <w:hyperlink r:id="rId1" w:history="1">
        <w:r w:rsidRPr="00E8573D">
          <w:rPr>
            <w:rStyle w:val="Hyperlink1"/>
            <w:rFonts w:ascii="Times New Roman" w:hAnsi="Times New Roman"/>
            <w:sz w:val="18"/>
            <w:szCs w:val="18"/>
          </w:rPr>
          <w:t>http://documents.worldbank.org/curated/en/688761571934946384/pdf/Doing-Business-2020-Comparing-Business-Regulation-in-190-Economies.pdf</w:t>
        </w:r>
      </w:hyperlink>
    </w:p>
  </w:footnote>
  <w:footnote w:id="4">
    <w:p w:rsidR="00EA0A73" w:rsidRDefault="00EA0A73" w:rsidP="006F1F7A">
      <w:pPr>
        <w:pStyle w:val="FootnoteText"/>
        <w:ind w:left="180" w:hanging="180"/>
        <w:jc w:val="both"/>
        <w:rPr>
          <w:rFonts w:ascii="Times New Roman" w:hAnsi="Times New Roman"/>
          <w:sz w:val="18"/>
          <w:szCs w:val="18"/>
        </w:rPr>
      </w:pPr>
      <w:r w:rsidRPr="006F1F7A">
        <w:rPr>
          <w:rStyle w:val="FootnoteReference"/>
          <w:rFonts w:ascii="Times New Roman" w:hAnsi="Times New Roman"/>
          <w:sz w:val="18"/>
          <w:szCs w:val="18"/>
          <w:vertAlign w:val="superscript"/>
        </w:rPr>
        <w:footnoteRef/>
      </w:r>
      <w:r w:rsidR="006F1F7A" w:rsidRPr="006F1F7A">
        <w:rPr>
          <w:rFonts w:ascii="Times New Roman" w:hAnsi="Times New Roman"/>
          <w:sz w:val="18"/>
          <w:szCs w:val="18"/>
          <w:vertAlign w:val="superscript"/>
        </w:rPr>
        <w:t>/</w:t>
      </w:r>
      <w:r w:rsidRPr="006F1F7A">
        <w:rPr>
          <w:rFonts w:ascii="Times New Roman" w:hAnsi="Times New Roman"/>
          <w:sz w:val="18"/>
          <w:szCs w:val="18"/>
        </w:rPr>
        <w:t xml:space="preserve"> A credit guarantee is a financial product that a small entrepreneur can access as a partial substitute for collateral when applying for a loan and is a common form of government intervention.  It is a promise by a guarantor to pay all or part of the loan if the borrower defaults, as it provides third</w:t>
      </w:r>
      <w:r w:rsidR="006F1F7A">
        <w:rPr>
          <w:rFonts w:ascii="Times New Roman" w:hAnsi="Times New Roman"/>
          <w:sz w:val="18"/>
          <w:szCs w:val="18"/>
        </w:rPr>
        <w:t>-</w:t>
      </w:r>
      <w:r w:rsidRPr="006F1F7A">
        <w:rPr>
          <w:rFonts w:ascii="Times New Roman" w:hAnsi="Times New Roman"/>
          <w:sz w:val="18"/>
          <w:szCs w:val="18"/>
        </w:rPr>
        <w:t>party credit risk mitigation to lenders with the objective of increasing access to credit.</w:t>
      </w:r>
    </w:p>
    <w:p w:rsidR="006F1F7A" w:rsidRPr="006F1F7A" w:rsidRDefault="006F1F7A" w:rsidP="006F1F7A">
      <w:pPr>
        <w:pStyle w:val="FootnoteText"/>
        <w:jc w:val="both"/>
        <w:rPr>
          <w:rFonts w:ascii="Times New Roman" w:hAnsi="Times New Roman"/>
          <w:sz w:val="18"/>
          <w:szCs w:val="18"/>
        </w:rPr>
      </w:pPr>
    </w:p>
  </w:footnote>
  <w:footnote w:id="5">
    <w:p w:rsidR="00D248A1" w:rsidRDefault="00D248A1" w:rsidP="00D248A1">
      <w:pPr>
        <w:pStyle w:val="FootnoteText"/>
        <w:ind w:left="90" w:hanging="90"/>
        <w:jc w:val="both"/>
        <w:rPr>
          <w:rFonts w:ascii="Times New Roman" w:hAnsi="Times New Roman"/>
          <w:highlight w:val="yellow"/>
        </w:rPr>
      </w:pPr>
      <w:r w:rsidRPr="006F1F7A">
        <w:rPr>
          <w:rStyle w:val="FootnoteReference"/>
          <w:rFonts w:ascii="Times New Roman" w:hAnsi="Times New Roman"/>
          <w:sz w:val="18"/>
          <w:szCs w:val="18"/>
          <w:vertAlign w:val="superscript"/>
        </w:rPr>
        <w:footnoteRef/>
      </w:r>
      <w:r w:rsidR="006F1F7A" w:rsidRPr="006F1F7A">
        <w:rPr>
          <w:rFonts w:ascii="Times New Roman" w:hAnsi="Times New Roman"/>
          <w:sz w:val="18"/>
          <w:szCs w:val="18"/>
          <w:vertAlign w:val="superscript"/>
        </w:rPr>
        <w:t>/</w:t>
      </w:r>
      <w:r w:rsidRPr="006F1F7A">
        <w:rPr>
          <w:rFonts w:ascii="Times New Roman" w:hAnsi="Times New Roman"/>
          <w:sz w:val="18"/>
          <w:szCs w:val="18"/>
          <w:vertAlign w:val="superscript"/>
        </w:rPr>
        <w:t xml:space="preserve"> </w:t>
      </w:r>
      <w:r w:rsidRPr="006F1F7A">
        <w:rPr>
          <w:rFonts w:ascii="Times New Roman" w:hAnsi="Times New Roman"/>
          <w:sz w:val="18"/>
          <w:szCs w:val="18"/>
        </w:rPr>
        <w:t>Assuming banks are willing to lend to MSMEs and are risk-averse investors that consider only risk free or speculative prospects</w:t>
      </w:r>
      <w:r w:rsidR="006F1F7A">
        <w:rPr>
          <w:rFonts w:ascii="Times New Roman" w:hAnsi="Times New Roman"/>
          <w:sz w:val="18"/>
          <w:szCs w:val="18"/>
        </w:rPr>
        <w:t xml:space="preserve"> </w:t>
      </w:r>
      <w:r w:rsidRPr="006F1F7A">
        <w:rPr>
          <w:rFonts w:ascii="Times New Roman" w:hAnsi="Times New Roman"/>
          <w:sz w:val="18"/>
          <w:szCs w:val="18"/>
        </w:rPr>
        <w:t xml:space="preserve">with </w:t>
      </w:r>
      <w:r w:rsidR="006F1F7A">
        <w:rPr>
          <w:rFonts w:ascii="Times New Roman" w:hAnsi="Times New Roman"/>
          <w:sz w:val="18"/>
          <w:szCs w:val="18"/>
        </w:rPr>
        <w:t xml:space="preserve">a </w:t>
      </w:r>
      <w:r w:rsidRPr="006F1F7A">
        <w:rPr>
          <w:rFonts w:ascii="Times New Roman" w:hAnsi="Times New Roman"/>
          <w:sz w:val="18"/>
          <w:szCs w:val="18"/>
        </w:rPr>
        <w:t>positive risk premium. Bodie, Kane</w:t>
      </w:r>
      <w:r w:rsidR="00BC1309">
        <w:rPr>
          <w:rFonts w:ascii="Times New Roman" w:hAnsi="Times New Roman"/>
          <w:sz w:val="18"/>
          <w:szCs w:val="18"/>
        </w:rPr>
        <w:t>,</w:t>
      </w:r>
      <w:r w:rsidRPr="006F1F7A">
        <w:rPr>
          <w:rFonts w:ascii="Times New Roman" w:hAnsi="Times New Roman"/>
          <w:sz w:val="18"/>
          <w:szCs w:val="18"/>
        </w:rPr>
        <w:t xml:space="preserve"> and Marcus - Investments (6th Edition).</w:t>
      </w:r>
    </w:p>
  </w:footnote>
  <w:footnote w:id="6">
    <w:p w:rsidR="00FB7D45" w:rsidRPr="00C62BF9" w:rsidRDefault="00FB7D45" w:rsidP="00C62BF9">
      <w:pPr>
        <w:pStyle w:val="FootnoteText"/>
        <w:jc w:val="both"/>
        <w:rPr>
          <w:rFonts w:ascii="Times New Roman" w:hAnsi="Times New Roman"/>
          <w:sz w:val="18"/>
          <w:szCs w:val="18"/>
        </w:rPr>
      </w:pPr>
      <w:r w:rsidRPr="00C62BF9">
        <w:rPr>
          <w:rStyle w:val="FootnoteReference"/>
          <w:rFonts w:ascii="Times New Roman" w:hAnsi="Times New Roman"/>
          <w:sz w:val="18"/>
          <w:szCs w:val="18"/>
          <w:vertAlign w:val="superscript"/>
        </w:rPr>
        <w:footnoteRef/>
      </w:r>
      <w:r w:rsidR="00C62BF9">
        <w:rPr>
          <w:rFonts w:ascii="Times New Roman" w:hAnsi="Times New Roman"/>
          <w:sz w:val="18"/>
          <w:szCs w:val="18"/>
          <w:vertAlign w:val="superscript"/>
        </w:rPr>
        <w:t>/</w:t>
      </w:r>
      <w:r w:rsidRPr="00C62BF9">
        <w:rPr>
          <w:rFonts w:ascii="Times New Roman" w:hAnsi="Times New Roman"/>
          <w:sz w:val="18"/>
          <w:szCs w:val="18"/>
          <w:vertAlign w:val="superscript"/>
        </w:rPr>
        <w:t xml:space="preserve"> </w:t>
      </w:r>
      <w:hyperlink r:id="rId2" w:history="1">
        <w:r w:rsidRPr="00C62BF9">
          <w:rPr>
            <w:rStyle w:val="Hyperlink"/>
            <w:rFonts w:ascii="Times New Roman" w:hAnsi="Times New Roman"/>
            <w:sz w:val="18"/>
            <w:szCs w:val="18"/>
          </w:rPr>
          <w:t>https://s3.amazonaws.com/ran-s3/dbankjm.com/wp-content/uploads/2020/05/20142546/DBJ-Annual-Report-2017-18.pdf</w:t>
        </w:r>
      </w:hyperlink>
    </w:p>
    <w:p w:rsidR="00FB7D45" w:rsidRPr="00C62BF9" w:rsidRDefault="00FB7D45" w:rsidP="00C62BF9">
      <w:pPr>
        <w:pStyle w:val="FootnoteText"/>
        <w:jc w:val="both"/>
        <w:rPr>
          <w:rFonts w:ascii="Times New Roman" w:hAnsi="Times New Roman"/>
          <w:sz w:val="18"/>
          <w:szCs w:val="18"/>
        </w:rPr>
      </w:pPr>
    </w:p>
  </w:footnote>
  <w:footnote w:id="7">
    <w:p w:rsidR="00632693" w:rsidRDefault="00632693" w:rsidP="00C62BF9">
      <w:pPr>
        <w:pStyle w:val="FootnoteText"/>
        <w:jc w:val="both"/>
      </w:pPr>
      <w:r w:rsidRPr="00C62BF9">
        <w:rPr>
          <w:rStyle w:val="FootnoteReference"/>
          <w:rFonts w:ascii="Times New Roman" w:hAnsi="Times New Roman"/>
          <w:sz w:val="18"/>
          <w:szCs w:val="18"/>
          <w:vertAlign w:val="superscript"/>
        </w:rPr>
        <w:footnoteRef/>
      </w:r>
      <w:r w:rsidR="00C62BF9" w:rsidRPr="00C62BF9">
        <w:rPr>
          <w:rFonts w:ascii="Times New Roman" w:hAnsi="Times New Roman"/>
          <w:sz w:val="18"/>
          <w:szCs w:val="18"/>
          <w:vertAlign w:val="superscript"/>
        </w:rPr>
        <w:t>/</w:t>
      </w:r>
      <w:r w:rsidRPr="00C62BF9">
        <w:rPr>
          <w:rFonts w:ascii="Times New Roman" w:hAnsi="Times New Roman"/>
          <w:sz w:val="18"/>
          <w:szCs w:val="18"/>
        </w:rPr>
        <w:t xml:space="preserve"> Carmen Gomez- Trigg - </w:t>
      </w:r>
      <w:r w:rsidRPr="00C62BF9">
        <w:rPr>
          <w:rFonts w:ascii="Times New Roman" w:hAnsi="Times New Roman"/>
          <w:bCs/>
          <w:sz w:val="18"/>
          <w:szCs w:val="18"/>
        </w:rPr>
        <w:t>The Eastern Caribbean Partial Credit Guarantee Corporation (ECPCGC) (June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C84" w:rsidRPr="00A32C84" w:rsidRDefault="00A32C84">
    <w:pPr>
      <w:pStyle w:val="Header"/>
      <w:jc w:val="right"/>
      <w:rPr>
        <w:rFonts w:ascii="Times New Roman" w:hAnsi="Times New Roman"/>
        <w:b/>
        <w:sz w:val="22"/>
        <w:szCs w:val="22"/>
        <w:u w:val="single"/>
      </w:rPr>
    </w:pPr>
    <w:r w:rsidRPr="00A32C84">
      <w:rPr>
        <w:rFonts w:ascii="Times New Roman" w:hAnsi="Times New Roman"/>
        <w:b/>
        <w:sz w:val="22"/>
        <w:szCs w:val="22"/>
        <w:u w:val="single"/>
      </w:rPr>
      <w:t>APPENDIX 1</w:t>
    </w:r>
  </w:p>
  <w:p w:rsidR="00A32C84" w:rsidRPr="00A32C84" w:rsidRDefault="00A32C84" w:rsidP="00A32C84">
    <w:pPr>
      <w:pStyle w:val="Header"/>
      <w:tabs>
        <w:tab w:val="clear" w:pos="4680"/>
        <w:tab w:val="left" w:pos="7380"/>
      </w:tabs>
      <w:jc w:val="center"/>
      <w:rPr>
        <w:rFonts w:ascii="Times New Roman" w:hAnsi="Times New Roman"/>
        <w:b/>
        <w:sz w:val="22"/>
        <w:szCs w:val="22"/>
      </w:rPr>
    </w:pPr>
    <w:r>
      <w:rPr>
        <w:rFonts w:ascii="Times New Roman" w:hAnsi="Times New Roman"/>
        <w:b/>
        <w:sz w:val="22"/>
        <w:szCs w:val="22"/>
      </w:rPr>
      <w:tab/>
    </w:r>
    <w:r w:rsidRPr="00A32C84">
      <w:rPr>
        <w:rFonts w:ascii="Times New Roman" w:hAnsi="Times New Roman"/>
        <w:b/>
        <w:sz w:val="22"/>
        <w:szCs w:val="22"/>
      </w:rPr>
      <w:t xml:space="preserve">Page </w:t>
    </w:r>
    <w:sdt>
      <w:sdtPr>
        <w:rPr>
          <w:rFonts w:ascii="Times New Roman" w:hAnsi="Times New Roman"/>
          <w:b/>
          <w:sz w:val="22"/>
          <w:szCs w:val="22"/>
        </w:rPr>
        <w:id w:val="-1488697495"/>
        <w:docPartObj>
          <w:docPartGallery w:val="Page Numbers (Top of Page)"/>
          <w:docPartUnique/>
        </w:docPartObj>
      </w:sdtPr>
      <w:sdtEndPr>
        <w:rPr>
          <w:noProof/>
        </w:rPr>
      </w:sdtEndPr>
      <w:sdtContent>
        <w:r w:rsidRPr="00A32C84">
          <w:rPr>
            <w:rFonts w:ascii="Times New Roman" w:hAnsi="Times New Roman"/>
            <w:b/>
            <w:sz w:val="22"/>
            <w:szCs w:val="22"/>
          </w:rPr>
          <w:fldChar w:fldCharType="begin"/>
        </w:r>
        <w:r w:rsidRPr="00A32C84">
          <w:rPr>
            <w:rFonts w:ascii="Times New Roman" w:hAnsi="Times New Roman"/>
            <w:b/>
            <w:sz w:val="22"/>
            <w:szCs w:val="22"/>
          </w:rPr>
          <w:instrText xml:space="preserve"> PAGE   \* MERGEFORMAT </w:instrText>
        </w:r>
        <w:r w:rsidRPr="00A32C84">
          <w:rPr>
            <w:rFonts w:ascii="Times New Roman" w:hAnsi="Times New Roman"/>
            <w:b/>
            <w:sz w:val="22"/>
            <w:szCs w:val="22"/>
          </w:rPr>
          <w:fldChar w:fldCharType="separate"/>
        </w:r>
        <w:r w:rsidR="00732241">
          <w:rPr>
            <w:rFonts w:ascii="Times New Roman" w:hAnsi="Times New Roman"/>
            <w:b/>
            <w:noProof/>
            <w:sz w:val="22"/>
            <w:szCs w:val="22"/>
          </w:rPr>
          <w:t>6</w:t>
        </w:r>
        <w:r w:rsidRPr="00A32C84">
          <w:rPr>
            <w:rFonts w:ascii="Times New Roman" w:hAnsi="Times New Roman"/>
            <w:b/>
            <w:noProof/>
            <w:sz w:val="22"/>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C84" w:rsidRPr="00A32C84" w:rsidRDefault="00A32C84" w:rsidP="00A32C84">
    <w:pPr>
      <w:pStyle w:val="Header"/>
      <w:jc w:val="right"/>
      <w:rPr>
        <w:rFonts w:ascii="Times New Roman" w:hAnsi="Times New Roman"/>
        <w:b/>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7855"/>
    <w:multiLevelType w:val="hybridMultilevel"/>
    <w:tmpl w:val="ED34745E"/>
    <w:lvl w:ilvl="0" w:tplc="B09A7B62">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85A29"/>
    <w:multiLevelType w:val="multilevel"/>
    <w:tmpl w:val="6008978A"/>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5A4069"/>
    <w:multiLevelType w:val="hybridMultilevel"/>
    <w:tmpl w:val="FE42C29E"/>
    <w:lvl w:ilvl="0" w:tplc="A8681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9D0CE3"/>
    <w:multiLevelType w:val="multilevel"/>
    <w:tmpl w:val="3D2EA01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536E4A"/>
    <w:multiLevelType w:val="hybridMultilevel"/>
    <w:tmpl w:val="37422674"/>
    <w:lvl w:ilvl="0" w:tplc="9404C128">
      <w:start w:val="1"/>
      <w:numFmt w:val="lowerLetter"/>
      <w:lvlText w:val="(%1)"/>
      <w:lvlJc w:val="left"/>
      <w:pPr>
        <w:ind w:left="1170" w:hanging="360"/>
      </w:pPr>
      <w:rPr>
        <w:rFonts w:hint="default"/>
        <w:b w:val="0"/>
      </w:rPr>
    </w:lvl>
    <w:lvl w:ilvl="1" w:tplc="78A85DC4">
      <w:start w:val="1"/>
      <w:numFmt w:val="lowerRoman"/>
      <w:lvlText w:val="(%2)"/>
      <w:lvlJc w:val="left"/>
      <w:pPr>
        <w:ind w:left="1890" w:hanging="360"/>
      </w:pPr>
      <w:rPr>
        <w:rFonts w:ascii="Times New Roman" w:eastAsia="Times New Roman" w:hAnsi="Times New Roman" w:cs="Times New Roman"/>
        <w:b w:val="0"/>
      </w:rPr>
    </w:lvl>
    <w:lvl w:ilvl="2" w:tplc="4B44F7F2">
      <w:start w:val="27"/>
      <w:numFmt w:val="lowerLetter"/>
      <w:lvlText w:val="(%3)"/>
      <w:lvlJc w:val="left"/>
      <w:pPr>
        <w:ind w:left="2790" w:hanging="360"/>
      </w:pPr>
      <w:rPr>
        <w:rFonts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6C96195"/>
    <w:multiLevelType w:val="hybridMultilevel"/>
    <w:tmpl w:val="A2066D74"/>
    <w:lvl w:ilvl="0" w:tplc="C8029B74">
      <w:start w:val="1"/>
      <w:numFmt w:val="lowerRoman"/>
      <w:lvlText w:val="(%1)"/>
      <w:lvlJc w:val="left"/>
      <w:pPr>
        <w:ind w:left="189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D37ED"/>
    <w:multiLevelType w:val="hybridMultilevel"/>
    <w:tmpl w:val="DE027E38"/>
    <w:lvl w:ilvl="0" w:tplc="6264F2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5380930"/>
    <w:multiLevelType w:val="hybridMultilevel"/>
    <w:tmpl w:val="C32ACE92"/>
    <w:lvl w:ilvl="0" w:tplc="3E3CD3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39747B"/>
    <w:multiLevelType w:val="hybridMultilevel"/>
    <w:tmpl w:val="DD104B8A"/>
    <w:lvl w:ilvl="0" w:tplc="488ECE8C">
      <w:start w:val="2"/>
      <w:numFmt w:val="lowerLetter"/>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90155"/>
    <w:multiLevelType w:val="multilevel"/>
    <w:tmpl w:val="0574AFBA"/>
    <w:lvl w:ilvl="0">
      <w:start w:val="5"/>
      <w:numFmt w:val="decimal"/>
      <w:lvlText w:val="%1."/>
      <w:lvlJc w:val="left"/>
      <w:pPr>
        <w:ind w:left="644" w:hanging="360"/>
      </w:pPr>
      <w:rPr>
        <w:rFonts w:hint="default"/>
        <w:b/>
      </w:rPr>
    </w:lvl>
    <w:lvl w:ilvl="1">
      <w:start w:val="1"/>
      <w:numFmt w:val="decimalZero"/>
      <w:isLgl/>
      <w:lvlText w:val="%1.%2"/>
      <w:lvlJc w:val="left"/>
      <w:pPr>
        <w:ind w:left="435"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15:restartNumberingAfterBreak="0">
    <w:nsid w:val="3C7229DE"/>
    <w:multiLevelType w:val="hybridMultilevel"/>
    <w:tmpl w:val="A45C0BD6"/>
    <w:lvl w:ilvl="0" w:tplc="F6D015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29A5F77"/>
    <w:multiLevelType w:val="multilevel"/>
    <w:tmpl w:val="417E048E"/>
    <w:lvl w:ilvl="0">
      <w:start w:val="3"/>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DE1ED1"/>
    <w:multiLevelType w:val="hybridMultilevel"/>
    <w:tmpl w:val="A5A2E6CC"/>
    <w:lvl w:ilvl="0" w:tplc="FA8EBD38">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56AE0B7B"/>
    <w:multiLevelType w:val="hybridMultilevel"/>
    <w:tmpl w:val="81A65C48"/>
    <w:lvl w:ilvl="0" w:tplc="9A424128">
      <w:start w:val="1"/>
      <w:numFmt w:val="lowerRoman"/>
      <w:lvlText w:val="(%1)"/>
      <w:lvlJc w:val="left"/>
      <w:pPr>
        <w:ind w:left="2131" w:hanging="720"/>
      </w:pPr>
      <w:rPr>
        <w:b w:val="0"/>
        <w:color w:val="auto"/>
      </w:rPr>
    </w:lvl>
    <w:lvl w:ilvl="1" w:tplc="04090019">
      <w:start w:val="1"/>
      <w:numFmt w:val="lowerLetter"/>
      <w:lvlText w:val="%2."/>
      <w:lvlJc w:val="left"/>
      <w:pPr>
        <w:ind w:left="2491" w:hanging="360"/>
      </w:pPr>
    </w:lvl>
    <w:lvl w:ilvl="2" w:tplc="0409001B">
      <w:start w:val="1"/>
      <w:numFmt w:val="lowerRoman"/>
      <w:lvlText w:val="%3."/>
      <w:lvlJc w:val="right"/>
      <w:pPr>
        <w:ind w:left="3211" w:hanging="180"/>
      </w:pPr>
    </w:lvl>
    <w:lvl w:ilvl="3" w:tplc="0409000F">
      <w:start w:val="1"/>
      <w:numFmt w:val="decimal"/>
      <w:lvlText w:val="%4."/>
      <w:lvlJc w:val="left"/>
      <w:pPr>
        <w:ind w:left="3931" w:hanging="360"/>
      </w:pPr>
    </w:lvl>
    <w:lvl w:ilvl="4" w:tplc="04090019">
      <w:start w:val="1"/>
      <w:numFmt w:val="lowerLetter"/>
      <w:lvlText w:val="%5."/>
      <w:lvlJc w:val="left"/>
      <w:pPr>
        <w:ind w:left="4651" w:hanging="360"/>
      </w:pPr>
    </w:lvl>
    <w:lvl w:ilvl="5" w:tplc="0409001B">
      <w:start w:val="1"/>
      <w:numFmt w:val="lowerRoman"/>
      <w:lvlText w:val="%6."/>
      <w:lvlJc w:val="right"/>
      <w:pPr>
        <w:ind w:left="5371" w:hanging="180"/>
      </w:pPr>
    </w:lvl>
    <w:lvl w:ilvl="6" w:tplc="0409000F">
      <w:start w:val="1"/>
      <w:numFmt w:val="decimal"/>
      <w:lvlText w:val="%7."/>
      <w:lvlJc w:val="left"/>
      <w:pPr>
        <w:ind w:left="6091" w:hanging="360"/>
      </w:pPr>
    </w:lvl>
    <w:lvl w:ilvl="7" w:tplc="04090019">
      <w:start w:val="1"/>
      <w:numFmt w:val="lowerLetter"/>
      <w:lvlText w:val="%8."/>
      <w:lvlJc w:val="left"/>
      <w:pPr>
        <w:ind w:left="6811" w:hanging="360"/>
      </w:pPr>
    </w:lvl>
    <w:lvl w:ilvl="8" w:tplc="0409001B">
      <w:start w:val="1"/>
      <w:numFmt w:val="lowerRoman"/>
      <w:lvlText w:val="%9."/>
      <w:lvlJc w:val="right"/>
      <w:pPr>
        <w:ind w:left="7531" w:hanging="180"/>
      </w:pPr>
    </w:lvl>
  </w:abstractNum>
  <w:abstractNum w:abstractNumId="14" w15:restartNumberingAfterBreak="0">
    <w:nsid w:val="5925267A"/>
    <w:multiLevelType w:val="multilevel"/>
    <w:tmpl w:val="0C5EF276"/>
    <w:lvl w:ilvl="0">
      <w:start w:val="1"/>
      <w:numFmt w:val="lowerLetter"/>
      <w:lvlText w:val="(%1)"/>
      <w:lvlJc w:val="left"/>
      <w:pPr>
        <w:ind w:left="1080" w:hanging="360"/>
      </w:pPr>
      <w:rPr>
        <w:rFonts w:ascii="Times New Roman" w:eastAsia="Calibri" w:hAnsi="Times New Roman" w:cs="Times New Roman" w:hint="default"/>
      </w:rPr>
    </w:lvl>
    <w:lvl w:ilvl="1">
      <w:start w:val="1"/>
      <w:numFmt w:val="lowerRoman"/>
      <w:lvlText w:val="(%2)"/>
      <w:lvlJc w:val="left"/>
      <w:pPr>
        <w:ind w:left="1512" w:hanging="432"/>
      </w:pPr>
      <w:rPr>
        <w:rFonts w:ascii="Times New Roman" w:eastAsia="Calibri" w:hAnsi="Times New Roman" w:cs="Times New Roman"/>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59525DA0"/>
    <w:multiLevelType w:val="hybridMultilevel"/>
    <w:tmpl w:val="B65EBFF8"/>
    <w:lvl w:ilvl="0" w:tplc="07B40672">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9A13C24"/>
    <w:multiLevelType w:val="multilevel"/>
    <w:tmpl w:val="EB3E2774"/>
    <w:lvl w:ilvl="0">
      <w:start w:val="6"/>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0F97820"/>
    <w:multiLevelType w:val="hybridMultilevel"/>
    <w:tmpl w:val="D1BA45FA"/>
    <w:lvl w:ilvl="0" w:tplc="FAE026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C60DA5"/>
    <w:multiLevelType w:val="multilevel"/>
    <w:tmpl w:val="2DD0DB2A"/>
    <w:lvl w:ilvl="0">
      <w:start w:val="1"/>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E527CB7"/>
    <w:multiLevelType w:val="multilevel"/>
    <w:tmpl w:val="BB147704"/>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01D50C3"/>
    <w:multiLevelType w:val="multilevel"/>
    <w:tmpl w:val="0C5EF276"/>
    <w:lvl w:ilvl="0">
      <w:start w:val="1"/>
      <w:numFmt w:val="lowerLetter"/>
      <w:lvlText w:val="(%1)"/>
      <w:lvlJc w:val="left"/>
      <w:pPr>
        <w:ind w:left="360" w:hanging="360"/>
      </w:pPr>
      <w:rPr>
        <w:rFonts w:ascii="Times New Roman" w:eastAsia="Calibri" w:hAnsi="Times New Roman" w:cs="Times New Roman"/>
      </w:rPr>
    </w:lvl>
    <w:lvl w:ilvl="1">
      <w:start w:val="1"/>
      <w:numFmt w:val="lowerRoman"/>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5A570A"/>
    <w:multiLevelType w:val="multilevel"/>
    <w:tmpl w:val="BE566FD8"/>
    <w:lvl w:ilvl="0">
      <w:start w:val="2"/>
      <w:numFmt w:val="decimal"/>
      <w:lvlText w:val="%1"/>
      <w:lvlJc w:val="left"/>
      <w:pPr>
        <w:ind w:left="390" w:hanging="390"/>
      </w:pPr>
      <w:rPr>
        <w:rFonts w:hint="default"/>
      </w:rPr>
    </w:lvl>
    <w:lvl w:ilvl="1">
      <w:start w:val="1"/>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0"/>
  </w:num>
  <w:num w:numId="6">
    <w:abstractNumId w:val="0"/>
  </w:num>
  <w:num w:numId="7">
    <w:abstractNumId w:val="10"/>
  </w:num>
  <w:num w:numId="8">
    <w:abstractNumId w:val="19"/>
  </w:num>
  <w:num w:numId="9">
    <w:abstractNumId w:val="2"/>
  </w:num>
  <w:num w:numId="10">
    <w:abstractNumId w:val="4"/>
  </w:num>
  <w:num w:numId="11">
    <w:abstractNumId w:val="6"/>
  </w:num>
  <w:num w:numId="12">
    <w:abstractNumId w:val="5"/>
  </w:num>
  <w:num w:numId="13">
    <w:abstractNumId w:val="15"/>
  </w:num>
  <w:num w:numId="14">
    <w:abstractNumId w:val="8"/>
  </w:num>
  <w:num w:numId="15">
    <w:abstractNumId w:val="12"/>
  </w:num>
  <w:num w:numId="16">
    <w:abstractNumId w:val="16"/>
  </w:num>
  <w:num w:numId="17">
    <w:abstractNumId w:val="17"/>
  </w:num>
  <w:num w:numId="18">
    <w:abstractNumId w:val="7"/>
  </w:num>
  <w:num w:numId="19">
    <w:abstractNumId w:val="14"/>
  </w:num>
  <w:num w:numId="20">
    <w:abstractNumId w:val="21"/>
  </w:num>
  <w:num w:numId="21">
    <w:abstractNumId w:val="3"/>
  </w:num>
  <w:num w:numId="2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5B6"/>
    <w:rsid w:val="00002DF1"/>
    <w:rsid w:val="0002405E"/>
    <w:rsid w:val="00026562"/>
    <w:rsid w:val="00035352"/>
    <w:rsid w:val="000458BA"/>
    <w:rsid w:val="00054C3E"/>
    <w:rsid w:val="00063FB8"/>
    <w:rsid w:val="0006468D"/>
    <w:rsid w:val="00072C39"/>
    <w:rsid w:val="00074E21"/>
    <w:rsid w:val="000C0DD1"/>
    <w:rsid w:val="000E4A66"/>
    <w:rsid w:val="000F384B"/>
    <w:rsid w:val="00116434"/>
    <w:rsid w:val="00122E78"/>
    <w:rsid w:val="00123471"/>
    <w:rsid w:val="00130377"/>
    <w:rsid w:val="00132B47"/>
    <w:rsid w:val="0014276B"/>
    <w:rsid w:val="0016187C"/>
    <w:rsid w:val="00172FB9"/>
    <w:rsid w:val="00175522"/>
    <w:rsid w:val="0018146A"/>
    <w:rsid w:val="00194337"/>
    <w:rsid w:val="001C136C"/>
    <w:rsid w:val="001C4B03"/>
    <w:rsid w:val="001D13E5"/>
    <w:rsid w:val="001D1886"/>
    <w:rsid w:val="001D2635"/>
    <w:rsid w:val="001D4126"/>
    <w:rsid w:val="001E381F"/>
    <w:rsid w:val="001F0388"/>
    <w:rsid w:val="001F5654"/>
    <w:rsid w:val="0020162A"/>
    <w:rsid w:val="00206F22"/>
    <w:rsid w:val="0022033F"/>
    <w:rsid w:val="00223179"/>
    <w:rsid w:val="00225A1D"/>
    <w:rsid w:val="00241AA3"/>
    <w:rsid w:val="00247697"/>
    <w:rsid w:val="0024778D"/>
    <w:rsid w:val="00254011"/>
    <w:rsid w:val="0025582A"/>
    <w:rsid w:val="00262ABE"/>
    <w:rsid w:val="00267029"/>
    <w:rsid w:val="00294801"/>
    <w:rsid w:val="00294AC1"/>
    <w:rsid w:val="0029575D"/>
    <w:rsid w:val="002A3F2B"/>
    <w:rsid w:val="002C4AC8"/>
    <w:rsid w:val="002D39FA"/>
    <w:rsid w:val="002D3BC5"/>
    <w:rsid w:val="002D5DE5"/>
    <w:rsid w:val="002D5E70"/>
    <w:rsid w:val="002D74F9"/>
    <w:rsid w:val="002F78BB"/>
    <w:rsid w:val="00305AEA"/>
    <w:rsid w:val="00332F31"/>
    <w:rsid w:val="003361AC"/>
    <w:rsid w:val="00337177"/>
    <w:rsid w:val="00357AAB"/>
    <w:rsid w:val="00366B46"/>
    <w:rsid w:val="00366F3B"/>
    <w:rsid w:val="00392717"/>
    <w:rsid w:val="00393090"/>
    <w:rsid w:val="00393359"/>
    <w:rsid w:val="003A617E"/>
    <w:rsid w:val="003B5FAC"/>
    <w:rsid w:val="003D707F"/>
    <w:rsid w:val="003D7458"/>
    <w:rsid w:val="003F4D67"/>
    <w:rsid w:val="003F76A5"/>
    <w:rsid w:val="00402FFA"/>
    <w:rsid w:val="004135D7"/>
    <w:rsid w:val="00422F33"/>
    <w:rsid w:val="00431E28"/>
    <w:rsid w:val="00432D3E"/>
    <w:rsid w:val="00461E79"/>
    <w:rsid w:val="00462CAE"/>
    <w:rsid w:val="0049722F"/>
    <w:rsid w:val="00497C81"/>
    <w:rsid w:val="004A4AD7"/>
    <w:rsid w:val="004C45B3"/>
    <w:rsid w:val="004D3555"/>
    <w:rsid w:val="004E2459"/>
    <w:rsid w:val="0050075E"/>
    <w:rsid w:val="00506711"/>
    <w:rsid w:val="0052048F"/>
    <w:rsid w:val="00543A28"/>
    <w:rsid w:val="00544FCC"/>
    <w:rsid w:val="00566020"/>
    <w:rsid w:val="0057176A"/>
    <w:rsid w:val="00576DD6"/>
    <w:rsid w:val="00585A4D"/>
    <w:rsid w:val="005B5DFF"/>
    <w:rsid w:val="005B6F76"/>
    <w:rsid w:val="005D28F7"/>
    <w:rsid w:val="005F20C1"/>
    <w:rsid w:val="00612EDA"/>
    <w:rsid w:val="00624B6A"/>
    <w:rsid w:val="00630BE8"/>
    <w:rsid w:val="00632693"/>
    <w:rsid w:val="00632B0F"/>
    <w:rsid w:val="00650127"/>
    <w:rsid w:val="00655D33"/>
    <w:rsid w:val="00656F82"/>
    <w:rsid w:val="006810F1"/>
    <w:rsid w:val="006868F5"/>
    <w:rsid w:val="006C1869"/>
    <w:rsid w:val="006D199A"/>
    <w:rsid w:val="006D4EC1"/>
    <w:rsid w:val="006E1956"/>
    <w:rsid w:val="006E34C9"/>
    <w:rsid w:val="006F1F7A"/>
    <w:rsid w:val="006F2C02"/>
    <w:rsid w:val="00701DD7"/>
    <w:rsid w:val="00726B35"/>
    <w:rsid w:val="00732241"/>
    <w:rsid w:val="007417F8"/>
    <w:rsid w:val="00752B72"/>
    <w:rsid w:val="00752B78"/>
    <w:rsid w:val="00756C06"/>
    <w:rsid w:val="00757619"/>
    <w:rsid w:val="00776C9A"/>
    <w:rsid w:val="00782547"/>
    <w:rsid w:val="007964C4"/>
    <w:rsid w:val="00797AF2"/>
    <w:rsid w:val="007A3943"/>
    <w:rsid w:val="007C0A04"/>
    <w:rsid w:val="007D1364"/>
    <w:rsid w:val="007E7217"/>
    <w:rsid w:val="00802616"/>
    <w:rsid w:val="008038EC"/>
    <w:rsid w:val="00807875"/>
    <w:rsid w:val="008258A4"/>
    <w:rsid w:val="0085715D"/>
    <w:rsid w:val="008732FE"/>
    <w:rsid w:val="0088089A"/>
    <w:rsid w:val="00883D43"/>
    <w:rsid w:val="00892632"/>
    <w:rsid w:val="0089562C"/>
    <w:rsid w:val="00897B70"/>
    <w:rsid w:val="008B307D"/>
    <w:rsid w:val="008D477A"/>
    <w:rsid w:val="00917A4D"/>
    <w:rsid w:val="00936338"/>
    <w:rsid w:val="00943803"/>
    <w:rsid w:val="00947487"/>
    <w:rsid w:val="00952EC1"/>
    <w:rsid w:val="009604B7"/>
    <w:rsid w:val="00964C01"/>
    <w:rsid w:val="00980804"/>
    <w:rsid w:val="00990583"/>
    <w:rsid w:val="009A18F3"/>
    <w:rsid w:val="009B2A06"/>
    <w:rsid w:val="009B66EE"/>
    <w:rsid w:val="00A00095"/>
    <w:rsid w:val="00A128B9"/>
    <w:rsid w:val="00A17265"/>
    <w:rsid w:val="00A272EC"/>
    <w:rsid w:val="00A32C84"/>
    <w:rsid w:val="00A33AA4"/>
    <w:rsid w:val="00A359F4"/>
    <w:rsid w:val="00A37399"/>
    <w:rsid w:val="00A45066"/>
    <w:rsid w:val="00A537C1"/>
    <w:rsid w:val="00A63B9A"/>
    <w:rsid w:val="00A7403A"/>
    <w:rsid w:val="00A770E4"/>
    <w:rsid w:val="00A825C0"/>
    <w:rsid w:val="00A83D7E"/>
    <w:rsid w:val="00A85FEE"/>
    <w:rsid w:val="00A863E1"/>
    <w:rsid w:val="00A95A27"/>
    <w:rsid w:val="00AB03C7"/>
    <w:rsid w:val="00AB5A4C"/>
    <w:rsid w:val="00AE1AC1"/>
    <w:rsid w:val="00AE316B"/>
    <w:rsid w:val="00AF4FE6"/>
    <w:rsid w:val="00B23DDD"/>
    <w:rsid w:val="00B36539"/>
    <w:rsid w:val="00B36956"/>
    <w:rsid w:val="00B442BF"/>
    <w:rsid w:val="00B4536F"/>
    <w:rsid w:val="00B675E6"/>
    <w:rsid w:val="00B915B3"/>
    <w:rsid w:val="00B96A8F"/>
    <w:rsid w:val="00BA2E11"/>
    <w:rsid w:val="00BA5A34"/>
    <w:rsid w:val="00BA798B"/>
    <w:rsid w:val="00BB1701"/>
    <w:rsid w:val="00BB3178"/>
    <w:rsid w:val="00BB34F1"/>
    <w:rsid w:val="00BC1309"/>
    <w:rsid w:val="00BC3F1F"/>
    <w:rsid w:val="00BE200F"/>
    <w:rsid w:val="00C04467"/>
    <w:rsid w:val="00C62BF9"/>
    <w:rsid w:val="00C72CA3"/>
    <w:rsid w:val="00C97385"/>
    <w:rsid w:val="00CA238E"/>
    <w:rsid w:val="00CA3480"/>
    <w:rsid w:val="00CA49DC"/>
    <w:rsid w:val="00CA6F68"/>
    <w:rsid w:val="00CC1741"/>
    <w:rsid w:val="00CD3DCC"/>
    <w:rsid w:val="00CD61BB"/>
    <w:rsid w:val="00CD689B"/>
    <w:rsid w:val="00CF2FE7"/>
    <w:rsid w:val="00CF3B9D"/>
    <w:rsid w:val="00CF3F2C"/>
    <w:rsid w:val="00CF722F"/>
    <w:rsid w:val="00D214B7"/>
    <w:rsid w:val="00D215FF"/>
    <w:rsid w:val="00D248A1"/>
    <w:rsid w:val="00D4718C"/>
    <w:rsid w:val="00D47343"/>
    <w:rsid w:val="00D47D3D"/>
    <w:rsid w:val="00D54873"/>
    <w:rsid w:val="00D668A2"/>
    <w:rsid w:val="00D802B8"/>
    <w:rsid w:val="00DF57A4"/>
    <w:rsid w:val="00E01327"/>
    <w:rsid w:val="00E05BF9"/>
    <w:rsid w:val="00E065C5"/>
    <w:rsid w:val="00E13F88"/>
    <w:rsid w:val="00E52260"/>
    <w:rsid w:val="00E57F11"/>
    <w:rsid w:val="00E60B71"/>
    <w:rsid w:val="00E8573D"/>
    <w:rsid w:val="00EA0A73"/>
    <w:rsid w:val="00EA3CFD"/>
    <w:rsid w:val="00EA5EBD"/>
    <w:rsid w:val="00EB02E0"/>
    <w:rsid w:val="00EB180C"/>
    <w:rsid w:val="00EB55B6"/>
    <w:rsid w:val="00EB7FA1"/>
    <w:rsid w:val="00EC0842"/>
    <w:rsid w:val="00EC12A5"/>
    <w:rsid w:val="00ED5496"/>
    <w:rsid w:val="00EE1F6B"/>
    <w:rsid w:val="00EE2B2B"/>
    <w:rsid w:val="00EE5418"/>
    <w:rsid w:val="00F0180A"/>
    <w:rsid w:val="00F10C7E"/>
    <w:rsid w:val="00F2177B"/>
    <w:rsid w:val="00F30804"/>
    <w:rsid w:val="00F36C7A"/>
    <w:rsid w:val="00F4032A"/>
    <w:rsid w:val="00F420B9"/>
    <w:rsid w:val="00F61F4B"/>
    <w:rsid w:val="00F67A9F"/>
    <w:rsid w:val="00F8057C"/>
    <w:rsid w:val="00FB0582"/>
    <w:rsid w:val="00FB326A"/>
    <w:rsid w:val="00FB374D"/>
    <w:rsid w:val="00FB7D45"/>
    <w:rsid w:val="00FC122D"/>
    <w:rsid w:val="00FC4B5C"/>
    <w:rsid w:val="00FD452A"/>
    <w:rsid w:val="00FE365F"/>
    <w:rsid w:val="00FE7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A6FCFAD-2516-4A01-917C-00ABD8E1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5B6"/>
    <w:pPr>
      <w:widowControl w:val="0"/>
      <w:autoSpaceDE w:val="0"/>
      <w:autoSpaceDN w:val="0"/>
      <w:adjustRightInd w:val="0"/>
    </w:pPr>
    <w:rPr>
      <w:rFonts w:ascii="Times" w:eastAsia="Times New Roman" w:hAns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16 Point,Superscript 6 Point,Superscript 6 Point + 11 pt,ftref,Знак сноски 1,referencia nota al pie,Footnote Reference Number,BVI fnr,Ref,de nota al pie,Car Car Char Car Char Car Car Char Car Char Char,R"/>
    <w:qFormat/>
    <w:rsid w:val="00EB55B6"/>
  </w:style>
  <w:style w:type="paragraph" w:styleId="FootnoteText">
    <w:name w:val="footnote text"/>
    <w:aliases w:val="Char Char,Geneva 9,Font: Geneva 9,Boston 10,f,single space,Footnote,otnote Text,f Car Car,f Car,ft,ft1,ft2,ft3,ft4,ft5,Texto nota pie Car Car Car,Testo nota a piè di pagina Carattere Carattere, Char Char,fn,Footnote Text Char Char1"/>
    <w:basedOn w:val="Normal"/>
    <w:link w:val="FootnoteTextChar"/>
    <w:qFormat/>
    <w:rsid w:val="00EB55B6"/>
    <w:rPr>
      <w:sz w:val="20"/>
      <w:szCs w:val="20"/>
    </w:rPr>
  </w:style>
  <w:style w:type="character" w:customStyle="1" w:styleId="FootnoteTextChar">
    <w:name w:val="Footnote Text Char"/>
    <w:aliases w:val="Char Char Char,Geneva 9 Char,Font: Geneva 9 Char,Boston 10 Char,f Char,single space Char,Footnote Char,otnote Text Char,f Car Car Char,f Car Char,ft Char,ft1 Char,ft2 Char,ft3 Char,ft4 Char,ft5 Char,Texto nota pie Car Car Car Char"/>
    <w:basedOn w:val="DefaultParagraphFont"/>
    <w:link w:val="FootnoteText"/>
    <w:qFormat/>
    <w:rsid w:val="00EB55B6"/>
    <w:rPr>
      <w:rFonts w:ascii="Times" w:eastAsia="Times New Roman" w:hAnsi="Times" w:cs="Times New Roman"/>
      <w:sz w:val="20"/>
      <w:szCs w:val="20"/>
    </w:rPr>
  </w:style>
  <w:style w:type="paragraph" w:styleId="ListParagraph">
    <w:name w:val="List Paragraph"/>
    <w:aliases w:val="123 List Paragraph,List Paragraph1,text,Lapis Bulleted List,En tête 1,Bullets,List Paragraph (numbered (a)),Paragraphe  revu,Use Case List Paragraph,References,ReferencesCxSpLast,lp1,List_Paragraph,Multilevel para_II,Normal 2,Celula"/>
    <w:basedOn w:val="Normal"/>
    <w:link w:val="ListParagraphChar"/>
    <w:uiPriority w:val="34"/>
    <w:qFormat/>
    <w:rsid w:val="00EB55B6"/>
    <w:pPr>
      <w:widowControl/>
      <w:autoSpaceDE/>
      <w:autoSpaceDN/>
      <w:adjustRightInd/>
      <w:ind w:left="720"/>
    </w:pPr>
    <w:rPr>
      <w:rFonts w:ascii="Times New Roman" w:hAnsi="Times New Roman"/>
    </w:rPr>
  </w:style>
  <w:style w:type="character" w:customStyle="1" w:styleId="ListParagraphChar">
    <w:name w:val="List Paragraph Char"/>
    <w:aliases w:val="123 List Paragraph Char,List Paragraph1 Char,text Char,Lapis Bulleted List Char,En tête 1 Char,Bullets Char,List Paragraph (numbered (a)) Char,Paragraphe  revu Char,Use Case List Paragraph Char,References Char,ReferencesCxSpLast Char"/>
    <w:link w:val="ListParagraph"/>
    <w:uiPriority w:val="34"/>
    <w:qFormat/>
    <w:locked/>
    <w:rsid w:val="00EB55B6"/>
    <w:rPr>
      <w:rFonts w:ascii="Times New Roman" w:eastAsia="Times New Roman" w:hAnsi="Times New Roman" w:cs="Times New Roman"/>
    </w:rPr>
  </w:style>
  <w:style w:type="paragraph" w:styleId="NoSpacing">
    <w:name w:val="No Spacing"/>
    <w:uiPriority w:val="1"/>
    <w:qFormat/>
    <w:rsid w:val="00EB55B6"/>
    <w:pPr>
      <w:widowControl w:val="0"/>
      <w:autoSpaceDE w:val="0"/>
      <w:autoSpaceDN w:val="0"/>
      <w:adjustRightInd w:val="0"/>
    </w:pPr>
    <w:rPr>
      <w:rFonts w:ascii="Times" w:eastAsia="Times New Roman" w:hAnsi="Times" w:cs="Times New Roman"/>
    </w:rPr>
  </w:style>
  <w:style w:type="character" w:customStyle="1" w:styleId="Hyperlink1">
    <w:name w:val="Hyperlink1"/>
    <w:basedOn w:val="DefaultParagraphFont"/>
    <w:uiPriority w:val="99"/>
    <w:unhideWhenUsed/>
    <w:rsid w:val="00F67A9F"/>
    <w:rPr>
      <w:color w:val="0563C1"/>
      <w:u w:val="single"/>
    </w:rPr>
  </w:style>
  <w:style w:type="table" w:styleId="TableGrid">
    <w:name w:val="Table Grid"/>
    <w:basedOn w:val="TableNormal"/>
    <w:uiPriority w:val="39"/>
    <w:rsid w:val="00F67A9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7A9F"/>
    <w:rPr>
      <w:color w:val="0563C1" w:themeColor="hyperlink"/>
      <w:u w:val="single"/>
    </w:rPr>
  </w:style>
  <w:style w:type="character" w:styleId="CommentReference">
    <w:name w:val="annotation reference"/>
    <w:uiPriority w:val="99"/>
    <w:rsid w:val="00D4718C"/>
    <w:rPr>
      <w:sz w:val="16"/>
      <w:szCs w:val="16"/>
    </w:rPr>
  </w:style>
  <w:style w:type="paragraph" w:styleId="CommentText">
    <w:name w:val="annotation text"/>
    <w:basedOn w:val="Normal"/>
    <w:link w:val="CommentTextChar"/>
    <w:uiPriority w:val="99"/>
    <w:rsid w:val="00D4718C"/>
    <w:rPr>
      <w:sz w:val="20"/>
      <w:szCs w:val="20"/>
    </w:rPr>
  </w:style>
  <w:style w:type="character" w:customStyle="1" w:styleId="CommentTextChar">
    <w:name w:val="Comment Text Char"/>
    <w:basedOn w:val="DefaultParagraphFont"/>
    <w:link w:val="CommentText"/>
    <w:uiPriority w:val="99"/>
    <w:rsid w:val="00D4718C"/>
    <w:rPr>
      <w:rFonts w:ascii="Times" w:eastAsia="Times New Roman" w:hAnsi="Times" w:cs="Times New Roman"/>
      <w:sz w:val="20"/>
      <w:szCs w:val="20"/>
    </w:rPr>
  </w:style>
  <w:style w:type="paragraph" w:styleId="BalloonText">
    <w:name w:val="Balloon Text"/>
    <w:basedOn w:val="Normal"/>
    <w:link w:val="BalloonTextChar"/>
    <w:uiPriority w:val="99"/>
    <w:semiHidden/>
    <w:unhideWhenUsed/>
    <w:rsid w:val="00D471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18C"/>
    <w:rPr>
      <w:rFonts w:ascii="Segoe UI" w:eastAsia="Times New Roman" w:hAnsi="Segoe UI" w:cs="Segoe UI"/>
      <w:sz w:val="18"/>
      <w:szCs w:val="18"/>
    </w:rPr>
  </w:style>
  <w:style w:type="paragraph" w:styleId="Revision">
    <w:name w:val="Revision"/>
    <w:hidden/>
    <w:uiPriority w:val="99"/>
    <w:semiHidden/>
    <w:rsid w:val="003F76A5"/>
    <w:rPr>
      <w:rFonts w:ascii="Times" w:eastAsia="Times New Roman" w:hAnsi="Times" w:cs="Times New Roman"/>
    </w:rPr>
  </w:style>
  <w:style w:type="paragraph" w:styleId="CommentSubject">
    <w:name w:val="annotation subject"/>
    <w:basedOn w:val="CommentText"/>
    <w:next w:val="CommentText"/>
    <w:link w:val="CommentSubjectChar"/>
    <w:uiPriority w:val="99"/>
    <w:semiHidden/>
    <w:unhideWhenUsed/>
    <w:rsid w:val="003F76A5"/>
    <w:rPr>
      <w:b/>
      <w:bCs/>
    </w:rPr>
  </w:style>
  <w:style w:type="character" w:customStyle="1" w:styleId="CommentSubjectChar">
    <w:name w:val="Comment Subject Char"/>
    <w:basedOn w:val="CommentTextChar"/>
    <w:link w:val="CommentSubject"/>
    <w:uiPriority w:val="99"/>
    <w:semiHidden/>
    <w:rsid w:val="003F76A5"/>
    <w:rPr>
      <w:rFonts w:ascii="Times" w:eastAsia="Times New Roman" w:hAnsi="Times" w:cs="Times New Roman"/>
      <w:b/>
      <w:bCs/>
      <w:sz w:val="20"/>
      <w:szCs w:val="20"/>
    </w:rPr>
  </w:style>
  <w:style w:type="paragraph" w:styleId="NormalWeb">
    <w:name w:val="Normal (Web)"/>
    <w:basedOn w:val="Normal"/>
    <w:uiPriority w:val="99"/>
    <w:semiHidden/>
    <w:unhideWhenUsed/>
    <w:rsid w:val="009604B7"/>
    <w:rPr>
      <w:rFonts w:ascii="Times New Roman" w:hAnsi="Times New Roman"/>
    </w:rPr>
  </w:style>
  <w:style w:type="paragraph" w:styleId="Header">
    <w:name w:val="header"/>
    <w:basedOn w:val="Normal"/>
    <w:link w:val="HeaderChar"/>
    <w:uiPriority w:val="99"/>
    <w:unhideWhenUsed/>
    <w:rsid w:val="00247697"/>
    <w:pPr>
      <w:tabs>
        <w:tab w:val="center" w:pos="4680"/>
        <w:tab w:val="right" w:pos="9360"/>
      </w:tabs>
    </w:pPr>
  </w:style>
  <w:style w:type="character" w:customStyle="1" w:styleId="HeaderChar">
    <w:name w:val="Header Char"/>
    <w:basedOn w:val="DefaultParagraphFont"/>
    <w:link w:val="Header"/>
    <w:uiPriority w:val="99"/>
    <w:rsid w:val="00247697"/>
    <w:rPr>
      <w:rFonts w:ascii="Times" w:eastAsia="Times New Roman" w:hAnsi="Times" w:cs="Times New Roman"/>
    </w:rPr>
  </w:style>
  <w:style w:type="paragraph" w:styleId="Footer">
    <w:name w:val="footer"/>
    <w:basedOn w:val="Normal"/>
    <w:link w:val="FooterChar"/>
    <w:uiPriority w:val="99"/>
    <w:unhideWhenUsed/>
    <w:rsid w:val="00247697"/>
    <w:pPr>
      <w:tabs>
        <w:tab w:val="center" w:pos="4680"/>
        <w:tab w:val="right" w:pos="9360"/>
      </w:tabs>
    </w:pPr>
  </w:style>
  <w:style w:type="character" w:customStyle="1" w:styleId="FooterChar">
    <w:name w:val="Footer Char"/>
    <w:basedOn w:val="DefaultParagraphFont"/>
    <w:link w:val="Footer"/>
    <w:uiPriority w:val="99"/>
    <w:rsid w:val="00247697"/>
    <w:rPr>
      <w:rFonts w:ascii="Times" w:eastAsia="Times New Roman" w:hAnsi="Time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6114">
      <w:bodyDiv w:val="1"/>
      <w:marLeft w:val="0"/>
      <w:marRight w:val="0"/>
      <w:marTop w:val="0"/>
      <w:marBottom w:val="0"/>
      <w:divBdr>
        <w:top w:val="none" w:sz="0" w:space="0" w:color="auto"/>
        <w:left w:val="none" w:sz="0" w:space="0" w:color="auto"/>
        <w:bottom w:val="none" w:sz="0" w:space="0" w:color="auto"/>
        <w:right w:val="none" w:sz="0" w:space="0" w:color="auto"/>
      </w:divBdr>
    </w:div>
    <w:div w:id="111823619">
      <w:bodyDiv w:val="1"/>
      <w:marLeft w:val="0"/>
      <w:marRight w:val="0"/>
      <w:marTop w:val="0"/>
      <w:marBottom w:val="0"/>
      <w:divBdr>
        <w:top w:val="none" w:sz="0" w:space="0" w:color="auto"/>
        <w:left w:val="none" w:sz="0" w:space="0" w:color="auto"/>
        <w:bottom w:val="none" w:sz="0" w:space="0" w:color="auto"/>
        <w:right w:val="none" w:sz="0" w:space="0" w:color="auto"/>
      </w:divBdr>
    </w:div>
    <w:div w:id="577592793">
      <w:bodyDiv w:val="1"/>
      <w:marLeft w:val="0"/>
      <w:marRight w:val="0"/>
      <w:marTop w:val="0"/>
      <w:marBottom w:val="0"/>
      <w:divBdr>
        <w:top w:val="none" w:sz="0" w:space="0" w:color="auto"/>
        <w:left w:val="none" w:sz="0" w:space="0" w:color="auto"/>
        <w:bottom w:val="none" w:sz="0" w:space="0" w:color="auto"/>
        <w:right w:val="none" w:sz="0" w:space="0" w:color="auto"/>
      </w:divBdr>
    </w:div>
    <w:div w:id="740174822">
      <w:bodyDiv w:val="1"/>
      <w:marLeft w:val="0"/>
      <w:marRight w:val="0"/>
      <w:marTop w:val="0"/>
      <w:marBottom w:val="0"/>
      <w:divBdr>
        <w:top w:val="none" w:sz="0" w:space="0" w:color="auto"/>
        <w:left w:val="none" w:sz="0" w:space="0" w:color="auto"/>
        <w:bottom w:val="none" w:sz="0" w:space="0" w:color="auto"/>
        <w:right w:val="none" w:sz="0" w:space="0" w:color="auto"/>
      </w:divBdr>
      <w:divsChild>
        <w:div w:id="500049193">
          <w:marLeft w:val="0"/>
          <w:marRight w:val="0"/>
          <w:marTop w:val="0"/>
          <w:marBottom w:val="0"/>
          <w:divBdr>
            <w:top w:val="none" w:sz="0" w:space="0" w:color="auto"/>
            <w:left w:val="none" w:sz="0" w:space="0" w:color="auto"/>
            <w:bottom w:val="none" w:sz="0" w:space="0" w:color="auto"/>
            <w:right w:val="none" w:sz="0" w:space="0" w:color="auto"/>
          </w:divBdr>
        </w:div>
      </w:divsChild>
    </w:div>
    <w:div w:id="8610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s3.amazonaws.com/ran-s3/dbankjm.com/wp-content/uploads/2020/05/20142546/DBJ-Annual-Report-2017-18.pdf" TargetMode="External"/><Relationship Id="rId1" Type="http://schemas.openxmlformats.org/officeDocument/2006/relationships/hyperlink" Target="http://documents.worldbank.org/curated/en/688761571934946384/pdf/Doing-Business-2020-Comparing-Business-Regulation-in-190-Econom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E2E73-C56F-445F-B350-05BF77B76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2334</Words>
  <Characters>13309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Mark</dc:creator>
  <cp:keywords/>
  <dc:description/>
  <cp:lastModifiedBy>Johanna Pelaez</cp:lastModifiedBy>
  <cp:revision>2</cp:revision>
  <dcterms:created xsi:type="dcterms:W3CDTF">2020-10-15T23:07:00Z</dcterms:created>
  <dcterms:modified xsi:type="dcterms:W3CDTF">2020-10-15T23:07:00Z</dcterms:modified>
</cp:coreProperties>
</file>