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92CB3" w14:textId="77777777" w:rsidR="000C4BC7" w:rsidRPr="00E701E6" w:rsidRDefault="000C4BC7" w:rsidP="000C4BC7">
      <w:pPr>
        <w:widowControl/>
        <w:tabs>
          <w:tab w:val="center" w:pos="4680"/>
          <w:tab w:val="left" w:pos="7257"/>
        </w:tabs>
        <w:autoSpaceDE/>
        <w:autoSpaceDN/>
        <w:adjustRightInd/>
        <w:jc w:val="center"/>
        <w:rPr>
          <w:rFonts w:ascii="Times New Roman" w:hAnsi="Times New Roman"/>
          <w:sz w:val="22"/>
          <w:szCs w:val="22"/>
          <w:u w:val="single"/>
          <w:lang w:val="en-GB"/>
        </w:rPr>
      </w:pPr>
      <w:r w:rsidRPr="00E701E6">
        <w:rPr>
          <w:rFonts w:ascii="Times New Roman" w:hAnsi="Times New Roman"/>
          <w:b/>
          <w:sz w:val="22"/>
          <w:szCs w:val="22"/>
          <w:u w:val="single"/>
          <w:lang w:val="en-GB"/>
        </w:rPr>
        <w:t>DRAFT TERMS OF REFERENCE</w:t>
      </w:r>
    </w:p>
    <w:p w14:paraId="60B4B5D4" w14:textId="77777777" w:rsidR="000C4BC7" w:rsidRPr="00E701E6" w:rsidRDefault="000C4BC7" w:rsidP="000C4BC7">
      <w:pPr>
        <w:tabs>
          <w:tab w:val="left" w:pos="8651"/>
        </w:tabs>
        <w:jc w:val="center"/>
        <w:rPr>
          <w:b/>
          <w:sz w:val="22"/>
          <w:szCs w:val="22"/>
          <w:u w:val="single"/>
          <w:lang w:val="en-GB"/>
        </w:rPr>
      </w:pPr>
    </w:p>
    <w:p w14:paraId="7D909843" w14:textId="72F20CE6" w:rsidR="000C4BC7" w:rsidRPr="000C4BC7" w:rsidRDefault="000C4BC7" w:rsidP="000C4BC7">
      <w:pPr>
        <w:widowControl/>
        <w:autoSpaceDE/>
        <w:autoSpaceDN/>
        <w:adjustRightInd/>
        <w:jc w:val="center"/>
        <w:rPr>
          <w:b/>
          <w:bCs/>
          <w:color w:val="000000"/>
          <w:sz w:val="22"/>
          <w:szCs w:val="22"/>
        </w:rPr>
      </w:pPr>
      <w:r w:rsidRPr="000C4BC7">
        <w:rPr>
          <w:b/>
          <w:bCs/>
          <w:color w:val="000000"/>
          <w:sz w:val="22"/>
          <w:szCs w:val="22"/>
        </w:rPr>
        <w:t>CONSULTANCY SERVICES FOR THE PROCUREMENT SPECIALIST SERVICES FOR THE CONTRACTING OF CONSULTANCY SERVICES AND PROCUREMENT OF FOOD SAFETY SOFTWARE.</w:t>
      </w:r>
    </w:p>
    <w:p w14:paraId="4AE5DB2D" w14:textId="77777777" w:rsidR="000C4BC7" w:rsidRPr="000C4BC7" w:rsidRDefault="000C4BC7" w:rsidP="000C4BC7">
      <w:pPr>
        <w:widowControl/>
        <w:autoSpaceDE/>
        <w:autoSpaceDN/>
        <w:adjustRightInd/>
        <w:jc w:val="both"/>
        <w:rPr>
          <w:rFonts w:ascii="Times New Roman" w:hAnsi="Times New Roman"/>
          <w:bCs/>
          <w:sz w:val="22"/>
          <w:szCs w:val="22"/>
          <w:u w:val="single"/>
          <w:lang w:val="en-GB"/>
        </w:rPr>
      </w:pPr>
    </w:p>
    <w:p w14:paraId="2F2E2B04" w14:textId="77777777" w:rsidR="000C4BC7" w:rsidRDefault="000C4BC7" w:rsidP="000C4BC7">
      <w:pPr>
        <w:numPr>
          <w:ilvl w:val="0"/>
          <w:numId w:val="1"/>
        </w:numPr>
        <w:tabs>
          <w:tab w:val="left" w:pos="720"/>
        </w:tabs>
        <w:ind w:hanging="1080"/>
        <w:jc w:val="both"/>
        <w:rPr>
          <w:b/>
          <w:sz w:val="22"/>
          <w:szCs w:val="22"/>
          <w:u w:val="single"/>
          <w:lang w:val="en-GB"/>
        </w:rPr>
      </w:pPr>
      <w:r w:rsidRPr="00E701E6">
        <w:rPr>
          <w:b/>
          <w:sz w:val="22"/>
          <w:szCs w:val="22"/>
          <w:u w:val="single"/>
          <w:lang w:val="en-GB"/>
        </w:rPr>
        <w:t>BACKGROUND</w:t>
      </w:r>
    </w:p>
    <w:p w14:paraId="193508DB" w14:textId="77777777" w:rsidR="000C4BC7" w:rsidRDefault="000C4BC7" w:rsidP="000C4BC7">
      <w:pPr>
        <w:tabs>
          <w:tab w:val="left" w:pos="720"/>
        </w:tabs>
        <w:jc w:val="both"/>
        <w:rPr>
          <w:b/>
          <w:sz w:val="22"/>
          <w:szCs w:val="22"/>
          <w:u w:val="single"/>
          <w:lang w:val="en-GB"/>
        </w:rPr>
      </w:pPr>
    </w:p>
    <w:p w14:paraId="22A16937" w14:textId="77777777" w:rsidR="000C4BC7" w:rsidRPr="00E701E6" w:rsidRDefault="000C4BC7" w:rsidP="000C4BC7">
      <w:pPr>
        <w:jc w:val="both"/>
        <w:rPr>
          <w:rFonts w:ascii="Times New Roman" w:hAnsi="Times New Roman"/>
          <w:sz w:val="22"/>
          <w:szCs w:val="22"/>
        </w:rPr>
      </w:pPr>
      <w:r>
        <w:rPr>
          <w:rFonts w:ascii="Times New Roman" w:hAnsi="Times New Roman"/>
          <w:sz w:val="22"/>
          <w:szCs w:val="22"/>
          <w:lang w:val="en-GB"/>
        </w:rPr>
        <w:t>1.01</w:t>
      </w:r>
      <w:r>
        <w:rPr>
          <w:rFonts w:ascii="Times New Roman" w:hAnsi="Times New Roman"/>
          <w:sz w:val="22"/>
          <w:szCs w:val="22"/>
          <w:lang w:val="en-GB"/>
        </w:rPr>
        <w:tab/>
      </w:r>
      <w:r w:rsidRPr="003972B7">
        <w:rPr>
          <w:rFonts w:ascii="Times New Roman" w:hAnsi="Times New Roman"/>
          <w:sz w:val="22"/>
          <w:szCs w:val="22"/>
          <w:lang w:val="en-GB"/>
        </w:rPr>
        <w:t>Guyana is</w:t>
      </w:r>
      <w:r>
        <w:rPr>
          <w:rFonts w:ascii="Times New Roman" w:hAnsi="Times New Roman"/>
          <w:sz w:val="22"/>
          <w:szCs w:val="22"/>
          <w:lang w:val="en-GB"/>
        </w:rPr>
        <w:t xml:space="preserve"> rich in natural</w:t>
      </w:r>
      <w:r w:rsidRPr="00E701E6">
        <w:rPr>
          <w:rFonts w:ascii="Times New Roman" w:hAnsi="Times New Roman"/>
          <w:sz w:val="22"/>
          <w:szCs w:val="22"/>
          <w:lang w:val="en-GB"/>
        </w:rPr>
        <w:t xml:space="preserve"> resources such as petroleum, gas, bauxite, gold and timber which account for most of the output in the productive sectors. </w:t>
      </w:r>
      <w:r w:rsidRPr="00E701E6">
        <w:rPr>
          <w:rFonts w:ascii="Times New Roman" w:hAnsi="Times New Roman"/>
          <w:sz w:val="22"/>
          <w:szCs w:val="22"/>
        </w:rPr>
        <w:t>Petroleum</w:t>
      </w:r>
      <w:r>
        <w:rPr>
          <w:rFonts w:ascii="Times New Roman" w:hAnsi="Times New Roman"/>
          <w:sz w:val="22"/>
          <w:szCs w:val="22"/>
        </w:rPr>
        <w:t>,</w:t>
      </w:r>
      <w:r w:rsidRPr="00E701E6">
        <w:rPr>
          <w:rFonts w:ascii="Times New Roman" w:hAnsi="Times New Roman"/>
          <w:sz w:val="22"/>
          <w:szCs w:val="22"/>
        </w:rPr>
        <w:t xml:space="preserve"> </w:t>
      </w:r>
      <w:proofErr w:type="gramStart"/>
      <w:r w:rsidRPr="00E701E6">
        <w:rPr>
          <w:rFonts w:ascii="Times New Roman" w:hAnsi="Times New Roman"/>
          <w:sz w:val="22"/>
          <w:szCs w:val="22"/>
        </w:rPr>
        <w:t>gas</w:t>
      </w:r>
      <w:proofErr w:type="gramEnd"/>
      <w:r w:rsidRPr="00E701E6">
        <w:rPr>
          <w:rFonts w:ascii="Times New Roman" w:hAnsi="Times New Roman"/>
          <w:sz w:val="22"/>
          <w:szCs w:val="22"/>
        </w:rPr>
        <w:t xml:space="preserve"> </w:t>
      </w:r>
      <w:r>
        <w:rPr>
          <w:rFonts w:ascii="Times New Roman" w:hAnsi="Times New Roman"/>
          <w:sz w:val="22"/>
          <w:szCs w:val="22"/>
        </w:rPr>
        <w:t xml:space="preserve">and support services </w:t>
      </w:r>
      <w:r w:rsidRPr="00E701E6">
        <w:rPr>
          <w:rFonts w:ascii="Times New Roman" w:hAnsi="Times New Roman"/>
          <w:sz w:val="22"/>
          <w:szCs w:val="22"/>
        </w:rPr>
        <w:t xml:space="preserve">in particular contributed up to </w:t>
      </w:r>
      <w:r>
        <w:rPr>
          <w:rFonts w:ascii="Times New Roman" w:hAnsi="Times New Roman"/>
          <w:sz w:val="22"/>
          <w:szCs w:val="22"/>
        </w:rPr>
        <w:t>32.</w:t>
      </w:r>
      <w:r w:rsidRPr="00E701E6">
        <w:rPr>
          <w:rFonts w:ascii="Times New Roman" w:hAnsi="Times New Roman"/>
          <w:sz w:val="22"/>
          <w:szCs w:val="22"/>
        </w:rPr>
        <w:t>7% of overall economic activity in 2021</w:t>
      </w:r>
      <w:r w:rsidRPr="00150612">
        <w:rPr>
          <w:rStyle w:val="FootnoteReference"/>
          <w:sz w:val="22"/>
          <w:szCs w:val="22"/>
          <w:vertAlign w:val="superscript"/>
        </w:rPr>
        <w:footnoteReference w:id="1"/>
      </w:r>
      <w:r w:rsidRPr="00150612">
        <w:rPr>
          <w:rFonts w:ascii="Times New Roman" w:hAnsi="Times New Roman"/>
          <w:sz w:val="22"/>
          <w:szCs w:val="22"/>
          <w:vertAlign w:val="superscript"/>
        </w:rPr>
        <w:t>/</w:t>
      </w:r>
      <w:r w:rsidRPr="00E701E6">
        <w:rPr>
          <w:rFonts w:ascii="Times New Roman" w:hAnsi="Times New Roman"/>
          <w:sz w:val="22"/>
          <w:szCs w:val="22"/>
        </w:rPr>
        <w:t xml:space="preserve">. </w:t>
      </w:r>
      <w:r w:rsidRPr="00E701E6">
        <w:rPr>
          <w:rFonts w:ascii="Times New Roman" w:hAnsi="Times New Roman"/>
          <w:sz w:val="22"/>
          <w:szCs w:val="22"/>
          <w:lang w:val="en-GB"/>
        </w:rPr>
        <w:t>The country also</w:t>
      </w:r>
      <w:r>
        <w:rPr>
          <w:rFonts w:ascii="Times New Roman" w:hAnsi="Times New Roman"/>
          <w:sz w:val="22"/>
          <w:szCs w:val="22"/>
          <w:lang w:val="en-GB"/>
        </w:rPr>
        <w:t xml:space="preserve"> has an abundance of</w:t>
      </w:r>
      <w:r w:rsidRPr="00E701E6">
        <w:rPr>
          <w:rFonts w:ascii="Times New Roman" w:hAnsi="Times New Roman"/>
          <w:sz w:val="22"/>
          <w:szCs w:val="22"/>
          <w:lang w:val="en-GB"/>
        </w:rPr>
        <w:t xml:space="preserve"> fertile agricultural land and a large acreage of tropical forests which is dependent on the country’s extensive river system.  </w:t>
      </w:r>
    </w:p>
    <w:p w14:paraId="254E2A8A" w14:textId="77777777" w:rsidR="000C4BC7" w:rsidRDefault="000C4BC7" w:rsidP="000C4BC7">
      <w:pPr>
        <w:jc w:val="both"/>
        <w:rPr>
          <w:rFonts w:ascii="Times New Roman" w:hAnsi="Times New Roman"/>
          <w:b/>
          <w:bCs/>
          <w:sz w:val="22"/>
          <w:szCs w:val="22"/>
          <w:lang w:val="en-GB"/>
        </w:rPr>
      </w:pPr>
    </w:p>
    <w:p w14:paraId="42C2B584" w14:textId="77777777" w:rsidR="000C4BC7" w:rsidRPr="00D326F4" w:rsidRDefault="000C4BC7" w:rsidP="000C4BC7">
      <w:pPr>
        <w:ind w:left="720"/>
        <w:jc w:val="both"/>
        <w:rPr>
          <w:rFonts w:ascii="Times New Roman" w:hAnsi="Times New Roman"/>
          <w:i/>
          <w:iCs/>
          <w:sz w:val="22"/>
          <w:szCs w:val="22"/>
          <w:lang w:val="en-GB"/>
        </w:rPr>
      </w:pPr>
      <w:r w:rsidRPr="00D326F4">
        <w:rPr>
          <w:rFonts w:ascii="Times New Roman" w:hAnsi="Times New Roman"/>
          <w:i/>
          <w:iCs/>
          <w:sz w:val="22"/>
          <w:szCs w:val="22"/>
          <w:lang w:val="en-GB"/>
        </w:rPr>
        <w:t xml:space="preserve">State of Guyana’s Agricultural Sector </w:t>
      </w:r>
    </w:p>
    <w:p w14:paraId="42BA6A6F" w14:textId="77777777" w:rsidR="000C4BC7" w:rsidRPr="00E701E6" w:rsidRDefault="000C4BC7" w:rsidP="000C4BC7">
      <w:pPr>
        <w:jc w:val="both"/>
        <w:rPr>
          <w:rFonts w:ascii="Times New Roman" w:hAnsi="Times New Roman"/>
          <w:sz w:val="22"/>
          <w:szCs w:val="22"/>
          <w:lang w:val="en-GB"/>
        </w:rPr>
      </w:pPr>
    </w:p>
    <w:p w14:paraId="04920A3B" w14:textId="77777777" w:rsidR="000C4BC7" w:rsidRPr="00DB686E" w:rsidRDefault="000C4BC7" w:rsidP="000C4BC7">
      <w:pPr>
        <w:jc w:val="both"/>
        <w:rPr>
          <w:rFonts w:ascii="Times New Roman" w:hAnsi="Times New Roman"/>
          <w:sz w:val="22"/>
          <w:szCs w:val="22"/>
          <w:lang w:val="en-GB"/>
        </w:rPr>
      </w:pPr>
      <w:r>
        <w:rPr>
          <w:rFonts w:ascii="Times New Roman" w:hAnsi="Times New Roman"/>
          <w:sz w:val="22"/>
          <w:szCs w:val="22"/>
          <w:lang w:val="en-GB"/>
        </w:rPr>
        <w:t>1.02</w:t>
      </w:r>
      <w:r>
        <w:rPr>
          <w:rFonts w:ascii="Times New Roman" w:hAnsi="Times New Roman"/>
          <w:sz w:val="22"/>
          <w:szCs w:val="22"/>
          <w:lang w:val="en-GB"/>
        </w:rPr>
        <w:tab/>
      </w:r>
      <w:r w:rsidRPr="00E701E6">
        <w:rPr>
          <w:rFonts w:ascii="Times New Roman" w:hAnsi="Times New Roman"/>
          <w:sz w:val="22"/>
          <w:szCs w:val="22"/>
          <w:lang w:val="en-GB"/>
        </w:rPr>
        <w:t xml:space="preserve">Agriculture plays a pivotal role in the Guyana economy and contributes significantly to </w:t>
      </w:r>
      <w:r>
        <w:rPr>
          <w:rFonts w:ascii="Times New Roman" w:hAnsi="Times New Roman"/>
          <w:sz w:val="22"/>
          <w:szCs w:val="22"/>
          <w:lang w:val="en-GB"/>
        </w:rPr>
        <w:t>employment, economic</w:t>
      </w:r>
      <w:r w:rsidRPr="00E701E6">
        <w:rPr>
          <w:rFonts w:ascii="Times New Roman" w:hAnsi="Times New Roman"/>
          <w:sz w:val="22"/>
          <w:szCs w:val="22"/>
          <w:lang w:val="en-GB"/>
        </w:rPr>
        <w:t xml:space="preserve"> growth</w:t>
      </w:r>
      <w:r>
        <w:rPr>
          <w:rFonts w:ascii="Times New Roman" w:hAnsi="Times New Roman"/>
          <w:sz w:val="22"/>
          <w:szCs w:val="22"/>
          <w:lang w:val="en-GB"/>
        </w:rPr>
        <w:t xml:space="preserve"> and food sustainability both locally and regionally. The sector </w:t>
      </w:r>
      <w:r w:rsidRPr="00E701E6">
        <w:rPr>
          <w:rFonts w:ascii="Times New Roman" w:hAnsi="Times New Roman"/>
          <w:sz w:val="22"/>
          <w:szCs w:val="22"/>
          <w:lang w:val="en-GB"/>
        </w:rPr>
        <w:t>accounted for 14.3% of Guyana’s Gross Domestic Product (GDP) in 2021 and contributed up to 13.8% of the total employed labour force</w:t>
      </w:r>
      <w:r w:rsidRPr="00E701E6">
        <w:rPr>
          <w:rStyle w:val="FootnoteReference"/>
          <w:sz w:val="22"/>
          <w:szCs w:val="22"/>
          <w:vertAlign w:val="superscript"/>
          <w:lang w:val="en-GB"/>
        </w:rPr>
        <w:footnoteReference w:id="2"/>
      </w:r>
      <w:r w:rsidRPr="00E701E6">
        <w:rPr>
          <w:rFonts w:ascii="Times New Roman" w:hAnsi="Times New Roman"/>
          <w:sz w:val="22"/>
          <w:szCs w:val="22"/>
          <w:vertAlign w:val="superscript"/>
          <w:lang w:val="en-GB"/>
        </w:rPr>
        <w:t>/</w:t>
      </w:r>
      <w:r w:rsidRPr="00E701E6">
        <w:rPr>
          <w:rFonts w:ascii="Times New Roman" w:hAnsi="Times New Roman"/>
          <w:sz w:val="22"/>
          <w:szCs w:val="22"/>
          <w:lang w:val="en-GB"/>
        </w:rPr>
        <w:t>. A total of 21,500 farmers are registered under the National Agricultural Research and Extension Institute (NAREI)</w:t>
      </w:r>
      <w:r>
        <w:rPr>
          <w:rFonts w:ascii="Times New Roman" w:hAnsi="Times New Roman"/>
          <w:sz w:val="22"/>
          <w:szCs w:val="22"/>
          <w:lang w:val="en-GB"/>
        </w:rPr>
        <w:t>—</w:t>
      </w:r>
      <w:r w:rsidRPr="00E701E6">
        <w:rPr>
          <w:rFonts w:ascii="Times New Roman" w:hAnsi="Times New Roman"/>
          <w:sz w:val="22"/>
          <w:szCs w:val="22"/>
          <w:lang w:val="en-GB"/>
        </w:rPr>
        <w:t>8,450 females and 13,050 males.  In addition, approximately 68% of this farming community are age 40 and over, farmers between the age of 30</w:t>
      </w:r>
      <w:r>
        <w:rPr>
          <w:rFonts w:ascii="Times New Roman" w:hAnsi="Times New Roman"/>
          <w:sz w:val="22"/>
          <w:szCs w:val="22"/>
          <w:lang w:val="en-GB"/>
        </w:rPr>
        <w:t>–</w:t>
      </w:r>
      <w:r w:rsidRPr="00E701E6">
        <w:rPr>
          <w:rFonts w:ascii="Times New Roman" w:hAnsi="Times New Roman"/>
          <w:sz w:val="22"/>
          <w:szCs w:val="22"/>
          <w:lang w:val="en-GB"/>
        </w:rPr>
        <w:t>40 account for another 16%</w:t>
      </w:r>
      <w:r>
        <w:rPr>
          <w:rFonts w:ascii="Times New Roman" w:hAnsi="Times New Roman"/>
          <w:sz w:val="22"/>
          <w:szCs w:val="22"/>
          <w:lang w:val="en-GB"/>
        </w:rPr>
        <w:t xml:space="preserve"> and </w:t>
      </w:r>
      <w:r w:rsidRPr="00E701E6">
        <w:rPr>
          <w:rFonts w:ascii="Times New Roman" w:hAnsi="Times New Roman"/>
          <w:sz w:val="22"/>
          <w:szCs w:val="22"/>
          <w:lang w:val="en-GB"/>
        </w:rPr>
        <w:t xml:space="preserve">only 13% of farmers are </w:t>
      </w:r>
      <w:r>
        <w:rPr>
          <w:rFonts w:ascii="Times New Roman" w:hAnsi="Times New Roman"/>
          <w:sz w:val="22"/>
          <w:szCs w:val="22"/>
          <w:lang w:val="en-GB"/>
        </w:rPr>
        <w:t>under the age of 30</w:t>
      </w:r>
      <w:r w:rsidRPr="00E701E6">
        <w:rPr>
          <w:rFonts w:ascii="Times New Roman" w:hAnsi="Times New Roman"/>
          <w:sz w:val="22"/>
          <w:szCs w:val="22"/>
          <w:lang w:val="en-GB"/>
        </w:rPr>
        <w:t xml:space="preserve">.  Most farmers in </w:t>
      </w:r>
      <w:r w:rsidRPr="00DB686E">
        <w:rPr>
          <w:rFonts w:ascii="Times New Roman" w:hAnsi="Times New Roman"/>
          <w:sz w:val="22"/>
          <w:szCs w:val="22"/>
          <w:lang w:val="en-GB"/>
        </w:rPr>
        <w:t>Guyana have mixed farming systems and produce a combination of fruit, leafy vegetable crops, and ground provisions.  Approximately 72% of farmers (including mixed farmers) produce vegetable crops each year on a rotational basis.  As it relates to fruit crops, pineapples are among the more popular fruits grown for the export market and are cultivated primarily by the younger farmer demographic</w:t>
      </w:r>
      <w:r w:rsidRPr="00DB686E">
        <w:rPr>
          <w:rStyle w:val="FootnoteReference"/>
          <w:sz w:val="22"/>
          <w:szCs w:val="22"/>
          <w:vertAlign w:val="superscript"/>
          <w:lang w:val="en-GB"/>
        </w:rPr>
        <w:footnoteReference w:id="3"/>
      </w:r>
      <w:r w:rsidRPr="00DB686E">
        <w:rPr>
          <w:rFonts w:ascii="Times New Roman" w:hAnsi="Times New Roman"/>
          <w:sz w:val="22"/>
          <w:szCs w:val="22"/>
          <w:vertAlign w:val="superscript"/>
          <w:lang w:val="en-GB"/>
        </w:rPr>
        <w:t>/</w:t>
      </w:r>
      <w:r w:rsidRPr="00DB686E">
        <w:rPr>
          <w:rFonts w:ascii="Times New Roman" w:hAnsi="Times New Roman"/>
          <w:sz w:val="22"/>
          <w:szCs w:val="22"/>
          <w:lang w:val="en-GB"/>
        </w:rPr>
        <w:t>.</w:t>
      </w:r>
      <w:r w:rsidRPr="00DB686E">
        <w:rPr>
          <w:rFonts w:ascii="Times New Roman" w:hAnsi="Times New Roman"/>
          <w:sz w:val="22"/>
          <w:szCs w:val="22"/>
          <w:vertAlign w:val="superscript"/>
          <w:lang w:val="en-GB"/>
        </w:rPr>
        <w:t xml:space="preserve"> </w:t>
      </w:r>
      <w:r w:rsidRPr="00DB686E">
        <w:rPr>
          <w:rFonts w:ascii="Times New Roman" w:hAnsi="Times New Roman"/>
          <w:sz w:val="22"/>
          <w:szCs w:val="22"/>
          <w:lang w:val="en-GB"/>
        </w:rPr>
        <w:t>Approximately 6% of farmers produce pineapples and there is room for scaling up production of this product. In 2020, the major importers of Guyana-produced pineapples were Suriname - 63%, Barbados - 35% and Antigua and Barbuda - 2%.</w:t>
      </w:r>
    </w:p>
    <w:p w14:paraId="719F2E1B" w14:textId="77777777" w:rsidR="000C4BC7" w:rsidRPr="00DB686E" w:rsidRDefault="000C4BC7" w:rsidP="000C4BC7">
      <w:pPr>
        <w:jc w:val="both"/>
        <w:rPr>
          <w:rFonts w:ascii="Times New Roman" w:hAnsi="Times New Roman"/>
          <w:sz w:val="22"/>
          <w:szCs w:val="22"/>
          <w:lang w:val="en-GB"/>
        </w:rPr>
      </w:pPr>
    </w:p>
    <w:p w14:paraId="02B8B640" w14:textId="77777777" w:rsidR="000C4BC7" w:rsidRPr="00DB686E" w:rsidRDefault="000C4BC7" w:rsidP="000C4BC7">
      <w:pPr>
        <w:jc w:val="both"/>
        <w:rPr>
          <w:rFonts w:ascii="Times New Roman" w:hAnsi="Times New Roman"/>
          <w:sz w:val="22"/>
          <w:szCs w:val="22"/>
          <w:lang w:val="en-GB"/>
        </w:rPr>
      </w:pPr>
      <w:r>
        <w:rPr>
          <w:rFonts w:ascii="Times New Roman" w:hAnsi="Times New Roman"/>
          <w:sz w:val="22"/>
          <w:szCs w:val="22"/>
          <w:lang w:val="en-GB"/>
        </w:rPr>
        <w:t>1.03</w:t>
      </w:r>
      <w:r>
        <w:rPr>
          <w:rFonts w:ascii="Times New Roman" w:hAnsi="Times New Roman"/>
          <w:sz w:val="22"/>
          <w:szCs w:val="22"/>
          <w:lang w:val="en-GB"/>
        </w:rPr>
        <w:tab/>
      </w:r>
      <w:r w:rsidRPr="00DB686E">
        <w:rPr>
          <w:rFonts w:ascii="Times New Roman" w:hAnsi="Times New Roman"/>
          <w:sz w:val="22"/>
          <w:szCs w:val="22"/>
          <w:lang w:val="en-GB"/>
        </w:rPr>
        <w:t>During the period 2019–2021 agricultural fresh produce exports rose steadily on account of improved demand induced by the pandemic.  However, exports of fresh produce had yet to recover to 2018 levels at the end of 2021. Export value decreased from GUY3.1 billion in 2018 to GUY2.5 billion in 2019 mainly due to lower exports in non-traditional agricultural products</w:t>
      </w:r>
      <w:r w:rsidRPr="00DB686E">
        <w:rPr>
          <w:rStyle w:val="FootnoteReference"/>
          <w:sz w:val="22"/>
          <w:szCs w:val="22"/>
          <w:vertAlign w:val="superscript"/>
          <w:lang w:val="en-GB"/>
        </w:rPr>
        <w:footnoteReference w:id="4"/>
      </w:r>
      <w:r w:rsidRPr="00DB686E">
        <w:rPr>
          <w:rFonts w:ascii="Times New Roman" w:hAnsi="Times New Roman"/>
          <w:sz w:val="22"/>
          <w:szCs w:val="22"/>
          <w:vertAlign w:val="superscript"/>
          <w:lang w:val="en-GB"/>
        </w:rPr>
        <w:t>/</w:t>
      </w:r>
      <w:r w:rsidRPr="00DB686E">
        <w:rPr>
          <w:rFonts w:ascii="Times New Roman" w:hAnsi="Times New Roman"/>
          <w:sz w:val="22"/>
          <w:szCs w:val="22"/>
          <w:lang w:val="en-GB"/>
        </w:rPr>
        <w:t xml:space="preserve"> representing approximately GUY608 million falloff in export earnings. Exports of </w:t>
      </w:r>
      <w:proofErr w:type="spellStart"/>
      <w:r w:rsidRPr="00DB686E">
        <w:rPr>
          <w:rFonts w:ascii="Times New Roman" w:hAnsi="Times New Roman"/>
          <w:sz w:val="22"/>
          <w:szCs w:val="22"/>
          <w:lang w:val="en-GB"/>
        </w:rPr>
        <w:t>agro</w:t>
      </w:r>
      <w:proofErr w:type="spellEnd"/>
      <w:r w:rsidRPr="00DB686E">
        <w:rPr>
          <w:rFonts w:ascii="Times New Roman" w:hAnsi="Times New Roman"/>
          <w:sz w:val="22"/>
          <w:szCs w:val="22"/>
          <w:lang w:val="en-GB"/>
        </w:rPr>
        <w:t xml:space="preserve">-processed products and pineapples also declined progressively over the past few years with only a slight uptick in 2021.  The falloff in export earnings of </w:t>
      </w:r>
      <w:proofErr w:type="spellStart"/>
      <w:r w:rsidRPr="00DB686E">
        <w:rPr>
          <w:rFonts w:ascii="Times New Roman" w:hAnsi="Times New Roman"/>
          <w:sz w:val="22"/>
          <w:szCs w:val="22"/>
          <w:lang w:val="en-GB"/>
        </w:rPr>
        <w:t>agro</w:t>
      </w:r>
      <w:proofErr w:type="spellEnd"/>
      <w:r w:rsidRPr="00DB686E">
        <w:rPr>
          <w:rFonts w:ascii="Times New Roman" w:hAnsi="Times New Roman"/>
          <w:sz w:val="22"/>
          <w:szCs w:val="22"/>
          <w:lang w:val="en-GB"/>
        </w:rPr>
        <w:t xml:space="preserve">-processed products comparing figures between 2017 and 2020 was approximately GUY473 million while for pineapple exports this figure amounted to GUY51 million. One major factor contributing to the fall-off in fresh produce production is the heavy rainfall experienced over the years. </w:t>
      </w:r>
    </w:p>
    <w:p w14:paraId="03347338" w14:textId="77777777" w:rsidR="000C4BC7" w:rsidRDefault="000C4BC7" w:rsidP="000C4BC7">
      <w:pPr>
        <w:jc w:val="both"/>
        <w:rPr>
          <w:rFonts w:ascii="Times New Roman" w:hAnsi="Times New Roman"/>
          <w:sz w:val="22"/>
          <w:szCs w:val="22"/>
          <w:lang w:val="en-GB"/>
        </w:rPr>
      </w:pPr>
    </w:p>
    <w:p w14:paraId="0E34E724" w14:textId="77777777" w:rsidR="000C4BC7" w:rsidRPr="00DB686E" w:rsidRDefault="000C4BC7" w:rsidP="000C4BC7">
      <w:pPr>
        <w:ind w:left="720"/>
        <w:jc w:val="both"/>
        <w:rPr>
          <w:rFonts w:ascii="Times New Roman" w:hAnsi="Times New Roman"/>
          <w:i/>
          <w:iCs/>
          <w:sz w:val="22"/>
          <w:szCs w:val="22"/>
          <w:lang w:val="en-GB"/>
        </w:rPr>
      </w:pPr>
      <w:r w:rsidRPr="00DB686E">
        <w:rPr>
          <w:rFonts w:ascii="Times New Roman" w:hAnsi="Times New Roman"/>
          <w:i/>
          <w:iCs/>
          <w:sz w:val="22"/>
          <w:szCs w:val="22"/>
          <w:lang w:val="en-GB"/>
        </w:rPr>
        <w:t xml:space="preserve">Development opportunities in the </w:t>
      </w:r>
      <w:proofErr w:type="spellStart"/>
      <w:r w:rsidRPr="00DB686E">
        <w:rPr>
          <w:rFonts w:ascii="Times New Roman" w:hAnsi="Times New Roman"/>
          <w:i/>
          <w:iCs/>
          <w:sz w:val="22"/>
          <w:szCs w:val="22"/>
          <w:lang w:val="en-GB"/>
        </w:rPr>
        <w:t>Agro</w:t>
      </w:r>
      <w:proofErr w:type="spellEnd"/>
      <w:r w:rsidRPr="00DB686E">
        <w:rPr>
          <w:rFonts w:ascii="Times New Roman" w:hAnsi="Times New Roman"/>
          <w:i/>
          <w:iCs/>
          <w:sz w:val="22"/>
          <w:szCs w:val="22"/>
          <w:lang w:val="en-GB"/>
        </w:rPr>
        <w:t>-food Industry</w:t>
      </w:r>
    </w:p>
    <w:p w14:paraId="1E94189B" w14:textId="77777777" w:rsidR="000C4BC7" w:rsidRPr="00DB686E" w:rsidRDefault="000C4BC7" w:rsidP="000C4BC7">
      <w:pPr>
        <w:jc w:val="both"/>
        <w:rPr>
          <w:rFonts w:ascii="Times New Roman" w:hAnsi="Times New Roman"/>
          <w:sz w:val="22"/>
          <w:szCs w:val="22"/>
          <w:lang w:val="en-GB"/>
        </w:rPr>
      </w:pPr>
    </w:p>
    <w:p w14:paraId="3280BDEE" w14:textId="77777777" w:rsidR="000C4BC7" w:rsidRPr="00DB686E" w:rsidRDefault="000C4BC7" w:rsidP="000C4BC7">
      <w:pPr>
        <w:jc w:val="both"/>
        <w:rPr>
          <w:rFonts w:ascii="Times New Roman" w:hAnsi="Times New Roman"/>
          <w:sz w:val="22"/>
          <w:szCs w:val="22"/>
          <w:lang w:val="en-GB"/>
        </w:rPr>
      </w:pPr>
      <w:r>
        <w:rPr>
          <w:rFonts w:ascii="Times New Roman" w:hAnsi="Times New Roman"/>
          <w:sz w:val="22"/>
          <w:szCs w:val="22"/>
          <w:lang w:val="en-GB"/>
        </w:rPr>
        <w:lastRenderedPageBreak/>
        <w:t>1.04</w:t>
      </w:r>
      <w:r>
        <w:rPr>
          <w:rFonts w:ascii="Times New Roman" w:hAnsi="Times New Roman"/>
          <w:sz w:val="22"/>
          <w:szCs w:val="22"/>
          <w:lang w:val="en-GB"/>
        </w:rPr>
        <w:tab/>
      </w:r>
      <w:r w:rsidRPr="00DB686E">
        <w:rPr>
          <w:rFonts w:ascii="Times New Roman" w:hAnsi="Times New Roman"/>
          <w:sz w:val="22"/>
          <w:szCs w:val="22"/>
          <w:lang w:val="en-GB"/>
        </w:rPr>
        <w:t xml:space="preserve">The GOGY is cognisant of the tremendous growth potential of the agricultural and agro-processing sectors and the strategic role they play in export markets and by extension the sustainability of the regional </w:t>
      </w:r>
      <w:proofErr w:type="spellStart"/>
      <w:r w:rsidRPr="00DB686E">
        <w:rPr>
          <w:rFonts w:ascii="Times New Roman" w:hAnsi="Times New Roman"/>
          <w:sz w:val="22"/>
          <w:szCs w:val="22"/>
          <w:lang w:val="en-GB"/>
        </w:rPr>
        <w:t>agro</w:t>
      </w:r>
      <w:proofErr w:type="spellEnd"/>
      <w:r w:rsidRPr="00DB686E">
        <w:rPr>
          <w:rFonts w:ascii="Times New Roman" w:hAnsi="Times New Roman"/>
          <w:sz w:val="22"/>
          <w:szCs w:val="22"/>
          <w:lang w:val="en-GB"/>
        </w:rPr>
        <w:t>-food value chain.  Through various policy measures emphasis has been placed on enhancing cultivation in food products and expanding agro-processing capabilities while deepening agricultural trade regionally.  Such initiatives include the Caribbean Community (CARICOM) regional Twenty-five by 25 initiative and the ‘100-shade house project’</w:t>
      </w:r>
      <w:r w:rsidRPr="00DB686E">
        <w:rPr>
          <w:rStyle w:val="FootnoteReference"/>
          <w:sz w:val="22"/>
          <w:szCs w:val="22"/>
          <w:vertAlign w:val="superscript"/>
          <w:lang w:val="en-GB"/>
        </w:rPr>
        <w:footnoteReference w:id="5"/>
      </w:r>
      <w:r w:rsidRPr="00DB686E">
        <w:rPr>
          <w:rFonts w:ascii="Times New Roman" w:hAnsi="Times New Roman"/>
          <w:sz w:val="22"/>
          <w:szCs w:val="22"/>
          <w:vertAlign w:val="superscript"/>
          <w:lang w:val="en-GB"/>
        </w:rPr>
        <w:t>/</w:t>
      </w:r>
      <w:r w:rsidRPr="00DB686E">
        <w:rPr>
          <w:rFonts w:ascii="Times New Roman" w:hAnsi="Times New Roman"/>
          <w:sz w:val="22"/>
          <w:szCs w:val="22"/>
          <w:lang w:val="en-GB"/>
        </w:rPr>
        <w:t xml:space="preserve"> which both seek to encourage youth involvement in agriculture.</w:t>
      </w:r>
    </w:p>
    <w:p w14:paraId="10033000" w14:textId="77777777" w:rsidR="000C4BC7" w:rsidRPr="00614CAC" w:rsidRDefault="000C4BC7" w:rsidP="000C4BC7">
      <w:pPr>
        <w:jc w:val="both"/>
        <w:rPr>
          <w:rFonts w:ascii="Times New Roman" w:hAnsi="Times New Roman"/>
          <w:sz w:val="18"/>
          <w:szCs w:val="18"/>
          <w:lang w:val="en-GB"/>
        </w:rPr>
      </w:pPr>
    </w:p>
    <w:p w14:paraId="65552FFD" w14:textId="77777777" w:rsidR="000C4BC7" w:rsidRPr="00DB686E" w:rsidRDefault="000C4BC7" w:rsidP="000C4BC7">
      <w:pPr>
        <w:jc w:val="both"/>
        <w:rPr>
          <w:rFonts w:ascii="Times New Roman" w:hAnsi="Times New Roman"/>
          <w:sz w:val="22"/>
          <w:szCs w:val="22"/>
          <w:lang w:val="en-GB"/>
        </w:rPr>
      </w:pPr>
      <w:r>
        <w:rPr>
          <w:rFonts w:ascii="Times New Roman" w:hAnsi="Times New Roman"/>
          <w:sz w:val="22"/>
          <w:szCs w:val="22"/>
          <w:lang w:val="en-GB"/>
        </w:rPr>
        <w:t>1.05</w:t>
      </w:r>
      <w:r>
        <w:rPr>
          <w:rFonts w:ascii="Times New Roman" w:hAnsi="Times New Roman"/>
          <w:sz w:val="22"/>
          <w:szCs w:val="22"/>
          <w:lang w:val="en-GB"/>
        </w:rPr>
        <w:tab/>
      </w:r>
      <w:r w:rsidRPr="00DB686E">
        <w:rPr>
          <w:rFonts w:ascii="Times New Roman" w:hAnsi="Times New Roman"/>
          <w:sz w:val="22"/>
          <w:szCs w:val="22"/>
          <w:lang w:val="en-GB"/>
        </w:rPr>
        <w:t xml:space="preserve">With the expectation of an increase in food production and a corresponding increase in the consumption of </w:t>
      </w:r>
      <w:proofErr w:type="spellStart"/>
      <w:r w:rsidRPr="00DB686E">
        <w:rPr>
          <w:rFonts w:ascii="Times New Roman" w:hAnsi="Times New Roman"/>
          <w:sz w:val="22"/>
          <w:szCs w:val="22"/>
          <w:lang w:val="en-GB"/>
        </w:rPr>
        <w:t>agro</w:t>
      </w:r>
      <w:proofErr w:type="spellEnd"/>
      <w:r w:rsidRPr="00DB686E">
        <w:rPr>
          <w:rFonts w:ascii="Times New Roman" w:hAnsi="Times New Roman"/>
          <w:sz w:val="22"/>
          <w:szCs w:val="22"/>
          <w:lang w:val="en-GB"/>
        </w:rPr>
        <w:t xml:space="preserve">-processed products locally and regionally. the Government has integrated various on-farm development initiatives with training provided by the Guyana School of Agriculture. This complimentary training is geared </w:t>
      </w:r>
      <w:proofErr w:type="gramStart"/>
      <w:r w:rsidRPr="00DB686E">
        <w:rPr>
          <w:rFonts w:ascii="Times New Roman" w:hAnsi="Times New Roman"/>
          <w:sz w:val="22"/>
          <w:szCs w:val="22"/>
          <w:lang w:val="en-GB"/>
        </w:rPr>
        <w:t>towards:</w:t>
      </w:r>
      <w:proofErr w:type="gramEnd"/>
      <w:r w:rsidRPr="00DB686E">
        <w:rPr>
          <w:rFonts w:ascii="Times New Roman" w:hAnsi="Times New Roman"/>
          <w:sz w:val="22"/>
          <w:szCs w:val="22"/>
          <w:lang w:val="en-GB"/>
        </w:rPr>
        <w:t xml:space="preserve"> developing value-added products from agricultural commodities, food science and agro-processing, as well as, food safety</w:t>
      </w:r>
      <w:r w:rsidRPr="00DB686E">
        <w:rPr>
          <w:rStyle w:val="FootnoteReference"/>
          <w:sz w:val="22"/>
          <w:szCs w:val="22"/>
          <w:vertAlign w:val="superscript"/>
          <w:lang w:val="en-GB"/>
        </w:rPr>
        <w:footnoteReference w:id="6"/>
      </w:r>
      <w:r w:rsidRPr="00DB686E">
        <w:rPr>
          <w:rFonts w:ascii="Times New Roman" w:hAnsi="Times New Roman"/>
          <w:sz w:val="22"/>
          <w:szCs w:val="22"/>
          <w:vertAlign w:val="superscript"/>
          <w:lang w:val="en-GB"/>
        </w:rPr>
        <w:t>/</w:t>
      </w:r>
      <w:r w:rsidRPr="00DB686E">
        <w:rPr>
          <w:rFonts w:ascii="Times New Roman" w:hAnsi="Times New Roman"/>
          <w:sz w:val="22"/>
          <w:szCs w:val="22"/>
          <w:lang w:val="en-GB"/>
        </w:rPr>
        <w:t xml:space="preserve"> and preservation techniques.  While these capacity building initiatives are ongoing and are important to help diversify the agri-food sector, the expected increase in mass-produced </w:t>
      </w:r>
      <w:proofErr w:type="spellStart"/>
      <w:r w:rsidRPr="00DB686E">
        <w:rPr>
          <w:rFonts w:ascii="Times New Roman" w:hAnsi="Times New Roman"/>
          <w:sz w:val="22"/>
          <w:szCs w:val="22"/>
          <w:lang w:val="en-GB"/>
        </w:rPr>
        <w:t>agro</w:t>
      </w:r>
      <w:proofErr w:type="spellEnd"/>
      <w:r w:rsidRPr="00DB686E">
        <w:rPr>
          <w:rFonts w:ascii="Times New Roman" w:hAnsi="Times New Roman"/>
          <w:sz w:val="22"/>
          <w:szCs w:val="22"/>
          <w:lang w:val="en-GB"/>
        </w:rPr>
        <w:t xml:space="preserve">-food products has heightened the importance of streamlining adequate food safety protocols nationally.  The fact that food products are one of the most-traded commodities in any country and the recent drive by the GOGY to bolster </w:t>
      </w:r>
      <w:proofErr w:type="spellStart"/>
      <w:r w:rsidRPr="00DB686E">
        <w:rPr>
          <w:rFonts w:ascii="Times New Roman" w:hAnsi="Times New Roman"/>
          <w:sz w:val="22"/>
          <w:szCs w:val="22"/>
          <w:lang w:val="en-GB"/>
        </w:rPr>
        <w:t>agro</w:t>
      </w:r>
      <w:proofErr w:type="spellEnd"/>
      <w:r w:rsidRPr="00DB686E">
        <w:rPr>
          <w:rFonts w:ascii="Times New Roman" w:hAnsi="Times New Roman"/>
          <w:sz w:val="22"/>
          <w:szCs w:val="22"/>
          <w:lang w:val="en-GB"/>
        </w:rPr>
        <w:t xml:space="preserve">-food production (fresh and </w:t>
      </w:r>
      <w:proofErr w:type="spellStart"/>
      <w:r w:rsidRPr="00DB686E">
        <w:rPr>
          <w:rFonts w:ascii="Times New Roman" w:hAnsi="Times New Roman"/>
          <w:sz w:val="22"/>
          <w:szCs w:val="22"/>
          <w:lang w:val="en-GB"/>
        </w:rPr>
        <w:t>agro</w:t>
      </w:r>
      <w:proofErr w:type="spellEnd"/>
      <w:r w:rsidRPr="00DB686E">
        <w:rPr>
          <w:rFonts w:ascii="Times New Roman" w:hAnsi="Times New Roman"/>
          <w:sz w:val="22"/>
          <w:szCs w:val="22"/>
          <w:lang w:val="en-GB"/>
        </w:rPr>
        <w:t xml:space="preserve">-processed products) food safety remains an ultimate concern and represent a critical area in which investment is still needed. Food traceability as an essential element of food safety represents one of those areas in which critical investment is required.   </w:t>
      </w:r>
    </w:p>
    <w:p w14:paraId="101EDB66" w14:textId="77777777" w:rsidR="000C4BC7" w:rsidRPr="00614CAC" w:rsidRDefault="000C4BC7" w:rsidP="000C4BC7">
      <w:pPr>
        <w:jc w:val="both"/>
        <w:rPr>
          <w:rFonts w:ascii="Times New Roman" w:hAnsi="Times New Roman"/>
          <w:sz w:val="18"/>
          <w:szCs w:val="18"/>
          <w:lang w:val="en-GB"/>
        </w:rPr>
      </w:pPr>
    </w:p>
    <w:p w14:paraId="0AD38D68" w14:textId="77777777" w:rsidR="000C4BC7" w:rsidRDefault="000C4BC7" w:rsidP="000C4BC7">
      <w:pPr>
        <w:jc w:val="both"/>
        <w:rPr>
          <w:rFonts w:ascii="Times New Roman" w:hAnsi="Times New Roman"/>
          <w:sz w:val="22"/>
          <w:szCs w:val="22"/>
          <w:lang w:val="en-GB"/>
        </w:rPr>
      </w:pPr>
      <w:r>
        <w:rPr>
          <w:rFonts w:ascii="Times New Roman" w:hAnsi="Times New Roman"/>
          <w:sz w:val="22"/>
          <w:szCs w:val="22"/>
          <w:lang w:val="en-GB"/>
        </w:rPr>
        <w:t>1.06</w:t>
      </w:r>
      <w:r>
        <w:rPr>
          <w:rFonts w:ascii="Times New Roman" w:hAnsi="Times New Roman"/>
          <w:sz w:val="22"/>
          <w:szCs w:val="22"/>
          <w:lang w:val="en-GB"/>
        </w:rPr>
        <w:tab/>
      </w:r>
      <w:r w:rsidRPr="00DB686E">
        <w:rPr>
          <w:rFonts w:ascii="Times New Roman" w:hAnsi="Times New Roman"/>
          <w:sz w:val="22"/>
          <w:szCs w:val="22"/>
          <w:lang w:val="en-GB"/>
        </w:rPr>
        <w:t>As the GOGY is a signatory to the World Trade</w:t>
      </w:r>
      <w:r w:rsidRPr="00696ABC">
        <w:rPr>
          <w:rFonts w:ascii="Times New Roman" w:hAnsi="Times New Roman"/>
          <w:sz w:val="22"/>
          <w:szCs w:val="22"/>
          <w:lang w:val="en-GB"/>
        </w:rPr>
        <w:t xml:space="preserve"> Organisation (WTO) Agreement, it is committed to ensure two outcomes—free flow of trade and food safety (access to safe food represents an essential element of the public</w:t>
      </w:r>
      <w:r w:rsidRPr="00832CDC">
        <w:rPr>
          <w:rFonts w:ascii="Times New Roman" w:hAnsi="Times New Roman"/>
          <w:sz w:val="22"/>
          <w:szCs w:val="22"/>
          <w:lang w:val="en-GB"/>
        </w:rPr>
        <w:t xml:space="preserve"> </w:t>
      </w:r>
      <w:r w:rsidRPr="00696ABC">
        <w:rPr>
          <w:rFonts w:ascii="Times New Roman" w:hAnsi="Times New Roman"/>
          <w:sz w:val="22"/>
          <w:szCs w:val="22"/>
          <w:lang w:val="en-GB"/>
        </w:rPr>
        <w:t>health mandate under the WTO). However, t</w:t>
      </w:r>
      <w:r w:rsidRPr="00696ABC">
        <w:rPr>
          <w:rFonts w:ascii="Times New Roman" w:hAnsi="Times New Roman"/>
          <w:sz w:val="22"/>
          <w:szCs w:val="22"/>
        </w:rPr>
        <w:t>he trade of safe food for consumption is still very much dependent on producers being able to meet non-tariff measures such as Sanitary and Phytosanitary Standards (SPS)</w:t>
      </w:r>
      <w:r w:rsidRPr="00696ABC">
        <w:rPr>
          <w:rFonts w:ascii="Times New Roman" w:hAnsi="Times New Roman"/>
          <w:sz w:val="22"/>
          <w:szCs w:val="22"/>
          <w:vertAlign w:val="superscript"/>
        </w:rPr>
        <w:footnoteReference w:id="7"/>
      </w:r>
      <w:r w:rsidRPr="00696ABC">
        <w:rPr>
          <w:rFonts w:ascii="Times New Roman" w:hAnsi="Times New Roman"/>
          <w:sz w:val="22"/>
          <w:szCs w:val="22"/>
          <w:vertAlign w:val="superscript"/>
        </w:rPr>
        <w:t>/</w:t>
      </w:r>
      <w:r w:rsidRPr="00696ABC">
        <w:rPr>
          <w:rFonts w:ascii="Times New Roman" w:hAnsi="Times New Roman"/>
          <w:sz w:val="22"/>
          <w:szCs w:val="22"/>
        </w:rPr>
        <w:t xml:space="preserve"> and Technical Barriers to Trade (TBT)</w:t>
      </w:r>
      <w:r w:rsidRPr="00696ABC">
        <w:rPr>
          <w:rFonts w:ascii="Times New Roman" w:hAnsi="Times New Roman"/>
          <w:sz w:val="22"/>
          <w:szCs w:val="22"/>
          <w:vertAlign w:val="superscript"/>
        </w:rPr>
        <w:footnoteReference w:id="8"/>
      </w:r>
      <w:r w:rsidRPr="00696ABC">
        <w:rPr>
          <w:rFonts w:ascii="Times New Roman" w:hAnsi="Times New Roman"/>
          <w:sz w:val="22"/>
          <w:szCs w:val="22"/>
          <w:vertAlign w:val="superscript"/>
        </w:rPr>
        <w:t>/</w:t>
      </w:r>
      <w:r w:rsidRPr="00696ABC">
        <w:rPr>
          <w:rFonts w:ascii="Times New Roman" w:hAnsi="Times New Roman"/>
          <w:sz w:val="22"/>
          <w:szCs w:val="22"/>
        </w:rPr>
        <w:t xml:space="preserve">. Such measures are usually independently defined by counties under the WTO agreement and hence creates some level of complexity in terms of meeting conformity to individual Member States food safety requirements.  Notwithstanding this fact, </w:t>
      </w:r>
      <w:r w:rsidRPr="00696ABC">
        <w:rPr>
          <w:rFonts w:ascii="Times New Roman" w:hAnsi="Times New Roman"/>
          <w:sz w:val="22"/>
          <w:szCs w:val="22"/>
          <w:lang w:val="en-GB"/>
        </w:rPr>
        <w:t xml:space="preserve">traceability systems have been recognised as an essential element towards catering to both the free flow of trade and ensuring food safety.  </w:t>
      </w:r>
      <w:proofErr w:type="gramStart"/>
      <w:r w:rsidRPr="00696ABC">
        <w:rPr>
          <w:rFonts w:ascii="Times New Roman" w:hAnsi="Times New Roman"/>
          <w:sz w:val="22"/>
          <w:szCs w:val="22"/>
          <w:lang w:val="en-GB"/>
        </w:rPr>
        <w:t>In particular it</w:t>
      </w:r>
      <w:proofErr w:type="gramEnd"/>
      <w:r w:rsidRPr="00696ABC">
        <w:rPr>
          <w:rFonts w:ascii="Times New Roman" w:hAnsi="Times New Roman"/>
          <w:sz w:val="22"/>
          <w:szCs w:val="22"/>
          <w:lang w:val="en-GB"/>
        </w:rPr>
        <w:t xml:space="preserve"> is a tool involving the deployment of international best practices in the management of food supply systems and helps ensure quality standards are adhered to thereby facilitating access across borders.</w:t>
      </w:r>
    </w:p>
    <w:p w14:paraId="70E48ED8" w14:textId="77777777" w:rsidR="000C4BC7" w:rsidRPr="00696ABC" w:rsidRDefault="000C4BC7" w:rsidP="000C4BC7">
      <w:pPr>
        <w:jc w:val="both"/>
        <w:rPr>
          <w:rFonts w:ascii="Times New Roman" w:hAnsi="Times New Roman"/>
          <w:sz w:val="22"/>
          <w:szCs w:val="22"/>
        </w:rPr>
      </w:pPr>
      <w:r>
        <w:rPr>
          <w:rFonts w:ascii="Times New Roman" w:hAnsi="Times New Roman"/>
          <w:sz w:val="22"/>
          <w:szCs w:val="22"/>
        </w:rPr>
        <w:t>1.07</w:t>
      </w:r>
      <w:r>
        <w:rPr>
          <w:rFonts w:ascii="Times New Roman" w:hAnsi="Times New Roman"/>
          <w:sz w:val="22"/>
          <w:szCs w:val="22"/>
        </w:rPr>
        <w:tab/>
      </w:r>
      <w:r w:rsidRPr="00696ABC">
        <w:rPr>
          <w:rFonts w:ascii="Times New Roman" w:hAnsi="Times New Roman"/>
          <w:sz w:val="22"/>
          <w:szCs w:val="22"/>
        </w:rPr>
        <w:t xml:space="preserve">As it relates to the passage of food products across borders, a CDB/Food and Agriculture Organisation of the United Nations (FAO) 2018 study, conveys that intra-regional trade in agricultural </w:t>
      </w:r>
      <w:r w:rsidRPr="00696ABC">
        <w:rPr>
          <w:rFonts w:ascii="Times New Roman" w:hAnsi="Times New Roman"/>
          <w:sz w:val="22"/>
          <w:szCs w:val="22"/>
        </w:rPr>
        <w:lastRenderedPageBreak/>
        <w:t>products is constrained by several factors including the absence of clear guidelines and protocols for the movement of plant and animal products. The lack of clear guidelines and protocols regionally affects all actors engaged in intra-regional trade (small and medium-sized traders and major supermarket chains) and restricts BMCs’ ability to take advantage of opportunities presented within the CARICOM Single Market and Economy (CSME).  However, the GOGY in its 2022 Budget Speech</w:t>
      </w:r>
      <w:r w:rsidRPr="00696ABC">
        <w:rPr>
          <w:rStyle w:val="FootnoteReference"/>
          <w:sz w:val="22"/>
          <w:szCs w:val="22"/>
          <w:vertAlign w:val="superscript"/>
        </w:rPr>
        <w:footnoteReference w:id="9"/>
      </w:r>
      <w:r w:rsidRPr="00696ABC">
        <w:rPr>
          <w:rFonts w:ascii="Times New Roman" w:hAnsi="Times New Roman"/>
          <w:sz w:val="22"/>
          <w:szCs w:val="22"/>
          <w:vertAlign w:val="superscript"/>
        </w:rPr>
        <w:t>/</w:t>
      </w:r>
      <w:r w:rsidRPr="00696ABC">
        <w:rPr>
          <w:rFonts w:ascii="Times New Roman" w:hAnsi="Times New Roman"/>
          <w:sz w:val="22"/>
          <w:szCs w:val="22"/>
        </w:rPr>
        <w:t xml:space="preserve"> suggests that a well-functioning traceability framework will not only serve to open doors for Guyanese producers in the international markets, but it will also help raise the standard of their production processes, thereby enhancing their competitiveness.</w:t>
      </w:r>
    </w:p>
    <w:p w14:paraId="0B48D9ED" w14:textId="77777777" w:rsidR="000C4BC7" w:rsidRPr="00614CAC" w:rsidRDefault="000C4BC7" w:rsidP="000C4BC7">
      <w:pPr>
        <w:jc w:val="both"/>
        <w:rPr>
          <w:rFonts w:ascii="Times New Roman" w:hAnsi="Times New Roman"/>
          <w:sz w:val="18"/>
          <w:szCs w:val="18"/>
        </w:rPr>
      </w:pPr>
    </w:p>
    <w:p w14:paraId="04DD0A7B" w14:textId="77777777" w:rsidR="000C4BC7" w:rsidRPr="00696ABC" w:rsidRDefault="000C4BC7" w:rsidP="000C4BC7">
      <w:pPr>
        <w:jc w:val="both"/>
        <w:rPr>
          <w:rFonts w:ascii="Times New Roman" w:hAnsi="Times New Roman"/>
          <w:sz w:val="22"/>
          <w:szCs w:val="22"/>
          <w:lang w:val="en-GB"/>
        </w:rPr>
      </w:pPr>
      <w:r>
        <w:rPr>
          <w:rFonts w:ascii="Times New Roman" w:hAnsi="Times New Roman"/>
          <w:sz w:val="22"/>
          <w:szCs w:val="22"/>
        </w:rPr>
        <w:t>1.08</w:t>
      </w:r>
      <w:r>
        <w:rPr>
          <w:rFonts w:ascii="Times New Roman" w:hAnsi="Times New Roman"/>
          <w:sz w:val="22"/>
          <w:szCs w:val="22"/>
        </w:rPr>
        <w:tab/>
      </w:r>
      <w:r w:rsidRPr="00696ABC">
        <w:rPr>
          <w:rFonts w:ascii="Times New Roman" w:hAnsi="Times New Roman"/>
          <w:sz w:val="22"/>
          <w:szCs w:val="22"/>
        </w:rPr>
        <w:t>Apart from the WTO SPS-based provisions, the GOGY is also actively conducting training in Global Good Agricultural Practices (GAP)</w:t>
      </w:r>
      <w:r w:rsidRPr="00696ABC">
        <w:rPr>
          <w:rStyle w:val="FootnoteReference"/>
          <w:sz w:val="22"/>
          <w:szCs w:val="22"/>
          <w:vertAlign w:val="superscript"/>
        </w:rPr>
        <w:footnoteReference w:id="10"/>
      </w:r>
      <w:r w:rsidRPr="00696ABC">
        <w:rPr>
          <w:rFonts w:ascii="Times New Roman" w:hAnsi="Times New Roman"/>
          <w:sz w:val="22"/>
          <w:szCs w:val="22"/>
          <w:vertAlign w:val="superscript"/>
        </w:rPr>
        <w:t>/</w:t>
      </w:r>
      <w:r w:rsidRPr="00696ABC">
        <w:rPr>
          <w:rFonts w:ascii="Times New Roman" w:hAnsi="Times New Roman"/>
          <w:sz w:val="22"/>
          <w:szCs w:val="22"/>
        </w:rPr>
        <w:t xml:space="preserve"> Standards which are a set of international </w:t>
      </w:r>
      <w:proofErr w:type="spellStart"/>
      <w:r w:rsidRPr="00696ABC">
        <w:rPr>
          <w:rFonts w:ascii="Times New Roman" w:hAnsi="Times New Roman"/>
          <w:sz w:val="22"/>
          <w:szCs w:val="22"/>
        </w:rPr>
        <w:t>recognised</w:t>
      </w:r>
      <w:proofErr w:type="spellEnd"/>
      <w:r w:rsidRPr="00696ABC">
        <w:rPr>
          <w:rFonts w:ascii="Times New Roman" w:hAnsi="Times New Roman"/>
          <w:sz w:val="22"/>
          <w:szCs w:val="22"/>
        </w:rPr>
        <w:t xml:space="preserve"> standards that act as a safeguard for food safety. It is a voluntary standard that is widely accepted and attainable across 134 countries covering </w:t>
      </w:r>
      <w:r w:rsidRPr="00696ABC">
        <w:rPr>
          <w:rFonts w:ascii="Times New Roman" w:hAnsi="Times New Roman"/>
          <w:i/>
          <w:iCs/>
          <w:sz w:val="22"/>
          <w:szCs w:val="22"/>
        </w:rPr>
        <w:t>inter alia</w:t>
      </w:r>
      <w:r w:rsidRPr="00696ABC">
        <w:rPr>
          <w:rFonts w:ascii="Times New Roman" w:hAnsi="Times New Roman"/>
          <w:sz w:val="22"/>
          <w:szCs w:val="22"/>
        </w:rPr>
        <w:t xml:space="preserve"> areas of Hazard Analysis Critical Control Points (HACCP) compliance and traceability. While training does exist on Global GAP practices there is an opportunity to strengthen this initiative within a robust export certification framework.</w:t>
      </w:r>
    </w:p>
    <w:p w14:paraId="2EE7B8B2" w14:textId="77777777" w:rsidR="000C4BC7" w:rsidRPr="00614CAC" w:rsidRDefault="000C4BC7" w:rsidP="000C4BC7">
      <w:pPr>
        <w:jc w:val="both"/>
        <w:rPr>
          <w:rFonts w:ascii="Times New Roman" w:hAnsi="Times New Roman"/>
          <w:sz w:val="18"/>
          <w:szCs w:val="18"/>
          <w:lang w:val="en-GB"/>
        </w:rPr>
      </w:pPr>
    </w:p>
    <w:p w14:paraId="0AA55E5B" w14:textId="77777777" w:rsidR="000C4BC7" w:rsidRPr="00696ABC" w:rsidRDefault="000C4BC7" w:rsidP="000C4BC7">
      <w:pPr>
        <w:ind w:left="720"/>
        <w:rPr>
          <w:rFonts w:ascii="Times New Roman" w:hAnsi="Times New Roman"/>
          <w:i/>
          <w:iCs/>
          <w:sz w:val="22"/>
          <w:szCs w:val="22"/>
          <w:lang w:val="en-GB"/>
        </w:rPr>
      </w:pPr>
      <w:proofErr w:type="gramStart"/>
      <w:r w:rsidRPr="00696ABC">
        <w:rPr>
          <w:rFonts w:ascii="Times New Roman" w:hAnsi="Times New Roman"/>
          <w:i/>
          <w:iCs/>
          <w:sz w:val="22"/>
          <w:szCs w:val="22"/>
          <w:lang w:val="en-GB"/>
        </w:rPr>
        <w:t>Current status</w:t>
      </w:r>
      <w:proofErr w:type="gramEnd"/>
      <w:r w:rsidRPr="00696ABC">
        <w:rPr>
          <w:rFonts w:ascii="Times New Roman" w:hAnsi="Times New Roman"/>
          <w:i/>
          <w:iCs/>
          <w:sz w:val="22"/>
          <w:szCs w:val="22"/>
          <w:lang w:val="en-GB"/>
        </w:rPr>
        <w:t xml:space="preserve"> of Enhancing the Food Safety System Locally </w:t>
      </w:r>
    </w:p>
    <w:p w14:paraId="05218CCC" w14:textId="77777777" w:rsidR="000C4BC7" w:rsidRPr="00614CAC" w:rsidRDefault="000C4BC7" w:rsidP="000C4BC7">
      <w:pPr>
        <w:jc w:val="both"/>
        <w:rPr>
          <w:rFonts w:ascii="Times New Roman" w:hAnsi="Times New Roman"/>
          <w:b/>
          <w:bCs/>
          <w:sz w:val="18"/>
          <w:szCs w:val="18"/>
          <w:lang w:val="en-GB"/>
        </w:rPr>
      </w:pPr>
      <w:r w:rsidRPr="00696ABC">
        <w:rPr>
          <w:rFonts w:ascii="Times New Roman" w:hAnsi="Times New Roman"/>
          <w:b/>
          <w:bCs/>
          <w:sz w:val="22"/>
          <w:szCs w:val="22"/>
          <w:lang w:val="en-GB"/>
        </w:rPr>
        <w:t xml:space="preserve"> </w:t>
      </w:r>
    </w:p>
    <w:p w14:paraId="73232960" w14:textId="77777777" w:rsidR="000C4BC7" w:rsidRPr="00832CDC" w:rsidRDefault="000C4BC7" w:rsidP="000C4BC7">
      <w:pPr>
        <w:jc w:val="both"/>
        <w:rPr>
          <w:rFonts w:ascii="Times New Roman" w:hAnsi="Times New Roman"/>
          <w:sz w:val="22"/>
          <w:szCs w:val="22"/>
          <w:lang w:val="en-GB"/>
        </w:rPr>
      </w:pPr>
      <w:r>
        <w:rPr>
          <w:rFonts w:ascii="Times New Roman" w:hAnsi="Times New Roman"/>
          <w:sz w:val="22"/>
          <w:szCs w:val="22"/>
          <w:lang w:val="en-GB"/>
        </w:rPr>
        <w:t>1.09</w:t>
      </w:r>
      <w:r>
        <w:rPr>
          <w:rFonts w:ascii="Times New Roman" w:hAnsi="Times New Roman"/>
          <w:sz w:val="22"/>
          <w:szCs w:val="22"/>
          <w:lang w:val="en-GB"/>
        </w:rPr>
        <w:tab/>
      </w:r>
      <w:r w:rsidRPr="00696ABC">
        <w:rPr>
          <w:rFonts w:ascii="Times New Roman" w:hAnsi="Times New Roman"/>
          <w:sz w:val="22"/>
          <w:szCs w:val="22"/>
          <w:lang w:val="en-GB"/>
        </w:rPr>
        <w:t xml:space="preserve">GOGY has already taken steps towards strengthening Guyana’s food safety system, in particular, legislative amendments are being made to the Food Safety Act to strengthen SPS provisions and are scheduled to be concluded in 2023.  During 2022, emphasis is being placed on establishing a sound and comprehensive national and regional legislative framework for plant and animal health, food safety, and fisheries </w:t>
      </w:r>
      <w:proofErr w:type="gramStart"/>
      <w:r w:rsidRPr="00696ABC">
        <w:rPr>
          <w:rFonts w:ascii="Times New Roman" w:hAnsi="Times New Roman"/>
          <w:sz w:val="22"/>
          <w:szCs w:val="22"/>
          <w:lang w:val="en-GB"/>
        </w:rPr>
        <w:t>through the use of</w:t>
      </w:r>
      <w:proofErr w:type="gramEnd"/>
      <w:r w:rsidRPr="00696ABC">
        <w:rPr>
          <w:rFonts w:ascii="Times New Roman" w:hAnsi="Times New Roman"/>
          <w:sz w:val="22"/>
          <w:szCs w:val="22"/>
          <w:lang w:val="en-GB"/>
        </w:rPr>
        <w:t xml:space="preserve"> model bills, protocols, measures and guidelines.  GOGY has also collaborated with the Inter-American Institute for Corporation on Agriculture (IICA) and other stakeholders to develop additional pieces of legislation to strengthen the food safety framework locally.  Two such examples are the General Plant Health Regulation and the Crops and Livestock Registration, Identification and Traceability Bill which are expected to be enacted in 2023.</w:t>
      </w:r>
    </w:p>
    <w:p w14:paraId="26F73BB7" w14:textId="77777777" w:rsidR="000C4BC7" w:rsidRPr="00614CAC" w:rsidRDefault="000C4BC7" w:rsidP="000C4BC7">
      <w:pPr>
        <w:jc w:val="both"/>
        <w:rPr>
          <w:rFonts w:ascii="Times New Roman" w:hAnsi="Times New Roman"/>
          <w:sz w:val="18"/>
          <w:szCs w:val="18"/>
        </w:rPr>
      </w:pPr>
    </w:p>
    <w:p w14:paraId="75BAAE6C" w14:textId="77777777" w:rsidR="000C4BC7" w:rsidRPr="00696ABC" w:rsidRDefault="000C4BC7" w:rsidP="000C4BC7">
      <w:pPr>
        <w:jc w:val="both"/>
        <w:rPr>
          <w:rFonts w:ascii="Times New Roman" w:hAnsi="Times New Roman"/>
          <w:sz w:val="22"/>
          <w:szCs w:val="22"/>
          <w:lang w:val="en-GB"/>
        </w:rPr>
      </w:pPr>
      <w:r>
        <w:rPr>
          <w:rFonts w:ascii="Times New Roman" w:hAnsi="Times New Roman"/>
          <w:sz w:val="22"/>
          <w:szCs w:val="22"/>
        </w:rPr>
        <w:t>1.10</w:t>
      </w:r>
      <w:r>
        <w:rPr>
          <w:rFonts w:ascii="Times New Roman" w:hAnsi="Times New Roman"/>
          <w:sz w:val="22"/>
          <w:szCs w:val="22"/>
        </w:rPr>
        <w:tab/>
      </w:r>
      <w:r w:rsidRPr="00696ABC">
        <w:rPr>
          <w:rFonts w:ascii="Times New Roman" w:hAnsi="Times New Roman"/>
          <w:sz w:val="22"/>
          <w:szCs w:val="22"/>
        </w:rPr>
        <w:t>In 2019, GOGY established the Guyana Food Safety Authority (GFSA) to implement and enforce the provisions of the Food Safety Act and to ensure that all agricultural produce, whether produced locally or imported, are of the highest quality, meeting the strictest hygienic conditions</w:t>
      </w:r>
      <w:r w:rsidRPr="00696ABC">
        <w:rPr>
          <w:rStyle w:val="FootnoteReference"/>
          <w:sz w:val="22"/>
          <w:szCs w:val="22"/>
          <w:vertAlign w:val="superscript"/>
        </w:rPr>
        <w:footnoteReference w:id="11"/>
      </w:r>
      <w:r w:rsidRPr="00696ABC">
        <w:rPr>
          <w:rFonts w:ascii="Times New Roman" w:hAnsi="Times New Roman"/>
          <w:sz w:val="22"/>
          <w:szCs w:val="22"/>
          <w:vertAlign w:val="superscript"/>
        </w:rPr>
        <w:t>/</w:t>
      </w:r>
      <w:r w:rsidRPr="00696ABC">
        <w:rPr>
          <w:rFonts w:ascii="Times New Roman" w:hAnsi="Times New Roman"/>
          <w:sz w:val="22"/>
          <w:szCs w:val="22"/>
        </w:rPr>
        <w:t xml:space="preserve">. GFSA was mandated to provide guidance to persons engaged in the food business, implement technical standards and requirements of the Food Safety </w:t>
      </w:r>
      <w:proofErr w:type="gramStart"/>
      <w:r w:rsidRPr="00696ABC">
        <w:rPr>
          <w:rFonts w:ascii="Times New Roman" w:hAnsi="Times New Roman"/>
          <w:sz w:val="22"/>
          <w:szCs w:val="22"/>
        </w:rPr>
        <w:t>Act</w:t>
      </w:r>
      <w:proofErr w:type="gramEnd"/>
      <w:r w:rsidRPr="00696ABC">
        <w:rPr>
          <w:rFonts w:ascii="Times New Roman" w:hAnsi="Times New Roman"/>
          <w:sz w:val="22"/>
          <w:szCs w:val="22"/>
        </w:rPr>
        <w:t xml:space="preserve"> and provide training for persons engaged in the preparation and sale of food items.  </w:t>
      </w:r>
      <w:r w:rsidRPr="00696ABC">
        <w:rPr>
          <w:rFonts w:ascii="Times New Roman" w:hAnsi="Times New Roman"/>
          <w:sz w:val="22"/>
          <w:szCs w:val="22"/>
          <w:lang w:val="en-GB"/>
        </w:rPr>
        <w:t xml:space="preserve">The main aim of GFSA is to facilitate audits, ensure international compliance, enforce plant protection and animal health certification systems and food standards, and to facilitate training and other functions. </w:t>
      </w:r>
    </w:p>
    <w:p w14:paraId="15C2685D" w14:textId="77777777" w:rsidR="000C4BC7" w:rsidRPr="00614CAC" w:rsidRDefault="000C4BC7" w:rsidP="000C4BC7">
      <w:pPr>
        <w:ind w:left="720"/>
        <w:jc w:val="both"/>
        <w:rPr>
          <w:rFonts w:ascii="Times New Roman" w:hAnsi="Times New Roman"/>
          <w:i/>
          <w:iCs/>
          <w:sz w:val="18"/>
          <w:szCs w:val="18"/>
          <w:lang w:val="en-GB"/>
        </w:rPr>
      </w:pPr>
    </w:p>
    <w:p w14:paraId="5E2A6677" w14:textId="77777777" w:rsidR="000C4BC7" w:rsidRPr="00696ABC" w:rsidRDefault="000C4BC7" w:rsidP="000C4BC7">
      <w:pPr>
        <w:ind w:left="720"/>
        <w:jc w:val="both"/>
        <w:rPr>
          <w:rFonts w:ascii="Times New Roman" w:hAnsi="Times New Roman"/>
          <w:i/>
          <w:iCs/>
          <w:sz w:val="22"/>
          <w:szCs w:val="22"/>
          <w:lang w:val="en-GB"/>
        </w:rPr>
      </w:pPr>
      <w:r w:rsidRPr="00696ABC">
        <w:rPr>
          <w:rFonts w:ascii="Times New Roman" w:hAnsi="Times New Roman"/>
          <w:i/>
          <w:iCs/>
          <w:sz w:val="22"/>
          <w:szCs w:val="22"/>
          <w:lang w:val="en-GB"/>
        </w:rPr>
        <w:t>Socio-economic implications of food safety and food traceability</w:t>
      </w:r>
    </w:p>
    <w:p w14:paraId="1BA9C34B" w14:textId="77777777" w:rsidR="000C4BC7" w:rsidRPr="00614CAC" w:rsidRDefault="000C4BC7" w:rsidP="000C4BC7">
      <w:pPr>
        <w:ind w:left="720"/>
        <w:jc w:val="both"/>
        <w:rPr>
          <w:rFonts w:ascii="Times New Roman" w:hAnsi="Times New Roman"/>
          <w:b/>
          <w:bCs/>
          <w:sz w:val="18"/>
          <w:szCs w:val="18"/>
          <w:lang w:val="en-GB"/>
        </w:rPr>
      </w:pPr>
    </w:p>
    <w:p w14:paraId="5AB5C27A" w14:textId="77777777" w:rsidR="000C4BC7" w:rsidRPr="00696ABC" w:rsidRDefault="000C4BC7" w:rsidP="000C4BC7">
      <w:pPr>
        <w:jc w:val="both"/>
        <w:rPr>
          <w:rFonts w:ascii="Times New Roman" w:hAnsi="Times New Roman"/>
          <w:sz w:val="22"/>
          <w:szCs w:val="22"/>
          <w:lang w:val="en-GB"/>
        </w:rPr>
      </w:pPr>
      <w:r>
        <w:rPr>
          <w:rFonts w:ascii="Times New Roman" w:hAnsi="Times New Roman"/>
          <w:sz w:val="22"/>
          <w:szCs w:val="22"/>
          <w:lang w:val="en-GB"/>
        </w:rPr>
        <w:t>1.11</w:t>
      </w:r>
      <w:r>
        <w:rPr>
          <w:rFonts w:ascii="Times New Roman" w:hAnsi="Times New Roman"/>
          <w:sz w:val="22"/>
          <w:szCs w:val="22"/>
          <w:lang w:val="en-GB"/>
        </w:rPr>
        <w:tab/>
      </w:r>
      <w:r w:rsidRPr="00696ABC">
        <w:rPr>
          <w:rFonts w:ascii="Times New Roman" w:hAnsi="Times New Roman"/>
          <w:sz w:val="22"/>
          <w:szCs w:val="22"/>
          <w:lang w:val="en-GB"/>
        </w:rPr>
        <w:t>Evidence from the international community suggests that the social implications and human cost of unsafe food is relatively high. The World Health Organisation (WHO) estimates that each year worldwide, unsafe food causes 600 million cases of foodborne diseases and 420,000 deaths. Just about 30% of foodborne deaths occur among children under 5 years of age.  While the impact of foodborne diseases is severe in infants, it is also severe among pregnant women, the sick, and the elderly.</w:t>
      </w:r>
    </w:p>
    <w:p w14:paraId="09F29EEF" w14:textId="77777777" w:rsidR="000C4BC7" w:rsidRPr="00696ABC" w:rsidRDefault="000C4BC7" w:rsidP="000C4BC7">
      <w:pPr>
        <w:jc w:val="both"/>
        <w:rPr>
          <w:rFonts w:ascii="Times New Roman" w:hAnsi="Times New Roman"/>
          <w:sz w:val="22"/>
          <w:szCs w:val="22"/>
          <w:lang w:val="en-GB"/>
        </w:rPr>
      </w:pPr>
      <w:r>
        <w:rPr>
          <w:rFonts w:ascii="Times New Roman" w:hAnsi="Times New Roman"/>
          <w:sz w:val="22"/>
          <w:szCs w:val="22"/>
          <w:lang w:val="en-GB"/>
        </w:rPr>
        <w:t>1.12</w:t>
      </w:r>
      <w:r>
        <w:rPr>
          <w:rFonts w:ascii="Times New Roman" w:hAnsi="Times New Roman"/>
          <w:sz w:val="22"/>
          <w:szCs w:val="22"/>
          <w:lang w:val="en-GB"/>
        </w:rPr>
        <w:tab/>
      </w:r>
      <w:r w:rsidRPr="00696ABC">
        <w:rPr>
          <w:rFonts w:ascii="Times New Roman" w:hAnsi="Times New Roman"/>
          <w:sz w:val="22"/>
          <w:szCs w:val="22"/>
          <w:lang w:val="en-GB"/>
        </w:rPr>
        <w:t xml:space="preserve">The WHO purports that food </w:t>
      </w:r>
      <w:proofErr w:type="spellStart"/>
      <w:r w:rsidRPr="00696ABC">
        <w:rPr>
          <w:rFonts w:ascii="Times New Roman" w:hAnsi="Times New Roman"/>
          <w:sz w:val="22"/>
          <w:szCs w:val="22"/>
          <w:lang w:val="en-GB"/>
        </w:rPr>
        <w:t>bourne</w:t>
      </w:r>
      <w:proofErr w:type="spellEnd"/>
      <w:r w:rsidRPr="00696ABC">
        <w:rPr>
          <w:rFonts w:ascii="Times New Roman" w:hAnsi="Times New Roman"/>
          <w:sz w:val="22"/>
          <w:szCs w:val="22"/>
          <w:lang w:val="en-GB"/>
        </w:rPr>
        <w:t xml:space="preserve"> diseases are preventable however leadership in investment and coordinated action across multiple sectors is needed </w:t>
      </w:r>
      <w:proofErr w:type="gramStart"/>
      <w:r w:rsidRPr="00696ABC">
        <w:rPr>
          <w:rFonts w:ascii="Times New Roman" w:hAnsi="Times New Roman"/>
          <w:sz w:val="22"/>
          <w:szCs w:val="22"/>
          <w:lang w:val="en-GB"/>
        </w:rPr>
        <w:t>in order to</w:t>
      </w:r>
      <w:proofErr w:type="gramEnd"/>
      <w:r w:rsidRPr="00696ABC">
        <w:rPr>
          <w:rFonts w:ascii="Times New Roman" w:hAnsi="Times New Roman"/>
          <w:sz w:val="22"/>
          <w:szCs w:val="22"/>
          <w:lang w:val="en-GB"/>
        </w:rPr>
        <w:t xml:space="preserve"> build strong resilient national food </w:t>
      </w:r>
      <w:r w:rsidRPr="00696ABC">
        <w:rPr>
          <w:rFonts w:ascii="Times New Roman" w:hAnsi="Times New Roman"/>
          <w:sz w:val="22"/>
          <w:szCs w:val="22"/>
          <w:lang w:val="en-GB"/>
        </w:rPr>
        <w:lastRenderedPageBreak/>
        <w:t>safety systems. Guyana’s food safety systems are relatively nascent and hence its food traceability framework is also in the incubation stage of development with only the legislation now being updated to become relevant to today’s standards in managing national food safety systems.</w:t>
      </w:r>
    </w:p>
    <w:p w14:paraId="3BC7FDC8" w14:textId="77777777" w:rsidR="000C4BC7" w:rsidRPr="00696ABC" w:rsidRDefault="000C4BC7" w:rsidP="000C4BC7">
      <w:pPr>
        <w:jc w:val="both"/>
        <w:rPr>
          <w:rFonts w:ascii="Times New Roman" w:hAnsi="Times New Roman"/>
          <w:sz w:val="22"/>
          <w:szCs w:val="22"/>
          <w:lang w:val="en-GB"/>
        </w:rPr>
      </w:pPr>
    </w:p>
    <w:p w14:paraId="025FBC06" w14:textId="77777777" w:rsidR="000C4BC7" w:rsidRPr="00696ABC" w:rsidRDefault="000C4BC7" w:rsidP="000C4BC7">
      <w:pPr>
        <w:ind w:left="720"/>
        <w:jc w:val="both"/>
        <w:rPr>
          <w:rFonts w:ascii="Times New Roman" w:hAnsi="Times New Roman"/>
          <w:bCs/>
          <w:i/>
          <w:iCs/>
          <w:sz w:val="22"/>
          <w:szCs w:val="22"/>
        </w:rPr>
      </w:pPr>
      <w:r w:rsidRPr="00696ABC">
        <w:rPr>
          <w:rFonts w:ascii="Times New Roman" w:hAnsi="Times New Roman"/>
          <w:bCs/>
          <w:i/>
          <w:iCs/>
          <w:sz w:val="22"/>
          <w:szCs w:val="22"/>
        </w:rPr>
        <w:t>Remaining Challenge</w:t>
      </w:r>
    </w:p>
    <w:p w14:paraId="2DBCE7E8" w14:textId="77777777" w:rsidR="000C4BC7" w:rsidRPr="00696ABC" w:rsidRDefault="000C4BC7" w:rsidP="000C4BC7">
      <w:pPr>
        <w:jc w:val="both"/>
        <w:rPr>
          <w:rFonts w:ascii="Times New Roman" w:hAnsi="Times New Roman"/>
          <w:b/>
          <w:sz w:val="22"/>
          <w:szCs w:val="22"/>
        </w:rPr>
      </w:pPr>
    </w:p>
    <w:p w14:paraId="43196BD3" w14:textId="3693D451" w:rsidR="000C4BC7" w:rsidRPr="00F06DDD" w:rsidRDefault="000C4BC7" w:rsidP="000C4BC7">
      <w:pPr>
        <w:jc w:val="both"/>
        <w:rPr>
          <w:rFonts w:ascii="Times New Roman" w:hAnsi="Times New Roman"/>
          <w:sz w:val="22"/>
          <w:szCs w:val="22"/>
          <w:lang w:val="en-GB"/>
        </w:rPr>
      </w:pPr>
      <w:r>
        <w:rPr>
          <w:rFonts w:ascii="Times New Roman" w:hAnsi="Times New Roman"/>
          <w:sz w:val="22"/>
          <w:szCs w:val="22"/>
          <w:lang w:val="en-GB"/>
        </w:rPr>
        <w:t>1.13</w:t>
      </w:r>
      <w:r>
        <w:rPr>
          <w:rFonts w:ascii="Times New Roman" w:hAnsi="Times New Roman"/>
          <w:sz w:val="22"/>
          <w:szCs w:val="22"/>
          <w:lang w:val="en-GB"/>
        </w:rPr>
        <w:tab/>
      </w:r>
      <w:r w:rsidRPr="00696ABC">
        <w:rPr>
          <w:rFonts w:ascii="Times New Roman" w:hAnsi="Times New Roman"/>
          <w:sz w:val="22"/>
          <w:szCs w:val="22"/>
          <w:lang w:val="en-GB"/>
        </w:rPr>
        <w:t xml:space="preserve">While Guyana’s food safety development initiatives are ongoing, opportunities exist to further strengthen the </w:t>
      </w:r>
      <w:proofErr w:type="spellStart"/>
      <w:r w:rsidRPr="00696ABC">
        <w:rPr>
          <w:rFonts w:ascii="Times New Roman" w:hAnsi="Times New Roman"/>
          <w:sz w:val="22"/>
          <w:szCs w:val="22"/>
          <w:lang w:val="en-GB"/>
        </w:rPr>
        <w:t>agro</w:t>
      </w:r>
      <w:proofErr w:type="spellEnd"/>
      <w:r w:rsidRPr="00696ABC">
        <w:rPr>
          <w:rFonts w:ascii="Times New Roman" w:hAnsi="Times New Roman"/>
          <w:sz w:val="22"/>
          <w:szCs w:val="22"/>
          <w:lang w:val="en-GB"/>
        </w:rPr>
        <w:t xml:space="preserve">-food value chain in a way that lends to robust export development into the regional and international </w:t>
      </w:r>
      <w:r w:rsidR="0044206E" w:rsidRPr="00696ABC">
        <w:rPr>
          <w:rFonts w:ascii="Times New Roman" w:hAnsi="Times New Roman"/>
          <w:sz w:val="22"/>
          <w:szCs w:val="22"/>
          <w:lang w:val="en-GB"/>
        </w:rPr>
        <w:t>market of</w:t>
      </w:r>
      <w:r w:rsidRPr="00696ABC">
        <w:rPr>
          <w:rFonts w:ascii="Times New Roman" w:hAnsi="Times New Roman"/>
          <w:sz w:val="22"/>
          <w:szCs w:val="22"/>
          <w:lang w:val="en-GB"/>
        </w:rPr>
        <w:t xml:space="preserve"> food products</w:t>
      </w:r>
      <w:r w:rsidRPr="00696ABC">
        <w:rPr>
          <w:rStyle w:val="FootnoteReference"/>
          <w:sz w:val="22"/>
          <w:szCs w:val="22"/>
          <w:vertAlign w:val="superscript"/>
          <w:lang w:val="en-GB"/>
        </w:rPr>
        <w:footnoteReference w:id="12"/>
      </w:r>
      <w:r w:rsidRPr="00696ABC">
        <w:rPr>
          <w:rFonts w:ascii="Times New Roman" w:hAnsi="Times New Roman"/>
          <w:sz w:val="22"/>
          <w:szCs w:val="22"/>
          <w:vertAlign w:val="superscript"/>
          <w:lang w:val="en-GB"/>
        </w:rPr>
        <w:t>/</w:t>
      </w:r>
      <w:r w:rsidRPr="00696ABC">
        <w:rPr>
          <w:rFonts w:ascii="Times New Roman" w:hAnsi="Times New Roman"/>
          <w:sz w:val="22"/>
          <w:szCs w:val="22"/>
          <w:lang w:val="en-GB"/>
        </w:rPr>
        <w:t>.  The lack of a food traceability system suggests that SPS compliance may become more difficult as such systems bear evidence that a verifiable means of quality assurance has been undertaken by farmers and others in the value chain.  This is particularly critical as the country is often referred to as the food-basket of the Caribbean and it is also central to discussions on policy initiatives which serve to strengthen food security within the region</w:t>
      </w:r>
      <w:r w:rsidRPr="00696ABC">
        <w:rPr>
          <w:rStyle w:val="FootnoteReference"/>
          <w:sz w:val="22"/>
          <w:szCs w:val="22"/>
          <w:vertAlign w:val="superscript"/>
          <w:lang w:val="en-GB"/>
        </w:rPr>
        <w:footnoteReference w:id="13"/>
      </w:r>
      <w:r w:rsidRPr="00696ABC">
        <w:rPr>
          <w:rFonts w:ascii="Times New Roman" w:hAnsi="Times New Roman"/>
          <w:sz w:val="22"/>
          <w:szCs w:val="22"/>
          <w:vertAlign w:val="superscript"/>
          <w:lang w:val="en-GB"/>
        </w:rPr>
        <w:t xml:space="preserve">/ </w:t>
      </w:r>
      <w:r w:rsidRPr="00696ABC">
        <w:rPr>
          <w:rStyle w:val="FootnoteReference"/>
          <w:sz w:val="22"/>
          <w:szCs w:val="22"/>
          <w:vertAlign w:val="superscript"/>
          <w:lang w:val="en-GB"/>
        </w:rPr>
        <w:footnoteReference w:id="14"/>
      </w:r>
      <w:r w:rsidRPr="00696ABC">
        <w:rPr>
          <w:rFonts w:ascii="Times New Roman" w:hAnsi="Times New Roman"/>
          <w:sz w:val="22"/>
          <w:szCs w:val="22"/>
          <w:vertAlign w:val="superscript"/>
          <w:lang w:val="en-GB"/>
        </w:rPr>
        <w:t xml:space="preserve">/ </w:t>
      </w:r>
      <w:r w:rsidRPr="00696ABC">
        <w:rPr>
          <w:rStyle w:val="FootnoteReference"/>
          <w:sz w:val="22"/>
          <w:szCs w:val="22"/>
          <w:vertAlign w:val="superscript"/>
          <w:lang w:val="en-GB"/>
        </w:rPr>
        <w:footnoteReference w:id="15"/>
      </w:r>
      <w:r w:rsidRPr="00696ABC">
        <w:rPr>
          <w:rFonts w:ascii="Times New Roman" w:hAnsi="Times New Roman"/>
          <w:sz w:val="22"/>
          <w:szCs w:val="22"/>
          <w:vertAlign w:val="superscript"/>
          <w:lang w:val="en-GB"/>
        </w:rPr>
        <w:t>/</w:t>
      </w:r>
      <w:r w:rsidRPr="00696ABC">
        <w:rPr>
          <w:rFonts w:ascii="Times New Roman" w:hAnsi="Times New Roman"/>
          <w:sz w:val="22"/>
          <w:szCs w:val="22"/>
          <w:lang w:val="en-GB"/>
        </w:rPr>
        <w:t>.  Streamlining a food traceability system will therefore be an important next step towards building robust national and regional food safety systems.</w:t>
      </w:r>
      <w:r w:rsidR="008671BB">
        <w:rPr>
          <w:rFonts w:ascii="Times New Roman" w:hAnsi="Times New Roman"/>
          <w:sz w:val="22"/>
          <w:szCs w:val="22"/>
          <w:lang w:val="en-GB"/>
        </w:rPr>
        <w:t xml:space="preserve"> </w:t>
      </w:r>
    </w:p>
    <w:p w14:paraId="414A6581" w14:textId="77777777" w:rsidR="000C4BC7" w:rsidRDefault="000C4BC7" w:rsidP="000C4BC7">
      <w:pPr>
        <w:jc w:val="both"/>
        <w:rPr>
          <w:rFonts w:ascii="Times New Roman" w:hAnsi="Times New Roman"/>
          <w:sz w:val="22"/>
          <w:szCs w:val="22"/>
          <w:lang w:val="en-GB"/>
        </w:rPr>
      </w:pPr>
    </w:p>
    <w:p w14:paraId="5E24D643" w14:textId="77777777" w:rsidR="000C4BC7" w:rsidRPr="00987FF2" w:rsidRDefault="000C4BC7" w:rsidP="000C4BC7">
      <w:pPr>
        <w:numPr>
          <w:ilvl w:val="0"/>
          <w:numId w:val="1"/>
        </w:numPr>
        <w:tabs>
          <w:tab w:val="left" w:pos="720"/>
        </w:tabs>
        <w:ind w:hanging="1080"/>
        <w:jc w:val="both"/>
        <w:rPr>
          <w:b/>
          <w:sz w:val="22"/>
          <w:szCs w:val="22"/>
          <w:u w:val="single"/>
          <w:lang w:val="en-GB"/>
        </w:rPr>
      </w:pPr>
      <w:r w:rsidRPr="00987FF2">
        <w:rPr>
          <w:rFonts w:ascii="Times New Roman" w:hAnsi="Times New Roman"/>
          <w:b/>
          <w:bCs/>
          <w:sz w:val="22"/>
          <w:szCs w:val="22"/>
          <w:u w:val="single"/>
        </w:rPr>
        <w:t>OBJECTIVE OF CONSULTANCY SERVICES</w:t>
      </w:r>
    </w:p>
    <w:p w14:paraId="463C9E5C" w14:textId="77777777" w:rsidR="000C4BC7" w:rsidRPr="00E701E6" w:rsidRDefault="000C4BC7" w:rsidP="000C4BC7">
      <w:pPr>
        <w:jc w:val="both"/>
        <w:rPr>
          <w:rFonts w:ascii="Times New Roman" w:hAnsi="Times New Roman"/>
          <w:b/>
          <w:sz w:val="22"/>
          <w:szCs w:val="22"/>
        </w:rPr>
      </w:pPr>
    </w:p>
    <w:p w14:paraId="552711C8" w14:textId="7281BD5A" w:rsidR="0096683D" w:rsidRPr="000634FC" w:rsidRDefault="0096683D" w:rsidP="000C4BC7">
      <w:pPr>
        <w:pStyle w:val="ListParagraph"/>
        <w:numPr>
          <w:ilvl w:val="1"/>
          <w:numId w:val="1"/>
        </w:numPr>
        <w:ind w:left="0" w:firstLine="0"/>
        <w:jc w:val="both"/>
        <w:rPr>
          <w:color w:val="FF0000"/>
          <w:sz w:val="22"/>
          <w:szCs w:val="22"/>
          <w:lang w:val="en-GB"/>
        </w:rPr>
      </w:pPr>
      <w:r>
        <w:t>The objective of this assignment is</w:t>
      </w:r>
      <w:r w:rsidR="008671BB">
        <w:t xml:space="preserve"> to </w:t>
      </w:r>
      <w:r w:rsidR="0000753C">
        <w:t xml:space="preserve">assist the </w:t>
      </w:r>
      <w:proofErr w:type="spellStart"/>
      <w:r w:rsidR="0000753C">
        <w:t>MoA</w:t>
      </w:r>
      <w:proofErr w:type="spellEnd"/>
      <w:r w:rsidR="0000753C">
        <w:t xml:space="preserve"> with </w:t>
      </w:r>
      <w:r>
        <w:t xml:space="preserve">procurement </w:t>
      </w:r>
      <w:r w:rsidR="0000753C">
        <w:t xml:space="preserve">activities up to contract award stage under the project which aims to </w:t>
      </w:r>
      <w:r w:rsidR="00283FD3">
        <w:t>streamline the</w:t>
      </w:r>
      <w:r>
        <w:t xml:space="preserve"> implementation of a traceability system for the leafy green and pineapple products value chain using the Global Standards 1 (GS1 standards) for identification, data capture, data sharing and the GS1 Global Traceability Standard.</w:t>
      </w:r>
      <w:r w:rsidR="008671BB">
        <w:t xml:space="preserve"> </w:t>
      </w:r>
    </w:p>
    <w:p w14:paraId="3E172AE7" w14:textId="77777777" w:rsidR="000634FC" w:rsidRDefault="000634FC" w:rsidP="000634FC">
      <w:pPr>
        <w:pStyle w:val="ListParagraph"/>
        <w:ind w:left="0"/>
        <w:jc w:val="both"/>
        <w:rPr>
          <w:color w:val="FF0000"/>
          <w:sz w:val="22"/>
          <w:szCs w:val="22"/>
          <w:lang w:val="en-GB"/>
        </w:rPr>
      </w:pPr>
    </w:p>
    <w:p w14:paraId="3FC65C28" w14:textId="77777777" w:rsidR="000C4BC7" w:rsidRPr="00987FF2" w:rsidRDefault="000C4BC7" w:rsidP="000C4BC7">
      <w:pPr>
        <w:pStyle w:val="ListParagraph"/>
        <w:numPr>
          <w:ilvl w:val="0"/>
          <w:numId w:val="1"/>
        </w:numPr>
        <w:ind w:left="720"/>
        <w:jc w:val="both"/>
        <w:rPr>
          <w:b/>
          <w:i/>
          <w:sz w:val="22"/>
          <w:szCs w:val="22"/>
          <w:lang w:val="en-GB"/>
        </w:rPr>
      </w:pPr>
      <w:r w:rsidRPr="00987FF2">
        <w:rPr>
          <w:b/>
          <w:sz w:val="22"/>
          <w:szCs w:val="22"/>
          <w:u w:val="single"/>
          <w:lang w:val="en-GB"/>
        </w:rPr>
        <w:t>SCOPE OF CONSULTANCY SERVICES</w:t>
      </w:r>
    </w:p>
    <w:p w14:paraId="37CA506F" w14:textId="77777777" w:rsidR="000C4BC7" w:rsidRPr="00E701E6" w:rsidRDefault="000C4BC7" w:rsidP="000C4BC7">
      <w:pPr>
        <w:jc w:val="both"/>
        <w:rPr>
          <w:rFonts w:ascii="Times New Roman" w:hAnsi="Times New Roman"/>
          <w:sz w:val="22"/>
          <w:szCs w:val="22"/>
        </w:rPr>
      </w:pPr>
    </w:p>
    <w:p w14:paraId="677C8D5C" w14:textId="75333B5F" w:rsidR="000C4BC7" w:rsidRPr="00E701E6" w:rsidRDefault="000C4BC7" w:rsidP="000C4BC7">
      <w:pPr>
        <w:jc w:val="both"/>
        <w:rPr>
          <w:rFonts w:ascii="Times New Roman" w:hAnsi="Times New Roman"/>
          <w:sz w:val="22"/>
          <w:szCs w:val="22"/>
        </w:rPr>
      </w:pPr>
      <w:r w:rsidRPr="00E701E6">
        <w:rPr>
          <w:rFonts w:ascii="Times New Roman" w:hAnsi="Times New Roman"/>
          <w:sz w:val="22"/>
          <w:szCs w:val="22"/>
        </w:rPr>
        <w:t xml:space="preserve">3.01 </w:t>
      </w:r>
      <w:r w:rsidRPr="00E701E6">
        <w:rPr>
          <w:rFonts w:ascii="Times New Roman" w:hAnsi="Times New Roman"/>
          <w:sz w:val="22"/>
          <w:szCs w:val="22"/>
        </w:rPr>
        <w:tab/>
        <w:t xml:space="preserve">The </w:t>
      </w:r>
      <w:r w:rsidR="006149F5">
        <w:rPr>
          <w:rFonts w:ascii="Times New Roman" w:hAnsi="Times New Roman"/>
          <w:sz w:val="22"/>
          <w:szCs w:val="22"/>
        </w:rPr>
        <w:t>consultant</w:t>
      </w:r>
      <w:r w:rsidRPr="00E701E6">
        <w:rPr>
          <w:rFonts w:ascii="Times New Roman" w:hAnsi="Times New Roman"/>
          <w:sz w:val="22"/>
          <w:szCs w:val="22"/>
        </w:rPr>
        <w:t xml:space="preserve"> is required to undertake all the necessary actions to accomplish the goals and objectives of the project in a timely manner, with the supervision of the Project Coordinator. The tasks will include, but not be limited to:</w:t>
      </w:r>
    </w:p>
    <w:p w14:paraId="3047F6DD" w14:textId="77777777" w:rsidR="000C4BC7" w:rsidRPr="00E701E6" w:rsidRDefault="000C4BC7" w:rsidP="000C4BC7">
      <w:pPr>
        <w:jc w:val="both"/>
        <w:rPr>
          <w:rFonts w:ascii="Times New Roman" w:hAnsi="Times New Roman"/>
          <w:iCs/>
          <w:sz w:val="22"/>
          <w:szCs w:val="22"/>
          <w:lang w:val="en-GB"/>
        </w:rPr>
      </w:pPr>
    </w:p>
    <w:p w14:paraId="53D63A1A" w14:textId="28819873" w:rsidR="000C4BC7" w:rsidRPr="0000753C" w:rsidRDefault="000C4BC7" w:rsidP="00057884">
      <w:pPr>
        <w:numPr>
          <w:ilvl w:val="0"/>
          <w:numId w:val="3"/>
        </w:numPr>
        <w:ind w:left="1440" w:hanging="720"/>
        <w:jc w:val="both"/>
        <w:rPr>
          <w:rFonts w:ascii="Times New Roman" w:hAnsi="Times New Roman"/>
          <w:sz w:val="22"/>
          <w:szCs w:val="22"/>
          <w:lang w:val="en-GB"/>
        </w:rPr>
      </w:pPr>
      <w:r w:rsidRPr="00E701E6">
        <w:rPr>
          <w:rFonts w:ascii="Times New Roman" w:hAnsi="Times New Roman"/>
          <w:iCs/>
          <w:sz w:val="22"/>
          <w:szCs w:val="22"/>
          <w:lang w:val="en-GB"/>
        </w:rPr>
        <w:t>Attend a virtual briefing with</w:t>
      </w:r>
      <w:r>
        <w:rPr>
          <w:rFonts w:ascii="Times New Roman" w:hAnsi="Times New Roman"/>
          <w:iCs/>
          <w:sz w:val="22"/>
          <w:szCs w:val="22"/>
          <w:lang w:val="en-GB"/>
        </w:rPr>
        <w:t xml:space="preserve"> officials from the</w:t>
      </w:r>
      <w:r w:rsidRPr="00E701E6">
        <w:rPr>
          <w:rFonts w:ascii="Times New Roman" w:hAnsi="Times New Roman"/>
          <w:iCs/>
          <w:sz w:val="22"/>
          <w:szCs w:val="22"/>
          <w:lang w:val="en-GB"/>
        </w:rPr>
        <w:t xml:space="preserve"> Ministry of Agriculture (</w:t>
      </w:r>
      <w:proofErr w:type="spellStart"/>
      <w:r w:rsidRPr="00E701E6">
        <w:rPr>
          <w:rFonts w:ascii="Times New Roman" w:hAnsi="Times New Roman"/>
          <w:iCs/>
          <w:sz w:val="22"/>
          <w:szCs w:val="22"/>
          <w:lang w:val="en-GB"/>
        </w:rPr>
        <w:t>M</w:t>
      </w:r>
      <w:r>
        <w:rPr>
          <w:rFonts w:ascii="Times New Roman" w:hAnsi="Times New Roman"/>
          <w:iCs/>
          <w:sz w:val="22"/>
          <w:szCs w:val="22"/>
          <w:lang w:val="en-GB"/>
        </w:rPr>
        <w:t>o</w:t>
      </w:r>
      <w:r w:rsidRPr="00E701E6">
        <w:rPr>
          <w:rFonts w:ascii="Times New Roman" w:hAnsi="Times New Roman"/>
          <w:iCs/>
          <w:sz w:val="22"/>
          <w:szCs w:val="22"/>
          <w:lang w:val="en-GB"/>
        </w:rPr>
        <w:t>A</w:t>
      </w:r>
      <w:proofErr w:type="spellEnd"/>
      <w:r w:rsidRPr="00E701E6">
        <w:rPr>
          <w:rFonts w:ascii="Times New Roman" w:hAnsi="Times New Roman"/>
          <w:iCs/>
          <w:sz w:val="22"/>
          <w:szCs w:val="22"/>
          <w:lang w:val="en-GB"/>
        </w:rPr>
        <w:t xml:space="preserve">), </w:t>
      </w:r>
      <w:r w:rsidR="0000753C">
        <w:rPr>
          <w:rFonts w:ascii="Times New Roman" w:hAnsi="Times New Roman"/>
          <w:iCs/>
          <w:sz w:val="22"/>
          <w:szCs w:val="22"/>
          <w:lang w:val="en-GB"/>
        </w:rPr>
        <w:t xml:space="preserve">and </w:t>
      </w:r>
      <w:r w:rsidRPr="00E701E6">
        <w:rPr>
          <w:rFonts w:ascii="Times New Roman" w:hAnsi="Times New Roman"/>
          <w:iCs/>
          <w:sz w:val="22"/>
          <w:szCs w:val="22"/>
          <w:lang w:val="en-GB"/>
        </w:rPr>
        <w:t>other relevant stakeholders.</w:t>
      </w:r>
    </w:p>
    <w:p w14:paraId="070E5035" w14:textId="64D75C7C" w:rsidR="001C6991" w:rsidRPr="001C6991" w:rsidRDefault="001C6991" w:rsidP="00057884">
      <w:pPr>
        <w:numPr>
          <w:ilvl w:val="0"/>
          <w:numId w:val="3"/>
        </w:numPr>
        <w:ind w:left="1440" w:hanging="720"/>
        <w:jc w:val="both"/>
        <w:rPr>
          <w:rFonts w:ascii="Times New Roman" w:hAnsi="Times New Roman"/>
          <w:sz w:val="22"/>
          <w:szCs w:val="22"/>
          <w:lang w:val="en-GB"/>
        </w:rPr>
      </w:pPr>
      <w:r>
        <w:rPr>
          <w:rFonts w:ascii="Times New Roman" w:hAnsi="Times New Roman"/>
          <w:sz w:val="22"/>
          <w:szCs w:val="22"/>
          <w:lang w:val="en-GB"/>
        </w:rPr>
        <w:t>Under the general direction of the Project Coordinator, the incumbent will be responsible to manage all local and foreign purchases, supervise contract awarding of the various consultancies under the project.</w:t>
      </w:r>
    </w:p>
    <w:p w14:paraId="1BB6B86E" w14:textId="3A3455C8" w:rsidR="0000753C" w:rsidRPr="00E701E6" w:rsidRDefault="00FB529D" w:rsidP="00057884">
      <w:pPr>
        <w:numPr>
          <w:ilvl w:val="0"/>
          <w:numId w:val="3"/>
        </w:numPr>
        <w:ind w:left="1440" w:hanging="720"/>
        <w:jc w:val="both"/>
        <w:rPr>
          <w:rFonts w:ascii="Times New Roman" w:hAnsi="Times New Roman"/>
          <w:sz w:val="22"/>
          <w:szCs w:val="22"/>
          <w:lang w:val="en-GB"/>
        </w:rPr>
      </w:pPr>
      <w:r>
        <w:rPr>
          <w:rFonts w:ascii="Times New Roman" w:hAnsi="Times New Roman"/>
          <w:iCs/>
          <w:sz w:val="22"/>
          <w:szCs w:val="22"/>
          <w:lang w:val="en-GB"/>
        </w:rPr>
        <w:t xml:space="preserve">Manage </w:t>
      </w:r>
      <w:r w:rsidR="0000753C">
        <w:rPr>
          <w:rFonts w:ascii="Times New Roman" w:hAnsi="Times New Roman"/>
          <w:iCs/>
          <w:sz w:val="22"/>
          <w:szCs w:val="22"/>
          <w:lang w:val="en-GB"/>
        </w:rPr>
        <w:t xml:space="preserve">all related documentation which would help in deciphering the strategic approach to be taken for the procurement of the traceability Software, giving careful consideration and review for any previous work undertaken for traceability software development </w:t>
      </w:r>
      <w:r w:rsidR="001534F4">
        <w:rPr>
          <w:rFonts w:ascii="Times New Roman" w:hAnsi="Times New Roman"/>
          <w:iCs/>
          <w:sz w:val="22"/>
          <w:szCs w:val="22"/>
          <w:lang w:val="en-GB"/>
        </w:rPr>
        <w:t>to</w:t>
      </w:r>
      <w:r w:rsidR="0000753C">
        <w:rPr>
          <w:rFonts w:ascii="Times New Roman" w:hAnsi="Times New Roman"/>
          <w:iCs/>
          <w:sz w:val="22"/>
          <w:szCs w:val="22"/>
          <w:lang w:val="en-GB"/>
        </w:rPr>
        <w:t xml:space="preserve"> reduce duplication while maintaining optimal cost efficiencies.</w:t>
      </w:r>
    </w:p>
    <w:p w14:paraId="5C7FCBAA" w14:textId="77777777" w:rsidR="000C4BC7" w:rsidRPr="00E701E6" w:rsidRDefault="000C4BC7" w:rsidP="00057884">
      <w:pPr>
        <w:ind w:left="1440" w:hanging="720"/>
        <w:jc w:val="both"/>
        <w:rPr>
          <w:rFonts w:ascii="Times New Roman" w:hAnsi="Times New Roman"/>
          <w:sz w:val="22"/>
          <w:szCs w:val="22"/>
          <w:lang w:val="en-GB"/>
        </w:rPr>
      </w:pPr>
    </w:p>
    <w:p w14:paraId="2DB518E4" w14:textId="77777777" w:rsidR="000C4BC7" w:rsidRPr="002F3D77" w:rsidRDefault="000C4BC7" w:rsidP="00057884">
      <w:pPr>
        <w:numPr>
          <w:ilvl w:val="0"/>
          <w:numId w:val="3"/>
        </w:numPr>
        <w:ind w:left="1440" w:hanging="720"/>
        <w:jc w:val="both"/>
      </w:pPr>
      <w:r w:rsidRPr="2CF53853">
        <w:rPr>
          <w:rFonts w:ascii="Times New Roman" w:hAnsi="Times New Roman"/>
          <w:sz w:val="22"/>
          <w:szCs w:val="22"/>
          <w:lang w:val="en-GB"/>
        </w:rPr>
        <w:lastRenderedPageBreak/>
        <w:t>Prepare a workplan for undertaking the assignment</w:t>
      </w:r>
      <w:r>
        <w:rPr>
          <w:rFonts w:ascii="Times New Roman" w:hAnsi="Times New Roman"/>
          <w:sz w:val="22"/>
          <w:szCs w:val="22"/>
          <w:lang w:val="en-GB"/>
        </w:rPr>
        <w:t>.</w:t>
      </w:r>
    </w:p>
    <w:p w14:paraId="1788BE65" w14:textId="77777777" w:rsidR="000C4BC7" w:rsidRDefault="000C4BC7" w:rsidP="00057884">
      <w:pPr>
        <w:pStyle w:val="ListParagraph"/>
        <w:ind w:left="1440" w:hanging="720"/>
        <w:jc w:val="both"/>
      </w:pPr>
    </w:p>
    <w:p w14:paraId="54C06EC6" w14:textId="33677B9D" w:rsidR="0000753C" w:rsidRPr="00283FD3" w:rsidRDefault="00283FD3" w:rsidP="00057884">
      <w:pPr>
        <w:pStyle w:val="ListParagraph"/>
        <w:numPr>
          <w:ilvl w:val="0"/>
          <w:numId w:val="3"/>
        </w:numPr>
        <w:ind w:left="1440" w:hanging="720"/>
        <w:jc w:val="both"/>
        <w:rPr>
          <w:color w:val="FF0000"/>
          <w:sz w:val="22"/>
          <w:szCs w:val="22"/>
          <w:lang w:val="en-GB"/>
        </w:rPr>
      </w:pPr>
      <w:bookmarkStart w:id="0" w:name="_Hlk106134483"/>
      <w:r w:rsidRPr="0000753C">
        <w:rPr>
          <w:color w:val="2D2D2D"/>
          <w:sz w:val="22"/>
          <w:szCs w:val="22"/>
          <w:shd w:val="clear" w:color="auto" w:fill="FFFFFF"/>
        </w:rPr>
        <w:t>Finalize</w:t>
      </w:r>
      <w:r w:rsidR="0000753C" w:rsidRPr="0000753C">
        <w:rPr>
          <w:color w:val="2D2D2D"/>
          <w:sz w:val="22"/>
          <w:szCs w:val="22"/>
          <w:shd w:val="clear" w:color="auto" w:fill="FFFFFF"/>
        </w:rPr>
        <w:t xml:space="preserve"> specifications and bid documents </w:t>
      </w:r>
      <w:r w:rsidR="0000753C" w:rsidRPr="00283FD3">
        <w:rPr>
          <w:i/>
          <w:iCs/>
          <w:color w:val="2D2D2D"/>
          <w:sz w:val="22"/>
          <w:szCs w:val="22"/>
          <w:shd w:val="clear" w:color="auto" w:fill="FFFFFF"/>
        </w:rPr>
        <w:t>(according to CDB templates)</w:t>
      </w:r>
      <w:r w:rsidR="0000753C">
        <w:rPr>
          <w:color w:val="2D2D2D"/>
          <w:sz w:val="22"/>
          <w:szCs w:val="22"/>
          <w:shd w:val="clear" w:color="auto" w:fill="FFFFFF"/>
        </w:rPr>
        <w:t xml:space="preserve"> </w:t>
      </w:r>
      <w:r w:rsidR="0000753C" w:rsidRPr="0000753C">
        <w:rPr>
          <w:color w:val="2D2D2D"/>
          <w:sz w:val="22"/>
          <w:szCs w:val="22"/>
          <w:shd w:val="clear" w:color="auto" w:fill="FFFFFF"/>
        </w:rPr>
        <w:t xml:space="preserve">including estimates for the </w:t>
      </w:r>
      <w:r w:rsidR="0000753C">
        <w:rPr>
          <w:color w:val="2D2D2D"/>
          <w:sz w:val="22"/>
          <w:szCs w:val="22"/>
          <w:shd w:val="clear" w:color="auto" w:fill="FFFFFF"/>
        </w:rPr>
        <w:t>procurement</w:t>
      </w:r>
      <w:r w:rsidR="0000753C" w:rsidRPr="0000753C">
        <w:rPr>
          <w:color w:val="2D2D2D"/>
          <w:sz w:val="22"/>
          <w:szCs w:val="22"/>
          <w:shd w:val="clear" w:color="auto" w:fill="FFFFFF"/>
        </w:rPr>
        <w:t xml:space="preserve"> of</w:t>
      </w:r>
      <w:r w:rsidR="0000753C">
        <w:rPr>
          <w:color w:val="2D2D2D"/>
          <w:sz w:val="22"/>
          <w:szCs w:val="22"/>
          <w:shd w:val="clear" w:color="auto" w:fill="FFFFFF"/>
        </w:rPr>
        <w:t xml:space="preserve"> the traceability software.</w:t>
      </w:r>
    </w:p>
    <w:p w14:paraId="792EF247" w14:textId="77777777" w:rsidR="0000753C" w:rsidRPr="00283FD3" w:rsidRDefault="0000753C" w:rsidP="00057884">
      <w:pPr>
        <w:pStyle w:val="ListParagraph"/>
        <w:ind w:left="1440" w:hanging="720"/>
        <w:rPr>
          <w:color w:val="FF0000"/>
          <w:sz w:val="22"/>
          <w:szCs w:val="22"/>
          <w:lang w:val="en-GB"/>
        </w:rPr>
      </w:pPr>
    </w:p>
    <w:p w14:paraId="446887CF" w14:textId="61205D05" w:rsidR="0000753C" w:rsidRPr="00283FD3" w:rsidRDefault="0000753C" w:rsidP="00057884">
      <w:pPr>
        <w:pStyle w:val="ListParagraph"/>
        <w:numPr>
          <w:ilvl w:val="0"/>
          <w:numId w:val="3"/>
        </w:numPr>
        <w:ind w:left="1440" w:hanging="720"/>
        <w:jc w:val="both"/>
        <w:rPr>
          <w:sz w:val="22"/>
          <w:szCs w:val="22"/>
          <w:lang w:val="en-GB"/>
        </w:rPr>
      </w:pPr>
      <w:r w:rsidRPr="00283FD3">
        <w:rPr>
          <w:sz w:val="22"/>
          <w:szCs w:val="22"/>
          <w:lang w:val="en-GB"/>
        </w:rPr>
        <w:t>Participate in pre-bid meetings (as observer) and requests for clarification and/or amendments to bidding documents.</w:t>
      </w:r>
    </w:p>
    <w:p w14:paraId="75667E50" w14:textId="77777777" w:rsidR="0000753C" w:rsidRPr="00283FD3" w:rsidRDefault="0000753C" w:rsidP="00057884">
      <w:pPr>
        <w:pStyle w:val="ListParagraph"/>
        <w:ind w:left="1440" w:hanging="720"/>
        <w:rPr>
          <w:color w:val="2D2D2D"/>
          <w:sz w:val="22"/>
          <w:szCs w:val="22"/>
          <w:shd w:val="clear" w:color="auto" w:fill="FFFFFF"/>
        </w:rPr>
      </w:pPr>
    </w:p>
    <w:p w14:paraId="041487A4" w14:textId="1B364BAE" w:rsidR="0000753C" w:rsidRDefault="0000753C" w:rsidP="00057884">
      <w:pPr>
        <w:pStyle w:val="ListParagraph"/>
        <w:numPr>
          <w:ilvl w:val="0"/>
          <w:numId w:val="3"/>
        </w:numPr>
        <w:ind w:left="1440" w:hanging="720"/>
        <w:jc w:val="both"/>
        <w:rPr>
          <w:color w:val="2D2D2D"/>
          <w:sz w:val="22"/>
          <w:szCs w:val="22"/>
          <w:shd w:val="clear" w:color="auto" w:fill="FFFFFF"/>
        </w:rPr>
      </w:pPr>
      <w:r w:rsidRPr="00D335A6">
        <w:rPr>
          <w:color w:val="2D2D2D"/>
          <w:sz w:val="22"/>
          <w:szCs w:val="22"/>
          <w:shd w:val="clear" w:color="auto" w:fill="FFFFFF"/>
        </w:rPr>
        <w:t xml:space="preserve">Provide advice during the negotiation </w:t>
      </w:r>
      <w:proofErr w:type="gramStart"/>
      <w:r w:rsidRPr="00D335A6">
        <w:rPr>
          <w:color w:val="2D2D2D"/>
          <w:sz w:val="22"/>
          <w:szCs w:val="22"/>
          <w:shd w:val="clear" w:color="auto" w:fill="FFFFFF"/>
        </w:rPr>
        <w:t>process</w:t>
      </w:r>
      <w:proofErr w:type="gramEnd"/>
      <w:r w:rsidRPr="00D335A6">
        <w:rPr>
          <w:color w:val="2D2D2D"/>
          <w:sz w:val="22"/>
          <w:szCs w:val="22"/>
          <w:shd w:val="clear" w:color="auto" w:fill="FFFFFF"/>
        </w:rPr>
        <w:t xml:space="preserve"> </w:t>
      </w:r>
      <w:r w:rsidR="00A16E82" w:rsidRPr="00D335A6">
        <w:rPr>
          <w:color w:val="2D2D2D"/>
          <w:sz w:val="22"/>
          <w:szCs w:val="22"/>
          <w:shd w:val="clear" w:color="auto" w:fill="FFFFFF"/>
        </w:rPr>
        <w:t xml:space="preserve"> </w:t>
      </w:r>
    </w:p>
    <w:p w14:paraId="6A2BE309" w14:textId="77777777" w:rsidR="00D335A6" w:rsidRPr="00D335A6" w:rsidRDefault="00D335A6" w:rsidP="00D335A6">
      <w:pPr>
        <w:pStyle w:val="ListParagraph"/>
        <w:rPr>
          <w:color w:val="2D2D2D"/>
          <w:sz w:val="22"/>
          <w:szCs w:val="22"/>
          <w:shd w:val="clear" w:color="auto" w:fill="FFFFFF"/>
        </w:rPr>
      </w:pPr>
    </w:p>
    <w:p w14:paraId="64EBF12C" w14:textId="22AAD5AD" w:rsidR="000F6EC2" w:rsidRPr="000F6EC2" w:rsidRDefault="000F6EC2" w:rsidP="00057884">
      <w:pPr>
        <w:widowControl/>
        <w:numPr>
          <w:ilvl w:val="0"/>
          <w:numId w:val="3"/>
        </w:numPr>
        <w:shd w:val="clear" w:color="auto" w:fill="FFFFFF"/>
        <w:autoSpaceDE/>
        <w:autoSpaceDN/>
        <w:adjustRightInd/>
        <w:spacing w:before="100" w:beforeAutospacing="1" w:after="100" w:afterAutospacing="1"/>
        <w:ind w:left="1440" w:hanging="720"/>
        <w:rPr>
          <w:rFonts w:ascii="Times New Roman" w:hAnsi="Times New Roman"/>
          <w:color w:val="2D2D2D"/>
          <w:sz w:val="22"/>
          <w:szCs w:val="22"/>
        </w:rPr>
      </w:pPr>
      <w:r w:rsidRPr="00C50A1A">
        <w:rPr>
          <w:rFonts w:ascii="Times New Roman" w:hAnsi="Times New Roman"/>
          <w:color w:val="2D2D2D"/>
          <w:sz w:val="22"/>
          <w:szCs w:val="22"/>
        </w:rPr>
        <w:t xml:space="preserve">Draft, review, and negotiate supplier contracts, to secure and document the procurement of goods and </w:t>
      </w:r>
      <w:r w:rsidRPr="00C50A1A">
        <w:rPr>
          <w:rFonts w:ascii="Times New Roman" w:hAnsi="Times New Roman"/>
          <w:color w:val="2D2D2D"/>
        </w:rPr>
        <w:t xml:space="preserve">services and </w:t>
      </w:r>
      <w:r>
        <w:rPr>
          <w:rFonts w:ascii="Times New Roman" w:hAnsi="Times New Roman"/>
          <w:color w:val="2D2D2D"/>
        </w:rPr>
        <w:t>i</w:t>
      </w:r>
      <w:r w:rsidRPr="00C50A1A">
        <w:rPr>
          <w:rFonts w:ascii="Times New Roman" w:hAnsi="Times New Roman"/>
          <w:color w:val="2D2D2D"/>
          <w:sz w:val="22"/>
          <w:szCs w:val="22"/>
        </w:rPr>
        <w:t>dentify terms and conditions options to achieve desired contract goals.</w:t>
      </w:r>
    </w:p>
    <w:p w14:paraId="3D0B0462" w14:textId="77777777" w:rsidR="000F6EC2" w:rsidRPr="00826B59" w:rsidRDefault="000F6EC2" w:rsidP="00057884">
      <w:pPr>
        <w:widowControl/>
        <w:numPr>
          <w:ilvl w:val="0"/>
          <w:numId w:val="3"/>
        </w:numPr>
        <w:shd w:val="clear" w:color="auto" w:fill="FFFFFF"/>
        <w:autoSpaceDE/>
        <w:autoSpaceDN/>
        <w:adjustRightInd/>
        <w:spacing w:before="100" w:beforeAutospacing="1" w:after="100" w:afterAutospacing="1"/>
        <w:ind w:left="1440" w:hanging="720"/>
        <w:rPr>
          <w:rFonts w:ascii="Times New Roman" w:hAnsi="Times New Roman"/>
          <w:color w:val="2D2D2D"/>
          <w:sz w:val="22"/>
          <w:szCs w:val="22"/>
        </w:rPr>
      </w:pPr>
      <w:r w:rsidRPr="00826B59">
        <w:rPr>
          <w:rFonts w:ascii="Times New Roman" w:hAnsi="Times New Roman"/>
          <w:color w:val="2D2D2D"/>
          <w:sz w:val="22"/>
          <w:szCs w:val="22"/>
        </w:rPr>
        <w:t>Liaise with in-house legal counsel, and other key internal stakeholders in accordance with defined process.</w:t>
      </w:r>
    </w:p>
    <w:p w14:paraId="6AB40348" w14:textId="77777777" w:rsidR="000F6EC2" w:rsidRDefault="000F6EC2" w:rsidP="00057884">
      <w:pPr>
        <w:widowControl/>
        <w:numPr>
          <w:ilvl w:val="0"/>
          <w:numId w:val="3"/>
        </w:numPr>
        <w:shd w:val="clear" w:color="auto" w:fill="FFFFFF"/>
        <w:autoSpaceDE/>
        <w:autoSpaceDN/>
        <w:adjustRightInd/>
        <w:spacing w:before="100" w:beforeAutospacing="1" w:after="100" w:afterAutospacing="1"/>
        <w:ind w:left="1440" w:hanging="720"/>
        <w:rPr>
          <w:rFonts w:ascii="Times New Roman" w:hAnsi="Times New Roman"/>
          <w:color w:val="2D2D2D"/>
          <w:sz w:val="22"/>
          <w:szCs w:val="22"/>
        </w:rPr>
      </w:pPr>
      <w:r w:rsidRPr="00826B59">
        <w:rPr>
          <w:rFonts w:ascii="Times New Roman" w:hAnsi="Times New Roman"/>
          <w:color w:val="2D2D2D"/>
          <w:sz w:val="22"/>
          <w:szCs w:val="22"/>
        </w:rPr>
        <w:t>Effectively manage pipeline of work including tracking status of reviews, providing proactive updates to stakeholders, timely follow up internal and external stakeholders.</w:t>
      </w:r>
    </w:p>
    <w:p w14:paraId="4B4AC33B" w14:textId="4E356682" w:rsidR="0000753C" w:rsidRPr="00826B59" w:rsidRDefault="0000753C" w:rsidP="00057884">
      <w:pPr>
        <w:widowControl/>
        <w:numPr>
          <w:ilvl w:val="0"/>
          <w:numId w:val="3"/>
        </w:numPr>
        <w:shd w:val="clear" w:color="auto" w:fill="FFFFFF"/>
        <w:autoSpaceDE/>
        <w:autoSpaceDN/>
        <w:adjustRightInd/>
        <w:spacing w:before="100" w:beforeAutospacing="1" w:after="100" w:afterAutospacing="1"/>
        <w:ind w:left="1440" w:hanging="720"/>
        <w:rPr>
          <w:rFonts w:ascii="Times New Roman" w:hAnsi="Times New Roman"/>
          <w:color w:val="2D2D2D"/>
          <w:sz w:val="22"/>
          <w:szCs w:val="22"/>
        </w:rPr>
      </w:pPr>
      <w:r>
        <w:rPr>
          <w:rFonts w:ascii="Times New Roman" w:hAnsi="Times New Roman"/>
          <w:color w:val="2D2D2D"/>
          <w:sz w:val="22"/>
          <w:szCs w:val="22"/>
        </w:rPr>
        <w:t xml:space="preserve">Prepare all contracts (utilizing CDB’s templates) for the Bank’s no </w:t>
      </w:r>
      <w:proofErr w:type="gramStart"/>
      <w:r>
        <w:rPr>
          <w:rFonts w:ascii="Times New Roman" w:hAnsi="Times New Roman"/>
          <w:color w:val="2D2D2D"/>
          <w:sz w:val="22"/>
          <w:szCs w:val="22"/>
        </w:rPr>
        <w:t>objection</w:t>
      </w:r>
      <w:proofErr w:type="gramEnd"/>
      <w:r>
        <w:rPr>
          <w:rFonts w:ascii="Times New Roman" w:hAnsi="Times New Roman"/>
          <w:color w:val="2D2D2D"/>
          <w:sz w:val="22"/>
          <w:szCs w:val="22"/>
        </w:rPr>
        <w:t xml:space="preserve"> </w:t>
      </w:r>
    </w:p>
    <w:p w14:paraId="16EEDFA3" w14:textId="3B4B9FE9" w:rsidR="000F6EC2" w:rsidRPr="00826B59" w:rsidRDefault="000F6EC2" w:rsidP="00057884">
      <w:pPr>
        <w:widowControl/>
        <w:shd w:val="clear" w:color="auto" w:fill="FFFFFF"/>
        <w:autoSpaceDE/>
        <w:autoSpaceDN/>
        <w:adjustRightInd/>
        <w:spacing w:before="100" w:beforeAutospacing="1" w:after="100" w:afterAutospacing="1"/>
        <w:ind w:left="1440"/>
        <w:rPr>
          <w:rFonts w:ascii="Times New Roman" w:hAnsi="Times New Roman"/>
          <w:color w:val="2D2D2D"/>
          <w:sz w:val="22"/>
          <w:szCs w:val="22"/>
        </w:rPr>
      </w:pPr>
    </w:p>
    <w:p w14:paraId="546FF4F1" w14:textId="77777777" w:rsidR="00274A65" w:rsidRPr="008671BB" w:rsidRDefault="00274A65" w:rsidP="000F6EC2">
      <w:pPr>
        <w:pStyle w:val="ListParagraph"/>
        <w:ind w:left="1440"/>
        <w:jc w:val="both"/>
        <w:rPr>
          <w:color w:val="FF0000"/>
          <w:sz w:val="22"/>
          <w:szCs w:val="22"/>
          <w:lang w:val="en-GB"/>
        </w:rPr>
      </w:pPr>
    </w:p>
    <w:bookmarkEnd w:id="0"/>
    <w:p w14:paraId="1D9DF9BA" w14:textId="77777777" w:rsidR="000C4BC7" w:rsidRDefault="000C4BC7" w:rsidP="000C4BC7">
      <w:pPr>
        <w:ind w:left="1080"/>
        <w:jc w:val="both"/>
        <w:rPr>
          <w:rFonts w:ascii="Times New Roman" w:hAnsi="Times New Roman"/>
          <w:sz w:val="22"/>
          <w:szCs w:val="22"/>
          <w:lang w:val="en-GB"/>
        </w:rPr>
      </w:pPr>
    </w:p>
    <w:p w14:paraId="508209D8" w14:textId="77777777" w:rsidR="000C4BC7" w:rsidRPr="00E701E6" w:rsidRDefault="000C4BC7" w:rsidP="000C4BC7">
      <w:pPr>
        <w:numPr>
          <w:ilvl w:val="0"/>
          <w:numId w:val="1"/>
        </w:numPr>
        <w:ind w:left="720"/>
        <w:jc w:val="both"/>
        <w:rPr>
          <w:rFonts w:ascii="Times New Roman" w:hAnsi="Times New Roman"/>
          <w:b/>
          <w:sz w:val="22"/>
          <w:szCs w:val="22"/>
          <w:u w:val="single"/>
        </w:rPr>
      </w:pPr>
      <w:r w:rsidRPr="00E701E6">
        <w:rPr>
          <w:rFonts w:ascii="Times New Roman" w:hAnsi="Times New Roman"/>
          <w:b/>
          <w:sz w:val="22"/>
          <w:szCs w:val="22"/>
          <w:u w:val="single"/>
        </w:rPr>
        <w:t>REPORTING REQUIREMENTS</w:t>
      </w:r>
    </w:p>
    <w:p w14:paraId="27C082EE" w14:textId="77777777" w:rsidR="000C4BC7" w:rsidRPr="00E701E6" w:rsidRDefault="000C4BC7" w:rsidP="000C4BC7">
      <w:pPr>
        <w:jc w:val="both"/>
        <w:rPr>
          <w:rFonts w:ascii="Times New Roman" w:hAnsi="Times New Roman"/>
          <w:sz w:val="22"/>
          <w:szCs w:val="22"/>
        </w:rPr>
      </w:pPr>
    </w:p>
    <w:p w14:paraId="1F6BA7AD" w14:textId="77777777" w:rsidR="000C4BC7" w:rsidRPr="00E701E6" w:rsidRDefault="000C4BC7" w:rsidP="000C4BC7">
      <w:pPr>
        <w:jc w:val="both"/>
        <w:rPr>
          <w:rFonts w:ascii="Times New Roman" w:hAnsi="Times New Roman"/>
          <w:sz w:val="22"/>
          <w:szCs w:val="22"/>
          <w:lang w:val="en-GB"/>
        </w:rPr>
      </w:pPr>
      <w:r w:rsidRPr="00E701E6">
        <w:rPr>
          <w:rFonts w:ascii="Times New Roman" w:hAnsi="Times New Roman"/>
          <w:sz w:val="22"/>
          <w:szCs w:val="22"/>
        </w:rPr>
        <w:t>4.01</w:t>
      </w:r>
      <w:r w:rsidRPr="00E701E6">
        <w:rPr>
          <w:rFonts w:ascii="Times New Roman" w:hAnsi="Times New Roman"/>
          <w:sz w:val="22"/>
          <w:szCs w:val="22"/>
        </w:rPr>
        <w:tab/>
      </w:r>
      <w:r w:rsidRPr="00E701E6">
        <w:rPr>
          <w:rFonts w:ascii="Times New Roman" w:hAnsi="Times New Roman"/>
          <w:sz w:val="22"/>
          <w:szCs w:val="22"/>
          <w:lang w:val="en-GB"/>
        </w:rPr>
        <w:t>The Consultant will report to the Project Coordinator and will be required to submit/deliver the following: </w:t>
      </w:r>
    </w:p>
    <w:p w14:paraId="000C48B5" w14:textId="77777777" w:rsidR="000C4BC7" w:rsidRPr="00E701E6" w:rsidRDefault="000C4BC7" w:rsidP="000C4BC7">
      <w:pPr>
        <w:jc w:val="both"/>
        <w:rPr>
          <w:rFonts w:ascii="Times New Roman" w:hAnsi="Times New Roman"/>
          <w:sz w:val="22"/>
          <w:szCs w:val="22"/>
        </w:rPr>
      </w:pPr>
    </w:p>
    <w:tbl>
      <w:tblPr>
        <w:tblStyle w:val="TableGrid"/>
        <w:tblW w:w="0" w:type="auto"/>
        <w:jc w:val="center"/>
        <w:tblLook w:val="04A0" w:firstRow="1" w:lastRow="0" w:firstColumn="1" w:lastColumn="0" w:noHBand="0" w:noVBand="1"/>
      </w:tblPr>
      <w:tblGrid>
        <w:gridCol w:w="5485"/>
        <w:gridCol w:w="3865"/>
      </w:tblGrid>
      <w:tr w:rsidR="000C4BC7" w:rsidRPr="00E701E6" w14:paraId="773DA2E8" w14:textId="77777777">
        <w:trPr>
          <w:trHeight w:val="368"/>
          <w:tblHeader/>
          <w:jc w:val="center"/>
        </w:trPr>
        <w:tc>
          <w:tcPr>
            <w:tcW w:w="5485" w:type="dxa"/>
            <w:tcBorders>
              <w:top w:val="single" w:sz="4" w:space="0" w:color="auto"/>
              <w:left w:val="single" w:sz="4" w:space="0" w:color="auto"/>
              <w:bottom w:val="single" w:sz="4" w:space="0" w:color="auto"/>
              <w:right w:val="single" w:sz="4" w:space="0" w:color="auto"/>
            </w:tcBorders>
            <w:hideMark/>
          </w:tcPr>
          <w:p w14:paraId="724DE559" w14:textId="77777777" w:rsidR="000C4BC7" w:rsidRPr="00E701E6" w:rsidRDefault="000C4BC7">
            <w:pPr>
              <w:jc w:val="both"/>
              <w:rPr>
                <w:rFonts w:ascii="Times New Roman" w:hAnsi="Times New Roman"/>
                <w:b/>
                <w:bCs/>
                <w:sz w:val="22"/>
                <w:szCs w:val="22"/>
                <w:lang w:val="en-GB"/>
              </w:rPr>
            </w:pPr>
            <w:bookmarkStart w:id="1" w:name="_Hlk112826400"/>
            <w:r w:rsidRPr="2CF53853">
              <w:rPr>
                <w:rFonts w:ascii="Times New Roman" w:hAnsi="Times New Roman"/>
                <w:b/>
                <w:bCs/>
                <w:sz w:val="22"/>
                <w:szCs w:val="22"/>
                <w:lang w:val="en-GB"/>
              </w:rPr>
              <w:t>Deliverables</w:t>
            </w:r>
          </w:p>
        </w:tc>
        <w:tc>
          <w:tcPr>
            <w:tcW w:w="3865" w:type="dxa"/>
            <w:tcBorders>
              <w:top w:val="single" w:sz="4" w:space="0" w:color="auto"/>
              <w:left w:val="single" w:sz="4" w:space="0" w:color="auto"/>
              <w:bottom w:val="single" w:sz="4" w:space="0" w:color="auto"/>
              <w:right w:val="single" w:sz="4" w:space="0" w:color="auto"/>
            </w:tcBorders>
            <w:hideMark/>
          </w:tcPr>
          <w:p w14:paraId="31647DDF" w14:textId="77777777" w:rsidR="000C4BC7" w:rsidRPr="00E701E6" w:rsidRDefault="000C4BC7">
            <w:pPr>
              <w:jc w:val="both"/>
              <w:rPr>
                <w:rFonts w:ascii="Times New Roman" w:hAnsi="Times New Roman"/>
                <w:b/>
                <w:bCs/>
                <w:sz w:val="22"/>
                <w:szCs w:val="22"/>
                <w:lang w:val="en-GB"/>
              </w:rPr>
            </w:pPr>
            <w:r w:rsidRPr="00E701E6">
              <w:rPr>
                <w:rFonts w:ascii="Times New Roman" w:hAnsi="Times New Roman"/>
                <w:b/>
                <w:bCs/>
                <w:sz w:val="22"/>
                <w:szCs w:val="22"/>
                <w:lang w:val="en-GB"/>
              </w:rPr>
              <w:t>When</w:t>
            </w:r>
          </w:p>
        </w:tc>
      </w:tr>
      <w:tr w:rsidR="00EE26D8" w:rsidRPr="00E701E6" w14:paraId="6D9BBF2F" w14:textId="77777777">
        <w:trPr>
          <w:trHeight w:val="368"/>
          <w:tblHeader/>
          <w:jc w:val="center"/>
        </w:trPr>
        <w:tc>
          <w:tcPr>
            <w:tcW w:w="5485" w:type="dxa"/>
            <w:tcBorders>
              <w:top w:val="single" w:sz="4" w:space="0" w:color="auto"/>
              <w:left w:val="single" w:sz="4" w:space="0" w:color="auto"/>
              <w:bottom w:val="single" w:sz="4" w:space="0" w:color="auto"/>
              <w:right w:val="single" w:sz="4" w:space="0" w:color="auto"/>
            </w:tcBorders>
          </w:tcPr>
          <w:p w14:paraId="5B4567D7" w14:textId="7C8529C3" w:rsidR="00EE26D8" w:rsidRPr="00EE26D8" w:rsidRDefault="00EE26D8">
            <w:pPr>
              <w:jc w:val="both"/>
              <w:rPr>
                <w:rFonts w:ascii="Times New Roman" w:hAnsi="Times New Roman"/>
                <w:sz w:val="22"/>
                <w:szCs w:val="22"/>
                <w:lang w:val="en-GB"/>
              </w:rPr>
            </w:pPr>
            <w:proofErr w:type="gramStart"/>
            <w:r w:rsidRPr="00EE26D8">
              <w:rPr>
                <w:rFonts w:ascii="Times New Roman" w:hAnsi="Times New Roman"/>
                <w:sz w:val="22"/>
                <w:szCs w:val="22"/>
                <w:lang w:val="en-GB"/>
              </w:rPr>
              <w:t>Inception</w:t>
            </w:r>
            <w:proofErr w:type="gramEnd"/>
            <w:r w:rsidRPr="00EE26D8">
              <w:rPr>
                <w:rFonts w:ascii="Times New Roman" w:hAnsi="Times New Roman"/>
                <w:sz w:val="22"/>
                <w:szCs w:val="22"/>
                <w:lang w:val="en-GB"/>
              </w:rPr>
              <w:t xml:space="preserve"> repot </w:t>
            </w:r>
          </w:p>
        </w:tc>
        <w:tc>
          <w:tcPr>
            <w:tcW w:w="3865" w:type="dxa"/>
            <w:tcBorders>
              <w:top w:val="single" w:sz="4" w:space="0" w:color="auto"/>
              <w:left w:val="single" w:sz="4" w:space="0" w:color="auto"/>
              <w:bottom w:val="single" w:sz="4" w:space="0" w:color="auto"/>
              <w:right w:val="single" w:sz="4" w:space="0" w:color="auto"/>
            </w:tcBorders>
          </w:tcPr>
          <w:p w14:paraId="10AD90E1" w14:textId="77BF01FB" w:rsidR="00EE26D8" w:rsidRPr="00EE26D8" w:rsidRDefault="00EE26D8">
            <w:pPr>
              <w:jc w:val="both"/>
              <w:rPr>
                <w:rFonts w:ascii="Times New Roman" w:hAnsi="Times New Roman"/>
                <w:sz w:val="22"/>
                <w:szCs w:val="22"/>
                <w:lang w:val="en-GB"/>
              </w:rPr>
            </w:pPr>
            <w:r w:rsidRPr="00EE26D8">
              <w:rPr>
                <w:rFonts w:ascii="Times New Roman" w:hAnsi="Times New Roman"/>
                <w:sz w:val="22"/>
                <w:szCs w:val="22"/>
                <w:lang w:val="en-GB"/>
              </w:rPr>
              <w:t xml:space="preserve">Within </w:t>
            </w:r>
            <w:r>
              <w:rPr>
                <w:rFonts w:ascii="Times New Roman" w:hAnsi="Times New Roman"/>
                <w:sz w:val="22"/>
                <w:szCs w:val="22"/>
                <w:lang w:val="en-GB"/>
              </w:rPr>
              <w:t>2 weeks of after commencing the contract</w:t>
            </w:r>
          </w:p>
        </w:tc>
      </w:tr>
      <w:tr w:rsidR="000C4BC7" w:rsidRPr="00E701E6" w14:paraId="7B5C3340" w14:textId="77777777" w:rsidTr="0015729D">
        <w:trPr>
          <w:jc w:val="center"/>
        </w:trPr>
        <w:tc>
          <w:tcPr>
            <w:tcW w:w="5485" w:type="dxa"/>
            <w:tcBorders>
              <w:top w:val="single" w:sz="4" w:space="0" w:color="auto"/>
              <w:left w:val="single" w:sz="4" w:space="0" w:color="auto"/>
              <w:bottom w:val="single" w:sz="4" w:space="0" w:color="auto"/>
              <w:right w:val="single" w:sz="4" w:space="0" w:color="auto"/>
            </w:tcBorders>
            <w:vAlign w:val="bottom"/>
          </w:tcPr>
          <w:p w14:paraId="129FA8C0" w14:textId="14175179" w:rsidR="000C4BC7" w:rsidRPr="00E701E6" w:rsidRDefault="00427E9B">
            <w:pPr>
              <w:jc w:val="both"/>
              <w:rPr>
                <w:rFonts w:ascii="Times New Roman" w:hAnsi="Times New Roman"/>
                <w:sz w:val="22"/>
                <w:szCs w:val="22"/>
                <w:lang w:val="en-GB"/>
              </w:rPr>
            </w:pPr>
            <w:r>
              <w:t>Manage the</w:t>
            </w:r>
            <w:r w:rsidR="0015729D">
              <w:t xml:space="preserve"> procurement</w:t>
            </w:r>
            <w:r w:rsidR="00EE26D8">
              <w:t xml:space="preserve"> deliverables</w:t>
            </w:r>
            <w:r w:rsidR="0015729D">
              <w:t xml:space="preserve"> of </w:t>
            </w:r>
            <w:r>
              <w:t xml:space="preserve">the various </w:t>
            </w:r>
            <w:r w:rsidR="0015729D">
              <w:t xml:space="preserve">consultancy services </w:t>
            </w:r>
            <w:r>
              <w:t>for the project</w:t>
            </w:r>
            <w:r w:rsidR="00EE26D8">
              <w:t xml:space="preserve"> and prepare in collaboration with the beneficiary the evaluation reports contracts for no objection</w:t>
            </w:r>
          </w:p>
        </w:tc>
        <w:tc>
          <w:tcPr>
            <w:tcW w:w="3865" w:type="dxa"/>
            <w:tcBorders>
              <w:top w:val="single" w:sz="4" w:space="0" w:color="auto"/>
              <w:left w:val="single" w:sz="4" w:space="0" w:color="auto"/>
              <w:bottom w:val="single" w:sz="4" w:space="0" w:color="auto"/>
              <w:right w:val="single" w:sz="4" w:space="0" w:color="auto"/>
            </w:tcBorders>
            <w:vAlign w:val="bottom"/>
          </w:tcPr>
          <w:p w14:paraId="12199B01" w14:textId="5DCFC607" w:rsidR="000C4BC7" w:rsidRPr="00E701E6" w:rsidRDefault="00EE26D8">
            <w:pPr>
              <w:jc w:val="both"/>
              <w:rPr>
                <w:rFonts w:ascii="Times New Roman" w:hAnsi="Times New Roman"/>
                <w:sz w:val="22"/>
                <w:szCs w:val="22"/>
                <w:lang w:val="en-GB"/>
              </w:rPr>
            </w:pPr>
            <w:r>
              <w:rPr>
                <w:rFonts w:ascii="Times New Roman" w:hAnsi="Times New Roman"/>
                <w:sz w:val="22"/>
                <w:szCs w:val="22"/>
                <w:lang w:val="en-GB"/>
              </w:rPr>
              <w:t xml:space="preserve">All contracts to be made under the project required to be signed within six </w:t>
            </w:r>
            <w:r w:rsidR="002835CB">
              <w:rPr>
                <w:rFonts w:ascii="Times New Roman" w:hAnsi="Times New Roman"/>
                <w:sz w:val="22"/>
                <w:szCs w:val="22"/>
                <w:lang w:val="en-GB"/>
              </w:rPr>
              <w:t>month</w:t>
            </w:r>
            <w:r>
              <w:rPr>
                <w:rFonts w:ascii="Times New Roman" w:hAnsi="Times New Roman"/>
                <w:sz w:val="22"/>
                <w:szCs w:val="22"/>
                <w:lang w:val="en-GB"/>
              </w:rPr>
              <w:t>s</w:t>
            </w:r>
            <w:r w:rsidR="00366F78">
              <w:rPr>
                <w:rFonts w:ascii="Times New Roman" w:hAnsi="Times New Roman"/>
                <w:sz w:val="22"/>
                <w:szCs w:val="22"/>
                <w:lang w:val="en-GB"/>
              </w:rPr>
              <w:t xml:space="preserve"> </w:t>
            </w:r>
            <w:r w:rsidR="00366F78" w:rsidRPr="00E701E6">
              <w:rPr>
                <w:rFonts w:ascii="Times New Roman" w:hAnsi="Times New Roman"/>
                <w:sz w:val="22"/>
                <w:szCs w:val="22"/>
                <w:lang w:val="en-GB"/>
              </w:rPr>
              <w:t xml:space="preserve">after </w:t>
            </w:r>
            <w:r>
              <w:rPr>
                <w:rFonts w:ascii="Times New Roman" w:hAnsi="Times New Roman"/>
                <w:sz w:val="22"/>
                <w:szCs w:val="22"/>
                <w:lang w:val="en-GB"/>
              </w:rPr>
              <w:t>signing this</w:t>
            </w:r>
            <w:r w:rsidR="00366F78" w:rsidRPr="00E701E6">
              <w:rPr>
                <w:rFonts w:ascii="Times New Roman" w:hAnsi="Times New Roman"/>
                <w:sz w:val="22"/>
                <w:szCs w:val="22"/>
                <w:lang w:val="en-GB"/>
              </w:rPr>
              <w:t xml:space="preserve"> </w:t>
            </w:r>
            <w:r>
              <w:rPr>
                <w:rFonts w:ascii="Times New Roman" w:hAnsi="Times New Roman"/>
                <w:sz w:val="22"/>
                <w:szCs w:val="22"/>
                <w:lang w:val="en-GB"/>
              </w:rPr>
              <w:t>contract</w:t>
            </w:r>
            <w:r w:rsidR="00366F78" w:rsidRPr="00E701E6">
              <w:rPr>
                <w:rFonts w:ascii="Times New Roman" w:hAnsi="Times New Roman"/>
                <w:sz w:val="22"/>
                <w:szCs w:val="22"/>
                <w:lang w:val="en-GB"/>
              </w:rPr>
              <w:t>.</w:t>
            </w:r>
          </w:p>
        </w:tc>
      </w:tr>
      <w:tr w:rsidR="000C4BC7" w:rsidRPr="00E701E6" w14:paraId="46896BDB" w14:textId="77777777">
        <w:trPr>
          <w:jc w:val="center"/>
        </w:trPr>
        <w:tc>
          <w:tcPr>
            <w:tcW w:w="5485" w:type="dxa"/>
            <w:tcBorders>
              <w:top w:val="single" w:sz="4" w:space="0" w:color="auto"/>
              <w:left w:val="single" w:sz="4" w:space="0" w:color="auto"/>
              <w:bottom w:val="single" w:sz="4" w:space="0" w:color="auto"/>
              <w:right w:val="single" w:sz="4" w:space="0" w:color="auto"/>
            </w:tcBorders>
            <w:vAlign w:val="bottom"/>
          </w:tcPr>
          <w:p w14:paraId="1B271FCE" w14:textId="0BE4370A" w:rsidR="000C4BC7" w:rsidRPr="00681ECE" w:rsidRDefault="00EE26D8">
            <w:pPr>
              <w:jc w:val="both"/>
              <w:rPr>
                <w:rFonts w:ascii="Times New Roman" w:hAnsi="Times New Roman"/>
                <w:sz w:val="22"/>
                <w:szCs w:val="22"/>
              </w:rPr>
            </w:pPr>
            <w:r>
              <w:t xml:space="preserve">Prepare draft final report for the procurement </w:t>
            </w:r>
          </w:p>
        </w:tc>
        <w:tc>
          <w:tcPr>
            <w:tcW w:w="3865" w:type="dxa"/>
            <w:tcBorders>
              <w:top w:val="single" w:sz="4" w:space="0" w:color="auto"/>
              <w:left w:val="single" w:sz="4" w:space="0" w:color="auto"/>
              <w:bottom w:val="single" w:sz="4" w:space="0" w:color="auto"/>
              <w:right w:val="single" w:sz="4" w:space="0" w:color="auto"/>
            </w:tcBorders>
            <w:vAlign w:val="bottom"/>
          </w:tcPr>
          <w:p w14:paraId="46FBD78F" w14:textId="4178476F" w:rsidR="000C4BC7" w:rsidRPr="00E701E6" w:rsidRDefault="002835CB">
            <w:pPr>
              <w:jc w:val="both"/>
              <w:rPr>
                <w:rFonts w:ascii="Times New Roman" w:hAnsi="Times New Roman"/>
                <w:sz w:val="22"/>
                <w:szCs w:val="22"/>
                <w:lang w:val="en-GB"/>
              </w:rPr>
            </w:pPr>
            <w:r>
              <w:rPr>
                <w:rFonts w:ascii="Times New Roman" w:hAnsi="Times New Roman"/>
                <w:sz w:val="22"/>
                <w:szCs w:val="22"/>
                <w:lang w:val="en-GB"/>
              </w:rPr>
              <w:t xml:space="preserve">Within </w:t>
            </w:r>
            <w:r w:rsidR="006678B2">
              <w:rPr>
                <w:rFonts w:ascii="Times New Roman" w:hAnsi="Times New Roman"/>
                <w:sz w:val="22"/>
                <w:szCs w:val="22"/>
                <w:lang w:val="en-GB"/>
              </w:rPr>
              <w:t xml:space="preserve">three weeks concluding all contracts under this </w:t>
            </w:r>
            <w:r w:rsidR="00366F78" w:rsidRPr="00E701E6">
              <w:rPr>
                <w:rFonts w:ascii="Times New Roman" w:hAnsi="Times New Roman"/>
                <w:sz w:val="22"/>
                <w:szCs w:val="22"/>
                <w:lang w:val="en-GB"/>
              </w:rPr>
              <w:t>assignment.</w:t>
            </w:r>
          </w:p>
        </w:tc>
      </w:tr>
      <w:tr w:rsidR="001D69F0" w:rsidRPr="00E701E6" w14:paraId="71E876DE" w14:textId="77777777">
        <w:trPr>
          <w:jc w:val="center"/>
        </w:trPr>
        <w:tc>
          <w:tcPr>
            <w:tcW w:w="5485" w:type="dxa"/>
            <w:tcBorders>
              <w:top w:val="single" w:sz="4" w:space="0" w:color="auto"/>
              <w:left w:val="single" w:sz="4" w:space="0" w:color="auto"/>
              <w:bottom w:val="single" w:sz="4" w:space="0" w:color="auto"/>
              <w:right w:val="single" w:sz="4" w:space="0" w:color="auto"/>
            </w:tcBorders>
            <w:vAlign w:val="bottom"/>
          </w:tcPr>
          <w:p w14:paraId="28CE5151" w14:textId="3EC32C8E" w:rsidR="001D69F0" w:rsidRDefault="006678B2">
            <w:pPr>
              <w:jc w:val="both"/>
            </w:pPr>
            <w:r>
              <w:t xml:space="preserve">Final report </w:t>
            </w:r>
          </w:p>
        </w:tc>
        <w:tc>
          <w:tcPr>
            <w:tcW w:w="3865" w:type="dxa"/>
            <w:tcBorders>
              <w:top w:val="single" w:sz="4" w:space="0" w:color="auto"/>
              <w:left w:val="single" w:sz="4" w:space="0" w:color="auto"/>
              <w:bottom w:val="single" w:sz="4" w:space="0" w:color="auto"/>
              <w:right w:val="single" w:sz="4" w:space="0" w:color="auto"/>
            </w:tcBorders>
            <w:vAlign w:val="bottom"/>
          </w:tcPr>
          <w:p w14:paraId="0E125F8E" w14:textId="1C27920E" w:rsidR="001D69F0" w:rsidRDefault="006678B2">
            <w:pPr>
              <w:jc w:val="both"/>
              <w:rPr>
                <w:rFonts w:ascii="Times New Roman" w:hAnsi="Times New Roman"/>
                <w:sz w:val="22"/>
                <w:szCs w:val="22"/>
                <w:lang w:val="en-GB"/>
              </w:rPr>
            </w:pPr>
            <w:r>
              <w:rPr>
                <w:rFonts w:ascii="Times New Roman" w:hAnsi="Times New Roman"/>
                <w:sz w:val="22"/>
                <w:szCs w:val="22"/>
                <w:lang w:val="en-GB"/>
              </w:rPr>
              <w:t>Within one week of receiving comments on the draft final report</w:t>
            </w:r>
          </w:p>
        </w:tc>
      </w:tr>
      <w:bookmarkEnd w:id="1"/>
    </w:tbl>
    <w:p w14:paraId="7C385F35" w14:textId="77777777" w:rsidR="000C4BC7" w:rsidRDefault="000C4BC7" w:rsidP="000C4BC7">
      <w:pPr>
        <w:jc w:val="both"/>
        <w:rPr>
          <w:rFonts w:ascii="Times New Roman" w:hAnsi="Times New Roman"/>
          <w:i/>
          <w:sz w:val="22"/>
          <w:szCs w:val="22"/>
        </w:rPr>
      </w:pPr>
    </w:p>
    <w:p w14:paraId="19A97BE0" w14:textId="77777777" w:rsidR="000C4BC7" w:rsidRDefault="000C4BC7" w:rsidP="000C4BC7">
      <w:pPr>
        <w:jc w:val="both"/>
        <w:rPr>
          <w:rFonts w:ascii="Times New Roman" w:hAnsi="Times New Roman"/>
          <w:i/>
          <w:sz w:val="22"/>
          <w:szCs w:val="22"/>
        </w:rPr>
      </w:pPr>
    </w:p>
    <w:p w14:paraId="16021186" w14:textId="77777777" w:rsidR="000C4BC7" w:rsidRPr="00E701E6" w:rsidRDefault="000C4BC7" w:rsidP="000C4BC7">
      <w:pPr>
        <w:jc w:val="both"/>
        <w:rPr>
          <w:rFonts w:ascii="Times New Roman" w:hAnsi="Times New Roman"/>
          <w:i/>
          <w:sz w:val="22"/>
          <w:szCs w:val="22"/>
        </w:rPr>
      </w:pPr>
    </w:p>
    <w:p w14:paraId="686710A7" w14:textId="77777777" w:rsidR="000C4BC7" w:rsidRPr="00E701E6" w:rsidRDefault="000C4BC7" w:rsidP="000C4BC7">
      <w:pPr>
        <w:numPr>
          <w:ilvl w:val="0"/>
          <w:numId w:val="1"/>
        </w:numPr>
        <w:ind w:left="720"/>
        <w:jc w:val="both"/>
        <w:rPr>
          <w:rFonts w:ascii="Times New Roman" w:hAnsi="Times New Roman"/>
          <w:b/>
          <w:sz w:val="22"/>
          <w:szCs w:val="22"/>
          <w:u w:val="single"/>
        </w:rPr>
      </w:pPr>
      <w:r w:rsidRPr="00E701E6">
        <w:rPr>
          <w:rFonts w:ascii="Times New Roman" w:hAnsi="Times New Roman"/>
          <w:b/>
          <w:sz w:val="22"/>
          <w:szCs w:val="22"/>
          <w:u w:val="single"/>
        </w:rPr>
        <w:t>IMPLEMENTATION ARRANGEMENTS</w:t>
      </w:r>
    </w:p>
    <w:p w14:paraId="54F6C1BD" w14:textId="77777777" w:rsidR="000C4BC7" w:rsidRPr="00E701E6" w:rsidRDefault="000C4BC7" w:rsidP="000C4BC7">
      <w:pPr>
        <w:jc w:val="both"/>
        <w:rPr>
          <w:rFonts w:ascii="Times New Roman" w:hAnsi="Times New Roman"/>
          <w:bCs/>
          <w:sz w:val="22"/>
          <w:szCs w:val="22"/>
          <w:u w:val="single"/>
        </w:rPr>
      </w:pPr>
    </w:p>
    <w:p w14:paraId="19735F28" w14:textId="04816B9C" w:rsidR="000C4BC7" w:rsidRPr="00E701E6" w:rsidRDefault="000C4BC7" w:rsidP="000C4BC7">
      <w:pPr>
        <w:jc w:val="both"/>
        <w:rPr>
          <w:rFonts w:ascii="Times New Roman" w:hAnsi="Times New Roman"/>
          <w:sz w:val="22"/>
          <w:szCs w:val="22"/>
        </w:rPr>
      </w:pPr>
      <w:r w:rsidRPr="2E2D3082">
        <w:rPr>
          <w:rFonts w:ascii="Times New Roman" w:hAnsi="Times New Roman"/>
          <w:sz w:val="22"/>
          <w:szCs w:val="22"/>
        </w:rPr>
        <w:t>5.01</w:t>
      </w:r>
      <w:r>
        <w:tab/>
      </w:r>
      <w:r w:rsidRPr="2E2D3082">
        <w:rPr>
          <w:rFonts w:ascii="Times New Roman" w:hAnsi="Times New Roman"/>
          <w:sz w:val="22"/>
          <w:szCs w:val="22"/>
        </w:rPr>
        <w:t>The consultant will undertake the tasks related to this assignment in</w:t>
      </w:r>
      <w:r w:rsidR="001D69F0">
        <w:rPr>
          <w:rFonts w:ascii="Times New Roman" w:hAnsi="Times New Roman"/>
          <w:sz w:val="22"/>
          <w:szCs w:val="22"/>
        </w:rPr>
        <w:t xml:space="preserve"> 28 days</w:t>
      </w:r>
      <w:r w:rsidRPr="2E2D3082">
        <w:rPr>
          <w:rFonts w:ascii="Times New Roman" w:hAnsi="Times New Roman"/>
          <w:sz w:val="22"/>
          <w:szCs w:val="22"/>
        </w:rPr>
        <w:t xml:space="preserve"> over a period of</w:t>
      </w:r>
      <w:r w:rsidR="00427E9B">
        <w:rPr>
          <w:rFonts w:ascii="Times New Roman" w:hAnsi="Times New Roman"/>
          <w:sz w:val="22"/>
          <w:szCs w:val="22"/>
        </w:rPr>
        <w:t xml:space="preserve"> </w:t>
      </w:r>
      <w:r w:rsidR="006678B2">
        <w:rPr>
          <w:rFonts w:ascii="Times New Roman" w:hAnsi="Times New Roman"/>
          <w:sz w:val="22"/>
          <w:szCs w:val="22"/>
        </w:rPr>
        <w:t>9</w:t>
      </w:r>
      <w:r w:rsidRPr="2E2D3082">
        <w:rPr>
          <w:rFonts w:ascii="Times New Roman" w:hAnsi="Times New Roman"/>
          <w:sz w:val="22"/>
          <w:szCs w:val="22"/>
        </w:rPr>
        <w:t xml:space="preserve"> months and should report to the Project Coordinator. </w:t>
      </w:r>
    </w:p>
    <w:p w14:paraId="7A163FCB" w14:textId="77777777" w:rsidR="000C4BC7" w:rsidRDefault="000C4BC7" w:rsidP="000C4BC7">
      <w:pPr>
        <w:jc w:val="both"/>
        <w:rPr>
          <w:rFonts w:ascii="Times New Roman" w:hAnsi="Times New Roman"/>
          <w:b/>
          <w:sz w:val="22"/>
          <w:szCs w:val="22"/>
          <w:u w:val="single"/>
        </w:rPr>
      </w:pPr>
    </w:p>
    <w:p w14:paraId="429A4CC7" w14:textId="77777777" w:rsidR="000C4BC7" w:rsidRPr="00E701E6" w:rsidRDefault="000C4BC7" w:rsidP="000C4BC7">
      <w:pPr>
        <w:numPr>
          <w:ilvl w:val="0"/>
          <w:numId w:val="1"/>
        </w:numPr>
        <w:ind w:left="720"/>
        <w:jc w:val="both"/>
        <w:rPr>
          <w:rFonts w:ascii="Times New Roman" w:hAnsi="Times New Roman"/>
          <w:b/>
          <w:sz w:val="22"/>
          <w:szCs w:val="22"/>
          <w:u w:val="single"/>
        </w:rPr>
      </w:pPr>
      <w:r w:rsidRPr="00E701E6">
        <w:rPr>
          <w:rFonts w:ascii="Times New Roman" w:hAnsi="Times New Roman"/>
          <w:b/>
          <w:sz w:val="22"/>
          <w:szCs w:val="22"/>
          <w:u w:val="single"/>
        </w:rPr>
        <w:t>QUALIFICATIONS AND EXPERIENCE</w:t>
      </w:r>
    </w:p>
    <w:p w14:paraId="348035DA" w14:textId="77777777" w:rsidR="000C4BC7" w:rsidRPr="00E701E6" w:rsidRDefault="000C4BC7" w:rsidP="000C4BC7">
      <w:pPr>
        <w:jc w:val="both"/>
        <w:rPr>
          <w:rFonts w:ascii="Times New Roman" w:hAnsi="Times New Roman"/>
          <w:bCs/>
          <w:sz w:val="22"/>
          <w:szCs w:val="22"/>
        </w:rPr>
      </w:pPr>
    </w:p>
    <w:p w14:paraId="359EB194" w14:textId="08B388ED" w:rsidR="000C4BC7" w:rsidRPr="00E701E6" w:rsidRDefault="000C4BC7" w:rsidP="000C4BC7">
      <w:pPr>
        <w:jc w:val="both"/>
        <w:rPr>
          <w:rFonts w:ascii="Times New Roman" w:hAnsi="Times New Roman"/>
          <w:sz w:val="22"/>
          <w:szCs w:val="22"/>
          <w:lang w:val="en-GB"/>
        </w:rPr>
      </w:pPr>
      <w:r w:rsidRPr="2CF53853">
        <w:rPr>
          <w:rFonts w:ascii="Times New Roman" w:hAnsi="Times New Roman"/>
          <w:sz w:val="22"/>
          <w:szCs w:val="22"/>
          <w:lang w:val="en-GB"/>
        </w:rPr>
        <w:t>6.01</w:t>
      </w:r>
      <w:r>
        <w:tab/>
      </w:r>
      <w:r w:rsidRPr="2CF53853">
        <w:rPr>
          <w:rFonts w:ascii="Times New Roman" w:hAnsi="Times New Roman"/>
          <w:sz w:val="22"/>
          <w:szCs w:val="22"/>
          <w:lang w:val="en-GB"/>
        </w:rPr>
        <w:t xml:space="preserve">The </w:t>
      </w:r>
      <w:r w:rsidR="006149F5">
        <w:rPr>
          <w:rFonts w:ascii="Times New Roman" w:hAnsi="Times New Roman"/>
          <w:sz w:val="22"/>
          <w:szCs w:val="22"/>
        </w:rPr>
        <w:t xml:space="preserve">consultant should </w:t>
      </w:r>
      <w:proofErr w:type="gramStart"/>
      <w:r w:rsidR="006149F5">
        <w:rPr>
          <w:rFonts w:ascii="Times New Roman" w:hAnsi="Times New Roman"/>
          <w:sz w:val="22"/>
          <w:szCs w:val="22"/>
        </w:rPr>
        <w:t xml:space="preserve">have </w:t>
      </w:r>
      <w:r w:rsidRPr="2CF53853">
        <w:rPr>
          <w:rFonts w:ascii="Times New Roman" w:hAnsi="Times New Roman"/>
          <w:sz w:val="22"/>
          <w:szCs w:val="22"/>
        </w:rPr>
        <w:t xml:space="preserve"> the</w:t>
      </w:r>
      <w:proofErr w:type="gramEnd"/>
      <w:r w:rsidRPr="2CF53853">
        <w:rPr>
          <w:rFonts w:ascii="Times New Roman" w:hAnsi="Times New Roman"/>
          <w:sz w:val="22"/>
          <w:szCs w:val="22"/>
        </w:rPr>
        <w:t xml:space="preserve"> following </w:t>
      </w:r>
      <w:r w:rsidR="006149F5">
        <w:rPr>
          <w:rFonts w:ascii="Times New Roman" w:hAnsi="Times New Roman"/>
          <w:sz w:val="22"/>
          <w:szCs w:val="22"/>
        </w:rPr>
        <w:t>credentials</w:t>
      </w:r>
      <w:r w:rsidRPr="2CF53853">
        <w:rPr>
          <w:rFonts w:ascii="Times New Roman" w:hAnsi="Times New Roman"/>
          <w:sz w:val="22"/>
          <w:szCs w:val="22"/>
          <w:lang w:val="en-GB"/>
        </w:rPr>
        <w:t>:</w:t>
      </w:r>
    </w:p>
    <w:p w14:paraId="240F5C40" w14:textId="77777777" w:rsidR="000C4BC7" w:rsidRPr="00E701E6" w:rsidRDefault="000C4BC7" w:rsidP="000C4BC7">
      <w:pPr>
        <w:jc w:val="both"/>
        <w:rPr>
          <w:rFonts w:ascii="Times New Roman" w:hAnsi="Times New Roman"/>
          <w:bCs/>
          <w:sz w:val="22"/>
          <w:szCs w:val="22"/>
        </w:rPr>
      </w:pPr>
    </w:p>
    <w:p w14:paraId="7C52C2C9" w14:textId="738CDC67" w:rsidR="000C4BC7" w:rsidRPr="000E3F98" w:rsidRDefault="0069502C" w:rsidP="000C4BC7">
      <w:pPr>
        <w:pStyle w:val="ListParagraph"/>
        <w:numPr>
          <w:ilvl w:val="0"/>
          <w:numId w:val="2"/>
        </w:numPr>
        <w:ind w:left="2160" w:hanging="720"/>
        <w:rPr>
          <w:sz w:val="22"/>
          <w:szCs w:val="22"/>
        </w:rPr>
      </w:pPr>
      <w:r>
        <w:rPr>
          <w:sz w:val="22"/>
          <w:szCs w:val="22"/>
        </w:rPr>
        <w:t xml:space="preserve">A </w:t>
      </w:r>
      <w:proofErr w:type="gramStart"/>
      <w:r>
        <w:rPr>
          <w:sz w:val="22"/>
          <w:szCs w:val="22"/>
        </w:rPr>
        <w:t>Bachelor’s</w:t>
      </w:r>
      <w:proofErr w:type="gramEnd"/>
      <w:r>
        <w:rPr>
          <w:sz w:val="22"/>
          <w:szCs w:val="22"/>
        </w:rPr>
        <w:t xml:space="preserve"> </w:t>
      </w:r>
      <w:r w:rsidR="000C4BC7" w:rsidRPr="2CF53853">
        <w:rPr>
          <w:sz w:val="22"/>
          <w:szCs w:val="22"/>
        </w:rPr>
        <w:t>degree</w:t>
      </w:r>
      <w:r w:rsidR="00052FA2">
        <w:rPr>
          <w:sz w:val="22"/>
          <w:szCs w:val="22"/>
        </w:rPr>
        <w:t xml:space="preserve"> or higher</w:t>
      </w:r>
      <w:r w:rsidR="000C4BC7" w:rsidRPr="2CF53853">
        <w:rPr>
          <w:sz w:val="22"/>
          <w:szCs w:val="22"/>
        </w:rPr>
        <w:t xml:space="preserve"> in </w:t>
      </w:r>
      <w:r w:rsidR="00574AC8">
        <w:rPr>
          <w:color w:val="333E49"/>
          <w:sz w:val="22"/>
          <w:szCs w:val="22"/>
          <w:shd w:val="clear" w:color="auto" w:fill="FFFFFF"/>
        </w:rPr>
        <w:t>B</w:t>
      </w:r>
      <w:r w:rsidR="000E3F98" w:rsidRPr="000E3F98">
        <w:rPr>
          <w:color w:val="333E49"/>
          <w:sz w:val="22"/>
          <w:szCs w:val="22"/>
          <w:shd w:val="clear" w:color="auto" w:fill="FFFFFF"/>
        </w:rPr>
        <w:t xml:space="preserve">usiness </w:t>
      </w:r>
      <w:r w:rsidR="00574AC8">
        <w:rPr>
          <w:color w:val="333E49"/>
          <w:sz w:val="22"/>
          <w:szCs w:val="22"/>
          <w:shd w:val="clear" w:color="auto" w:fill="FFFFFF"/>
        </w:rPr>
        <w:t>A</w:t>
      </w:r>
      <w:r w:rsidR="000E3F98" w:rsidRPr="000E3F98">
        <w:rPr>
          <w:color w:val="333E49"/>
          <w:sz w:val="22"/>
          <w:szCs w:val="22"/>
          <w:shd w:val="clear" w:color="auto" w:fill="FFFFFF"/>
        </w:rPr>
        <w:t xml:space="preserve">dministration, </w:t>
      </w:r>
      <w:r w:rsidR="00574AC8">
        <w:rPr>
          <w:color w:val="333E49"/>
          <w:sz w:val="22"/>
          <w:szCs w:val="22"/>
          <w:shd w:val="clear" w:color="auto" w:fill="FFFFFF"/>
        </w:rPr>
        <w:t xml:space="preserve">Accounting, </w:t>
      </w:r>
      <w:r w:rsidR="00975B48">
        <w:rPr>
          <w:color w:val="333E49"/>
          <w:sz w:val="22"/>
          <w:szCs w:val="22"/>
          <w:shd w:val="clear" w:color="auto" w:fill="FFFFFF"/>
        </w:rPr>
        <w:t xml:space="preserve">Procurement </w:t>
      </w:r>
      <w:r w:rsidR="000E3F98" w:rsidRPr="000E3F98">
        <w:rPr>
          <w:color w:val="333E49"/>
          <w:sz w:val="22"/>
          <w:szCs w:val="22"/>
          <w:shd w:val="clear" w:color="auto" w:fill="FFFFFF"/>
        </w:rPr>
        <w:t xml:space="preserve">management or </w:t>
      </w:r>
      <w:r w:rsidR="001534F4">
        <w:rPr>
          <w:color w:val="333E49"/>
          <w:sz w:val="22"/>
          <w:szCs w:val="22"/>
          <w:shd w:val="clear" w:color="auto" w:fill="FFFFFF"/>
        </w:rPr>
        <w:t xml:space="preserve">other related </w:t>
      </w:r>
      <w:r w:rsidR="00427E9B">
        <w:rPr>
          <w:color w:val="333E49"/>
          <w:sz w:val="22"/>
          <w:szCs w:val="22"/>
          <w:shd w:val="clear" w:color="auto" w:fill="FFFFFF"/>
        </w:rPr>
        <w:t>fi</w:t>
      </w:r>
      <w:r w:rsidR="00427E9B" w:rsidRPr="000E3F98">
        <w:rPr>
          <w:color w:val="333E49"/>
          <w:sz w:val="22"/>
          <w:szCs w:val="22"/>
          <w:shd w:val="clear" w:color="auto" w:fill="FFFFFF"/>
        </w:rPr>
        <w:t xml:space="preserve">eld </w:t>
      </w:r>
      <w:r w:rsidR="00427E9B">
        <w:rPr>
          <w:color w:val="333E49"/>
          <w:sz w:val="22"/>
          <w:szCs w:val="22"/>
          <w:shd w:val="clear" w:color="auto" w:fill="FFFFFF"/>
        </w:rPr>
        <w:t>from</w:t>
      </w:r>
      <w:r w:rsidR="001534F4">
        <w:rPr>
          <w:color w:val="333E49"/>
          <w:sz w:val="22"/>
          <w:szCs w:val="22"/>
          <w:shd w:val="clear" w:color="auto" w:fill="FFFFFF"/>
        </w:rPr>
        <w:t xml:space="preserve"> a recognized university</w:t>
      </w:r>
      <w:r w:rsidR="000C4BC7" w:rsidRPr="000E3F98">
        <w:rPr>
          <w:sz w:val="22"/>
          <w:szCs w:val="22"/>
        </w:rPr>
        <w:t>.</w:t>
      </w:r>
    </w:p>
    <w:p w14:paraId="0E079A6D" w14:textId="77777777" w:rsidR="000C4BC7" w:rsidRPr="000E3F98" w:rsidRDefault="000C4BC7" w:rsidP="000C4BC7">
      <w:pPr>
        <w:ind w:left="2160" w:hanging="720"/>
        <w:jc w:val="both"/>
        <w:rPr>
          <w:rFonts w:ascii="Times New Roman" w:hAnsi="Times New Roman"/>
          <w:bCs/>
          <w:sz w:val="22"/>
          <w:szCs w:val="22"/>
        </w:rPr>
      </w:pPr>
    </w:p>
    <w:p w14:paraId="54BBEF62" w14:textId="25A5DA40" w:rsidR="000C4BC7" w:rsidRDefault="0069502C" w:rsidP="000C4BC7">
      <w:pPr>
        <w:pStyle w:val="ListParagraph"/>
        <w:numPr>
          <w:ilvl w:val="0"/>
          <w:numId w:val="2"/>
        </w:numPr>
        <w:ind w:left="2160" w:hanging="720"/>
        <w:jc w:val="both"/>
        <w:rPr>
          <w:sz w:val="22"/>
          <w:szCs w:val="22"/>
        </w:rPr>
      </w:pPr>
      <w:r>
        <w:rPr>
          <w:sz w:val="22"/>
          <w:szCs w:val="22"/>
        </w:rPr>
        <w:t xml:space="preserve">More </w:t>
      </w:r>
      <w:r w:rsidR="00D335A6">
        <w:rPr>
          <w:sz w:val="22"/>
          <w:szCs w:val="22"/>
        </w:rPr>
        <w:t>than</w:t>
      </w:r>
      <w:r>
        <w:rPr>
          <w:sz w:val="22"/>
          <w:szCs w:val="22"/>
        </w:rPr>
        <w:t xml:space="preserve"> 5 years in procurement management with project</w:t>
      </w:r>
      <w:r w:rsidR="00052FA2">
        <w:rPr>
          <w:sz w:val="22"/>
          <w:szCs w:val="22"/>
        </w:rPr>
        <w:t>s</w:t>
      </w:r>
      <w:r>
        <w:rPr>
          <w:sz w:val="22"/>
          <w:szCs w:val="22"/>
        </w:rPr>
        <w:t xml:space="preserve"> </w:t>
      </w:r>
      <w:r w:rsidR="00052FA2">
        <w:rPr>
          <w:sz w:val="22"/>
          <w:szCs w:val="22"/>
        </w:rPr>
        <w:t xml:space="preserve">financed </w:t>
      </w:r>
      <w:r>
        <w:rPr>
          <w:sz w:val="22"/>
          <w:szCs w:val="22"/>
        </w:rPr>
        <w:t>by international organization.</w:t>
      </w:r>
    </w:p>
    <w:p w14:paraId="45ED1F0C" w14:textId="77777777" w:rsidR="00165D4F" w:rsidRPr="00165D4F" w:rsidRDefault="00165D4F" w:rsidP="00165D4F">
      <w:pPr>
        <w:pStyle w:val="ListParagraph"/>
        <w:rPr>
          <w:sz w:val="22"/>
          <w:szCs w:val="22"/>
        </w:rPr>
      </w:pPr>
    </w:p>
    <w:p w14:paraId="7A7B0352" w14:textId="3F65D3B8" w:rsidR="00165D4F" w:rsidRPr="003667EC" w:rsidRDefault="00165D4F" w:rsidP="00165D4F">
      <w:pPr>
        <w:pStyle w:val="ListParagraph"/>
        <w:numPr>
          <w:ilvl w:val="0"/>
          <w:numId w:val="2"/>
        </w:numPr>
        <w:spacing w:after="240"/>
        <w:ind w:left="2160" w:hanging="720"/>
        <w:jc w:val="both"/>
        <w:rPr>
          <w:sz w:val="22"/>
          <w:szCs w:val="22"/>
        </w:rPr>
      </w:pPr>
      <w:r>
        <w:rPr>
          <w:sz w:val="22"/>
          <w:szCs w:val="22"/>
        </w:rPr>
        <w:t>Knowledge of Procurement Procedures for Projects Funded by CDB and other lending agencies procurement policies will be an asset.</w:t>
      </w:r>
    </w:p>
    <w:p w14:paraId="48DB6DC0" w14:textId="77777777" w:rsidR="000C4BC7" w:rsidRPr="000E3F98" w:rsidRDefault="000C4BC7" w:rsidP="000C4BC7">
      <w:pPr>
        <w:ind w:left="2160" w:hanging="720"/>
        <w:jc w:val="both"/>
        <w:rPr>
          <w:rFonts w:ascii="Times New Roman" w:hAnsi="Times New Roman"/>
          <w:bCs/>
          <w:sz w:val="22"/>
          <w:szCs w:val="22"/>
        </w:rPr>
      </w:pPr>
    </w:p>
    <w:p w14:paraId="4ABD934C" w14:textId="3BD6127C" w:rsidR="005C5BED" w:rsidRPr="003667EC" w:rsidRDefault="00286ADF" w:rsidP="000F6EC2">
      <w:pPr>
        <w:pStyle w:val="ListParagraph"/>
        <w:numPr>
          <w:ilvl w:val="0"/>
          <w:numId w:val="2"/>
        </w:numPr>
        <w:spacing w:after="240"/>
        <w:ind w:left="2160" w:hanging="720"/>
        <w:jc w:val="both"/>
        <w:rPr>
          <w:sz w:val="22"/>
          <w:szCs w:val="22"/>
        </w:rPr>
      </w:pPr>
      <w:r>
        <w:rPr>
          <w:sz w:val="22"/>
          <w:szCs w:val="22"/>
        </w:rPr>
        <w:t>K</w:t>
      </w:r>
      <w:r w:rsidRPr="00286ADF">
        <w:rPr>
          <w:sz w:val="22"/>
          <w:szCs w:val="22"/>
        </w:rPr>
        <w:t>nowledge and experience with procurement of IT/software</w:t>
      </w:r>
      <w:r w:rsidR="00165D4F">
        <w:rPr>
          <w:sz w:val="22"/>
          <w:szCs w:val="22"/>
        </w:rPr>
        <w:t xml:space="preserve"> will be an asset.</w:t>
      </w:r>
    </w:p>
    <w:p w14:paraId="463AB115" w14:textId="3DB752B8" w:rsidR="004E5C5F" w:rsidRPr="00D335A6" w:rsidRDefault="001534F4" w:rsidP="000C4BC7">
      <w:pPr>
        <w:pStyle w:val="ListParagraph"/>
        <w:numPr>
          <w:ilvl w:val="0"/>
          <w:numId w:val="2"/>
        </w:numPr>
        <w:spacing w:after="240"/>
        <w:ind w:left="2160" w:hanging="720"/>
        <w:jc w:val="both"/>
        <w:rPr>
          <w:strike/>
          <w:sz w:val="22"/>
          <w:szCs w:val="22"/>
        </w:rPr>
      </w:pPr>
      <w:r w:rsidRPr="00D335A6">
        <w:rPr>
          <w:sz w:val="22"/>
          <w:szCs w:val="22"/>
        </w:rPr>
        <w:t xml:space="preserve">Excellent written, </w:t>
      </w:r>
      <w:proofErr w:type="gramStart"/>
      <w:r w:rsidRPr="00D335A6">
        <w:rPr>
          <w:sz w:val="22"/>
          <w:szCs w:val="22"/>
        </w:rPr>
        <w:t>oral</w:t>
      </w:r>
      <w:proofErr w:type="gramEnd"/>
      <w:r w:rsidRPr="00D335A6">
        <w:rPr>
          <w:sz w:val="22"/>
          <w:szCs w:val="22"/>
        </w:rPr>
        <w:t xml:space="preserve"> and interpersonal skills and ability to communicate effectively with the financiers. </w:t>
      </w:r>
    </w:p>
    <w:p w14:paraId="1A760A00" w14:textId="3A0BEF1B" w:rsidR="000C4BC7" w:rsidRPr="00D335A6" w:rsidRDefault="000C4BC7" w:rsidP="000C4BC7">
      <w:pPr>
        <w:rPr>
          <w:sz w:val="22"/>
          <w:szCs w:val="22"/>
          <w:lang w:val="en-GB"/>
        </w:rPr>
      </w:pPr>
    </w:p>
    <w:p w14:paraId="3D6A5F71" w14:textId="77777777" w:rsidR="000C4BC7" w:rsidRPr="00D335A6" w:rsidRDefault="000C4BC7" w:rsidP="000C4BC7">
      <w:pPr>
        <w:rPr>
          <w:sz w:val="22"/>
          <w:szCs w:val="22"/>
          <w:lang w:val="en-GB"/>
        </w:rPr>
      </w:pPr>
    </w:p>
    <w:p w14:paraId="34DC49CB" w14:textId="77777777" w:rsidR="000C4BC7" w:rsidRDefault="000C4BC7" w:rsidP="000C4BC7"/>
    <w:p w14:paraId="7D742C8E" w14:textId="77777777" w:rsidR="000C4BC7" w:rsidRDefault="000C4BC7"/>
    <w:sectPr w:rsidR="000C4BC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B647F" w14:textId="77777777" w:rsidR="002B34EA" w:rsidRDefault="002B34EA" w:rsidP="000C4BC7">
      <w:r>
        <w:separator/>
      </w:r>
    </w:p>
  </w:endnote>
  <w:endnote w:type="continuationSeparator" w:id="0">
    <w:p w14:paraId="37BE494A" w14:textId="77777777" w:rsidR="002B34EA" w:rsidRDefault="002B34EA" w:rsidP="000C4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F7CA5" w14:textId="77777777" w:rsidR="002B34EA" w:rsidRDefault="002B34EA" w:rsidP="000C4BC7">
      <w:r>
        <w:separator/>
      </w:r>
    </w:p>
  </w:footnote>
  <w:footnote w:type="continuationSeparator" w:id="0">
    <w:p w14:paraId="01743115" w14:textId="77777777" w:rsidR="002B34EA" w:rsidRDefault="002B34EA" w:rsidP="000C4BC7">
      <w:r>
        <w:continuationSeparator/>
      </w:r>
    </w:p>
  </w:footnote>
  <w:footnote w:id="1">
    <w:p w14:paraId="0207BF20" w14:textId="77777777" w:rsidR="000C4BC7" w:rsidRDefault="000C4BC7" w:rsidP="000C4BC7">
      <w:pPr>
        <w:pStyle w:val="FootnoteText"/>
        <w:ind w:left="180" w:hanging="180"/>
        <w:rPr>
          <w:rFonts w:ascii="Times New Roman" w:hAnsi="Times New Roman"/>
          <w:sz w:val="18"/>
          <w:szCs w:val="18"/>
        </w:rPr>
      </w:pPr>
      <w:r w:rsidRPr="00150612">
        <w:rPr>
          <w:rStyle w:val="FootnoteReference"/>
          <w:sz w:val="18"/>
          <w:szCs w:val="18"/>
          <w:vertAlign w:val="superscript"/>
        </w:rPr>
        <w:footnoteRef/>
      </w:r>
      <w:r w:rsidRPr="00150612">
        <w:rPr>
          <w:rFonts w:ascii="Times New Roman" w:hAnsi="Times New Roman"/>
          <w:sz w:val="18"/>
          <w:szCs w:val="18"/>
          <w:vertAlign w:val="superscript"/>
        </w:rPr>
        <w:t>/</w:t>
      </w:r>
      <w:r w:rsidRPr="00150612">
        <w:rPr>
          <w:rFonts w:ascii="Times New Roman" w:hAnsi="Times New Roman"/>
          <w:sz w:val="18"/>
          <w:szCs w:val="18"/>
        </w:rPr>
        <w:t xml:space="preserve"> </w:t>
      </w:r>
      <w:r>
        <w:rPr>
          <w:rFonts w:ascii="Times New Roman" w:hAnsi="Times New Roman"/>
          <w:sz w:val="18"/>
          <w:szCs w:val="18"/>
        </w:rPr>
        <w:t xml:space="preserve"> </w:t>
      </w:r>
      <w:hyperlink r:id="rId1" w:history="1">
        <w:r w:rsidRPr="00150612">
          <w:rPr>
            <w:rStyle w:val="Hyperlink"/>
            <w:rFonts w:ascii="Times New Roman" w:hAnsi="Times New Roman"/>
            <w:sz w:val="18"/>
            <w:szCs w:val="18"/>
          </w:rPr>
          <w:t>https://statisticsguyana.gov.gy/subjects/national-accounts-and-production/contribution-gross-domestic-product-guyana-2012-to-2021/</w:t>
        </w:r>
      </w:hyperlink>
    </w:p>
    <w:p w14:paraId="7E3BE1F3" w14:textId="77777777" w:rsidR="000C4BC7" w:rsidRPr="00150612" w:rsidRDefault="000C4BC7" w:rsidP="000C4BC7">
      <w:pPr>
        <w:pStyle w:val="FootnoteText"/>
        <w:ind w:left="180" w:hanging="180"/>
        <w:rPr>
          <w:rFonts w:ascii="Times New Roman" w:hAnsi="Times New Roman"/>
          <w:sz w:val="18"/>
          <w:szCs w:val="18"/>
        </w:rPr>
      </w:pPr>
    </w:p>
  </w:footnote>
  <w:footnote w:id="2">
    <w:p w14:paraId="5A581160" w14:textId="77777777" w:rsidR="000C4BC7" w:rsidRDefault="000C4BC7" w:rsidP="000C4BC7">
      <w:pPr>
        <w:pStyle w:val="FootnoteText"/>
        <w:rPr>
          <w:rFonts w:ascii="Times New Roman" w:hAnsi="Times New Roman"/>
          <w:sz w:val="18"/>
          <w:szCs w:val="18"/>
        </w:rPr>
      </w:pPr>
      <w:r w:rsidRPr="00D326F4">
        <w:rPr>
          <w:rStyle w:val="FootnoteReference"/>
          <w:sz w:val="18"/>
          <w:szCs w:val="18"/>
          <w:vertAlign w:val="superscript"/>
        </w:rPr>
        <w:footnoteRef/>
      </w:r>
      <w:proofErr w:type="gramStart"/>
      <w:r w:rsidRPr="00D326F4">
        <w:rPr>
          <w:rFonts w:ascii="Times New Roman" w:hAnsi="Times New Roman"/>
          <w:sz w:val="18"/>
          <w:szCs w:val="18"/>
          <w:vertAlign w:val="superscript"/>
        </w:rPr>
        <w:t>/</w:t>
      </w:r>
      <w:r w:rsidRPr="00D326F4">
        <w:rPr>
          <w:rFonts w:ascii="Times New Roman" w:hAnsi="Times New Roman"/>
          <w:sz w:val="18"/>
          <w:szCs w:val="18"/>
        </w:rPr>
        <w:t xml:space="preserve"> </w:t>
      </w:r>
      <w:r>
        <w:rPr>
          <w:rFonts w:ascii="Times New Roman" w:hAnsi="Times New Roman"/>
          <w:sz w:val="18"/>
          <w:szCs w:val="18"/>
        </w:rPr>
        <w:t xml:space="preserve"> </w:t>
      </w:r>
      <w:r w:rsidRPr="00D326F4">
        <w:rPr>
          <w:rFonts w:ascii="Times New Roman" w:hAnsi="Times New Roman"/>
          <w:sz w:val="18"/>
          <w:szCs w:val="18"/>
        </w:rPr>
        <w:t>Figures</w:t>
      </w:r>
      <w:proofErr w:type="gramEnd"/>
      <w:r w:rsidRPr="00D326F4">
        <w:rPr>
          <w:rFonts w:ascii="Times New Roman" w:hAnsi="Times New Roman"/>
          <w:sz w:val="18"/>
          <w:szCs w:val="18"/>
        </w:rPr>
        <w:t xml:space="preserve"> from the Bureau of Statistics latest report, quarter 3 of 2021</w:t>
      </w:r>
      <w:r>
        <w:rPr>
          <w:rFonts w:ascii="Times New Roman" w:hAnsi="Times New Roman"/>
          <w:sz w:val="18"/>
          <w:szCs w:val="18"/>
        </w:rPr>
        <w:t>.</w:t>
      </w:r>
    </w:p>
    <w:p w14:paraId="7F9F8895" w14:textId="77777777" w:rsidR="000C4BC7" w:rsidRPr="00D326F4" w:rsidRDefault="000C4BC7" w:rsidP="000C4BC7">
      <w:pPr>
        <w:pStyle w:val="FootnoteText"/>
        <w:rPr>
          <w:rFonts w:ascii="Times New Roman" w:hAnsi="Times New Roman"/>
          <w:sz w:val="18"/>
          <w:szCs w:val="18"/>
        </w:rPr>
      </w:pPr>
    </w:p>
  </w:footnote>
  <w:footnote w:id="3">
    <w:p w14:paraId="2647ADDF" w14:textId="77777777" w:rsidR="000C4BC7" w:rsidRPr="00166CA9" w:rsidRDefault="000C4BC7" w:rsidP="000C4BC7">
      <w:pPr>
        <w:pStyle w:val="FootnoteText"/>
        <w:ind w:left="180" w:hanging="180"/>
        <w:jc w:val="both"/>
        <w:rPr>
          <w:rFonts w:ascii="Times New Roman" w:hAnsi="Times New Roman"/>
          <w:sz w:val="18"/>
          <w:szCs w:val="18"/>
        </w:rPr>
      </w:pPr>
      <w:r w:rsidRPr="00166CA9">
        <w:rPr>
          <w:rStyle w:val="FootnoteReference"/>
          <w:sz w:val="18"/>
          <w:szCs w:val="18"/>
          <w:vertAlign w:val="superscript"/>
        </w:rPr>
        <w:footnoteRef/>
      </w:r>
      <w:proofErr w:type="gramStart"/>
      <w:r w:rsidRPr="00166CA9">
        <w:rPr>
          <w:rFonts w:ascii="Times New Roman" w:hAnsi="Times New Roman"/>
          <w:sz w:val="18"/>
          <w:szCs w:val="18"/>
          <w:vertAlign w:val="superscript"/>
        </w:rPr>
        <w:t>/</w:t>
      </w:r>
      <w:r w:rsidRPr="00166CA9">
        <w:rPr>
          <w:rFonts w:ascii="Times New Roman" w:hAnsi="Times New Roman"/>
          <w:sz w:val="18"/>
          <w:szCs w:val="18"/>
        </w:rPr>
        <w:t xml:space="preserve">  It</w:t>
      </w:r>
      <w:proofErr w:type="gramEnd"/>
      <w:r w:rsidRPr="00166CA9">
        <w:rPr>
          <w:rFonts w:ascii="Times New Roman" w:hAnsi="Times New Roman"/>
          <w:sz w:val="18"/>
          <w:szCs w:val="18"/>
        </w:rPr>
        <w:t xml:space="preserve"> was observed during an in-country Mission undertaken during April 11-14, 2022 that younger farmers under the age of 40 </w:t>
      </w:r>
      <w:r>
        <w:rPr>
          <w:rFonts w:ascii="Times New Roman" w:hAnsi="Times New Roman"/>
          <w:sz w:val="18"/>
          <w:szCs w:val="18"/>
        </w:rPr>
        <w:t xml:space="preserve"> </w:t>
      </w:r>
      <w:r w:rsidRPr="00166CA9">
        <w:rPr>
          <w:rFonts w:ascii="Times New Roman" w:hAnsi="Times New Roman"/>
          <w:sz w:val="18"/>
          <w:szCs w:val="18"/>
        </w:rPr>
        <w:t>years were primarily engaged in the production of pineapples.</w:t>
      </w:r>
    </w:p>
    <w:p w14:paraId="26E613AA" w14:textId="77777777" w:rsidR="000C4BC7" w:rsidRPr="00AC6154" w:rsidRDefault="000C4BC7" w:rsidP="000C4BC7">
      <w:pPr>
        <w:pStyle w:val="FootnoteText"/>
        <w:ind w:left="180" w:hanging="180"/>
        <w:jc w:val="both"/>
        <w:rPr>
          <w:rFonts w:ascii="Times New Roman" w:hAnsi="Times New Roman"/>
          <w:sz w:val="18"/>
          <w:szCs w:val="18"/>
          <w:vertAlign w:val="superscript"/>
        </w:rPr>
      </w:pPr>
    </w:p>
  </w:footnote>
  <w:footnote w:id="4">
    <w:p w14:paraId="638D1774" w14:textId="77777777" w:rsidR="000C4BC7" w:rsidRPr="00166CA9" w:rsidRDefault="000C4BC7" w:rsidP="000C4BC7">
      <w:pPr>
        <w:pStyle w:val="FootnoteText"/>
        <w:jc w:val="both"/>
        <w:rPr>
          <w:rFonts w:ascii="Times New Roman" w:hAnsi="Times New Roman"/>
          <w:sz w:val="18"/>
          <w:szCs w:val="18"/>
        </w:rPr>
      </w:pPr>
      <w:r w:rsidRPr="00166CA9">
        <w:rPr>
          <w:rStyle w:val="FootnoteReference"/>
          <w:sz w:val="18"/>
          <w:szCs w:val="18"/>
          <w:vertAlign w:val="superscript"/>
        </w:rPr>
        <w:footnoteRef/>
      </w:r>
      <w:proofErr w:type="gramStart"/>
      <w:r w:rsidRPr="00166CA9">
        <w:rPr>
          <w:rFonts w:ascii="Times New Roman" w:hAnsi="Times New Roman"/>
          <w:sz w:val="18"/>
          <w:szCs w:val="18"/>
          <w:vertAlign w:val="superscript"/>
        </w:rPr>
        <w:t>/</w:t>
      </w:r>
      <w:r w:rsidRPr="00166CA9">
        <w:rPr>
          <w:rFonts w:ascii="Times New Roman" w:hAnsi="Times New Roman"/>
          <w:sz w:val="18"/>
          <w:szCs w:val="18"/>
        </w:rPr>
        <w:t xml:space="preserve"> </w:t>
      </w:r>
      <w:r>
        <w:rPr>
          <w:rFonts w:ascii="Times New Roman" w:hAnsi="Times New Roman"/>
          <w:sz w:val="18"/>
          <w:szCs w:val="18"/>
        </w:rPr>
        <w:t xml:space="preserve"> </w:t>
      </w:r>
      <w:r w:rsidRPr="00166CA9">
        <w:rPr>
          <w:rFonts w:ascii="Times New Roman" w:hAnsi="Times New Roman"/>
          <w:sz w:val="18"/>
          <w:szCs w:val="18"/>
        </w:rPr>
        <w:t>In</w:t>
      </w:r>
      <w:proofErr w:type="gramEnd"/>
      <w:r w:rsidRPr="00166CA9">
        <w:rPr>
          <w:rFonts w:ascii="Times New Roman" w:hAnsi="Times New Roman"/>
          <w:sz w:val="18"/>
          <w:szCs w:val="18"/>
        </w:rPr>
        <w:t xml:space="preserve"> 2019, Guyana registered lower values in non-traditional export products such as lime, pineapples, pumpkin etc.</w:t>
      </w:r>
    </w:p>
    <w:p w14:paraId="36C9ADE9" w14:textId="77777777" w:rsidR="000C4BC7" w:rsidRPr="00166CA9" w:rsidRDefault="000C4BC7" w:rsidP="000C4BC7">
      <w:pPr>
        <w:pStyle w:val="FootnoteText"/>
        <w:jc w:val="both"/>
        <w:rPr>
          <w:rFonts w:ascii="Times New Roman" w:hAnsi="Times New Roman"/>
          <w:sz w:val="18"/>
          <w:szCs w:val="18"/>
        </w:rPr>
      </w:pPr>
    </w:p>
  </w:footnote>
  <w:footnote w:id="5">
    <w:p w14:paraId="72218547" w14:textId="77777777" w:rsidR="000C4BC7" w:rsidRPr="00AC6154" w:rsidRDefault="000C4BC7" w:rsidP="000C4BC7">
      <w:pPr>
        <w:pStyle w:val="FootnoteText"/>
        <w:ind w:left="180" w:hanging="180"/>
        <w:jc w:val="both"/>
        <w:rPr>
          <w:rFonts w:ascii="Times New Roman" w:hAnsi="Times New Roman"/>
          <w:sz w:val="18"/>
          <w:szCs w:val="18"/>
        </w:rPr>
      </w:pPr>
      <w:r w:rsidRPr="00AC6154">
        <w:rPr>
          <w:rFonts w:ascii="Times New Roman" w:hAnsi="Times New Roman"/>
          <w:sz w:val="18"/>
          <w:szCs w:val="18"/>
          <w:vertAlign w:val="superscript"/>
        </w:rPr>
        <w:t>5</w:t>
      </w:r>
      <w:proofErr w:type="gramStart"/>
      <w:r w:rsidRPr="00AC6154">
        <w:rPr>
          <w:rFonts w:ascii="Times New Roman" w:hAnsi="Times New Roman"/>
          <w:sz w:val="18"/>
          <w:szCs w:val="18"/>
          <w:vertAlign w:val="superscript"/>
        </w:rPr>
        <w:t xml:space="preserve">/ </w:t>
      </w:r>
      <w:r>
        <w:rPr>
          <w:rFonts w:ascii="Times New Roman" w:hAnsi="Times New Roman"/>
          <w:sz w:val="18"/>
          <w:szCs w:val="18"/>
          <w:vertAlign w:val="superscript"/>
        </w:rPr>
        <w:t xml:space="preserve"> </w:t>
      </w:r>
      <w:r w:rsidRPr="00AC6154">
        <w:rPr>
          <w:rFonts w:ascii="Times New Roman" w:hAnsi="Times New Roman"/>
          <w:sz w:val="18"/>
          <w:szCs w:val="18"/>
        </w:rPr>
        <w:t>The</w:t>
      </w:r>
      <w:proofErr w:type="gramEnd"/>
      <w:r w:rsidRPr="00AC6154">
        <w:rPr>
          <w:rFonts w:ascii="Times New Roman" w:hAnsi="Times New Roman"/>
          <w:sz w:val="18"/>
          <w:szCs w:val="18"/>
        </w:rPr>
        <w:t xml:space="preserve"> 100 shade houses project is a government initiative aimed at enhancing youth involvement in agriculture while boosting the production of high valued crops such as broccoli, cauliflower, and carrots.</w:t>
      </w:r>
    </w:p>
    <w:p w14:paraId="0B02F97F" w14:textId="77777777" w:rsidR="000C4BC7" w:rsidRPr="00AC6154" w:rsidRDefault="000C4BC7" w:rsidP="000C4BC7">
      <w:pPr>
        <w:pStyle w:val="FootnoteText"/>
        <w:ind w:left="180" w:hanging="180"/>
        <w:jc w:val="both"/>
        <w:rPr>
          <w:rFonts w:ascii="Times New Roman" w:hAnsi="Times New Roman"/>
          <w:sz w:val="18"/>
          <w:szCs w:val="18"/>
        </w:rPr>
      </w:pPr>
    </w:p>
  </w:footnote>
  <w:footnote w:id="6">
    <w:p w14:paraId="0C2A24A1" w14:textId="77777777" w:rsidR="000C4BC7" w:rsidRPr="00AC6154" w:rsidRDefault="000C4BC7" w:rsidP="000C4BC7">
      <w:pPr>
        <w:pStyle w:val="FootnoteText"/>
        <w:ind w:left="180" w:hanging="180"/>
        <w:jc w:val="both"/>
        <w:rPr>
          <w:rFonts w:ascii="Times New Roman" w:hAnsi="Times New Roman"/>
          <w:sz w:val="18"/>
          <w:szCs w:val="18"/>
        </w:rPr>
      </w:pPr>
      <w:r w:rsidRPr="00AC6154">
        <w:rPr>
          <w:rStyle w:val="FootnoteReference"/>
          <w:sz w:val="18"/>
          <w:szCs w:val="18"/>
          <w:vertAlign w:val="superscript"/>
        </w:rPr>
        <w:footnoteRef/>
      </w:r>
      <w:r w:rsidRPr="00AC6154">
        <w:rPr>
          <w:rFonts w:ascii="Times New Roman" w:hAnsi="Times New Roman"/>
          <w:sz w:val="18"/>
          <w:szCs w:val="18"/>
          <w:vertAlign w:val="superscript"/>
        </w:rPr>
        <w:t>/</w:t>
      </w:r>
      <w:r w:rsidRPr="00AC6154">
        <w:rPr>
          <w:rFonts w:ascii="Times New Roman" w:hAnsi="Times New Roman"/>
          <w:sz w:val="18"/>
          <w:szCs w:val="18"/>
        </w:rPr>
        <w:t xml:space="preserve"> Food Safety refers to handling, </w:t>
      </w:r>
      <w:proofErr w:type="gramStart"/>
      <w:r w:rsidRPr="00AC6154">
        <w:rPr>
          <w:rFonts w:ascii="Times New Roman" w:hAnsi="Times New Roman"/>
          <w:sz w:val="18"/>
          <w:szCs w:val="18"/>
        </w:rPr>
        <w:t>preparing</w:t>
      </w:r>
      <w:proofErr w:type="gramEnd"/>
      <w:r w:rsidRPr="00AC6154">
        <w:rPr>
          <w:rFonts w:ascii="Times New Roman" w:hAnsi="Times New Roman"/>
          <w:sz w:val="18"/>
          <w:szCs w:val="18"/>
        </w:rPr>
        <w:t xml:space="preserve"> and storing food in a way to best reduce the risk of individuals becoming sick from foodborne illnesses. Food safety is a global concern that covers a variety of different areas of everyday life. The principles of food safety aim to prevent food from becoming contaminated and causing food poisoning.</w:t>
      </w:r>
    </w:p>
    <w:p w14:paraId="47CBDD66" w14:textId="77777777" w:rsidR="000C4BC7" w:rsidRPr="00AC6154" w:rsidRDefault="000C4BC7" w:rsidP="000C4BC7">
      <w:pPr>
        <w:pStyle w:val="FootnoteText"/>
        <w:ind w:left="180" w:hanging="180"/>
        <w:jc w:val="both"/>
        <w:rPr>
          <w:sz w:val="18"/>
          <w:szCs w:val="18"/>
        </w:rPr>
      </w:pPr>
    </w:p>
  </w:footnote>
  <w:footnote w:id="7">
    <w:p w14:paraId="72F972A2" w14:textId="77777777" w:rsidR="000C4BC7" w:rsidRPr="00AC6154" w:rsidRDefault="000C4BC7" w:rsidP="000C4BC7">
      <w:pPr>
        <w:pStyle w:val="FootnoteText"/>
        <w:ind w:left="180" w:hanging="180"/>
        <w:jc w:val="both"/>
        <w:rPr>
          <w:rFonts w:ascii="Times New Roman" w:hAnsi="Times New Roman"/>
          <w:sz w:val="18"/>
          <w:szCs w:val="18"/>
        </w:rPr>
      </w:pPr>
      <w:r w:rsidRPr="00AC6154">
        <w:rPr>
          <w:rStyle w:val="FootnoteReference"/>
          <w:sz w:val="18"/>
          <w:szCs w:val="18"/>
          <w:vertAlign w:val="superscript"/>
        </w:rPr>
        <w:footnoteRef/>
      </w:r>
      <w:proofErr w:type="gramStart"/>
      <w:r w:rsidRPr="00AC6154">
        <w:rPr>
          <w:rFonts w:ascii="Times New Roman" w:hAnsi="Times New Roman"/>
          <w:sz w:val="18"/>
          <w:szCs w:val="18"/>
          <w:vertAlign w:val="superscript"/>
        </w:rPr>
        <w:t>/</w:t>
      </w:r>
      <w:r>
        <w:rPr>
          <w:rFonts w:ascii="Times New Roman" w:hAnsi="Times New Roman"/>
          <w:sz w:val="18"/>
          <w:szCs w:val="18"/>
          <w:vertAlign w:val="superscript"/>
        </w:rPr>
        <w:t xml:space="preserve"> </w:t>
      </w:r>
      <w:r w:rsidRPr="00AC6154">
        <w:rPr>
          <w:rFonts w:ascii="Times New Roman" w:hAnsi="Times New Roman"/>
          <w:sz w:val="18"/>
          <w:szCs w:val="18"/>
          <w:vertAlign w:val="superscript"/>
        </w:rPr>
        <w:t xml:space="preserve"> </w:t>
      </w:r>
      <w:r w:rsidRPr="00AC6154">
        <w:rPr>
          <w:rFonts w:ascii="Times New Roman" w:hAnsi="Times New Roman"/>
          <w:sz w:val="18"/>
          <w:szCs w:val="18"/>
        </w:rPr>
        <w:t>SPS</w:t>
      </w:r>
      <w:proofErr w:type="gramEnd"/>
      <w:r w:rsidRPr="00AC6154">
        <w:rPr>
          <w:rFonts w:ascii="Times New Roman" w:hAnsi="Times New Roman"/>
          <w:sz w:val="18"/>
          <w:szCs w:val="18"/>
        </w:rPr>
        <w:t xml:space="preserve"> can be seen as a sub-category of technical regulations in that they may also take the form of regulations or standards, laying down product-related requirements.  However, the sub-category of SPS measures is defined according to the purpose of the measure, namely the protection of human or animal health against risks in food or feed; the protection of human, </w:t>
      </w:r>
      <w:proofErr w:type="gramStart"/>
      <w:r w:rsidRPr="00AC6154">
        <w:rPr>
          <w:rFonts w:ascii="Times New Roman" w:hAnsi="Times New Roman"/>
          <w:sz w:val="18"/>
          <w:szCs w:val="18"/>
        </w:rPr>
        <w:t>animal</w:t>
      </w:r>
      <w:proofErr w:type="gramEnd"/>
      <w:r w:rsidRPr="00AC6154">
        <w:rPr>
          <w:rFonts w:ascii="Times New Roman" w:hAnsi="Times New Roman"/>
          <w:sz w:val="18"/>
          <w:szCs w:val="18"/>
        </w:rPr>
        <w:t xml:space="preserve"> or plant health against risks from pests or diseases of plants or animals; and the protection of the territory of a country against other damage from the entry, establishment or spread of pests. This sub-category of technical regulations is often addressed separately in trade agreements.</w:t>
      </w:r>
    </w:p>
    <w:p w14:paraId="66AFB639" w14:textId="77777777" w:rsidR="000C4BC7" w:rsidRPr="00AC6154" w:rsidRDefault="000C4BC7" w:rsidP="000C4BC7">
      <w:pPr>
        <w:pStyle w:val="FootnoteText"/>
        <w:jc w:val="both"/>
        <w:rPr>
          <w:rFonts w:ascii="Times New Roman" w:hAnsi="Times New Roman"/>
          <w:sz w:val="18"/>
          <w:szCs w:val="18"/>
          <w:lang w:val="en-029"/>
        </w:rPr>
      </w:pPr>
    </w:p>
  </w:footnote>
  <w:footnote w:id="8">
    <w:p w14:paraId="7DEE8ED5" w14:textId="77777777" w:rsidR="000C4BC7" w:rsidRPr="00AC6154" w:rsidRDefault="000C4BC7" w:rsidP="000C4BC7">
      <w:pPr>
        <w:pStyle w:val="FootnoteText"/>
        <w:ind w:left="180" w:hanging="180"/>
        <w:jc w:val="both"/>
        <w:rPr>
          <w:rFonts w:ascii="Times New Roman" w:hAnsi="Times New Roman"/>
          <w:sz w:val="18"/>
          <w:szCs w:val="18"/>
        </w:rPr>
      </w:pPr>
      <w:r w:rsidRPr="00AC6154">
        <w:rPr>
          <w:rStyle w:val="FootnoteReference"/>
          <w:sz w:val="18"/>
          <w:szCs w:val="18"/>
          <w:vertAlign w:val="superscript"/>
        </w:rPr>
        <w:footnoteRef/>
      </w:r>
      <w:r w:rsidRPr="00AC6154">
        <w:rPr>
          <w:rFonts w:ascii="Times New Roman" w:hAnsi="Times New Roman"/>
          <w:sz w:val="18"/>
          <w:szCs w:val="18"/>
          <w:vertAlign w:val="superscript"/>
        </w:rPr>
        <w:t xml:space="preserve">/ </w:t>
      </w:r>
      <w:r w:rsidRPr="00AC6154">
        <w:rPr>
          <w:rFonts w:ascii="Times New Roman" w:hAnsi="Times New Roman"/>
          <w:sz w:val="18"/>
          <w:szCs w:val="18"/>
        </w:rPr>
        <w:t xml:space="preserve">TBT is the term used to refer to technical regulations and standards. These measures lay down substantive requirements relating to product characteristics or their related processes and production methods. They also include labelling requirements applicable to products, </w:t>
      </w:r>
      <w:proofErr w:type="gramStart"/>
      <w:r w:rsidRPr="00AC6154">
        <w:rPr>
          <w:rFonts w:ascii="Times New Roman" w:hAnsi="Times New Roman"/>
          <w:sz w:val="18"/>
          <w:szCs w:val="18"/>
        </w:rPr>
        <w:t>processes</w:t>
      </w:r>
      <w:proofErr w:type="gramEnd"/>
      <w:r w:rsidRPr="00AC6154">
        <w:rPr>
          <w:rFonts w:ascii="Times New Roman" w:hAnsi="Times New Roman"/>
          <w:sz w:val="18"/>
          <w:szCs w:val="18"/>
        </w:rPr>
        <w:t xml:space="preserve"> and production methods. The difference between technical regulations and standards is that the former are mandatory while the latter are not.</w:t>
      </w:r>
    </w:p>
    <w:p w14:paraId="43EA7152" w14:textId="77777777" w:rsidR="000C4BC7" w:rsidRPr="00AC6154" w:rsidRDefault="000C4BC7" w:rsidP="000C4BC7">
      <w:pPr>
        <w:pStyle w:val="FootnoteText"/>
        <w:jc w:val="both"/>
        <w:rPr>
          <w:rFonts w:ascii="Times New Roman" w:hAnsi="Times New Roman"/>
          <w:sz w:val="18"/>
          <w:szCs w:val="18"/>
          <w:lang w:val="en-029"/>
        </w:rPr>
      </w:pPr>
    </w:p>
  </w:footnote>
  <w:footnote w:id="9">
    <w:p w14:paraId="140A3F04" w14:textId="77777777" w:rsidR="000C4BC7" w:rsidRPr="00AC6154" w:rsidRDefault="000C4BC7" w:rsidP="000C4BC7">
      <w:pPr>
        <w:pStyle w:val="FootnoteText"/>
        <w:jc w:val="both"/>
        <w:rPr>
          <w:rFonts w:ascii="Times New Roman" w:hAnsi="Times New Roman"/>
          <w:sz w:val="18"/>
          <w:szCs w:val="18"/>
        </w:rPr>
      </w:pPr>
      <w:r w:rsidRPr="00AC6154">
        <w:rPr>
          <w:rStyle w:val="FootnoteReference"/>
          <w:sz w:val="18"/>
          <w:szCs w:val="18"/>
          <w:vertAlign w:val="superscript"/>
        </w:rPr>
        <w:footnoteRef/>
      </w:r>
      <w:proofErr w:type="gramStart"/>
      <w:r w:rsidRPr="00AC6154">
        <w:rPr>
          <w:rFonts w:ascii="Times New Roman" w:hAnsi="Times New Roman"/>
          <w:sz w:val="18"/>
          <w:szCs w:val="18"/>
          <w:vertAlign w:val="superscript"/>
        </w:rPr>
        <w:t>/</w:t>
      </w:r>
      <w:r>
        <w:rPr>
          <w:rFonts w:ascii="Times New Roman" w:hAnsi="Times New Roman"/>
          <w:sz w:val="18"/>
          <w:szCs w:val="18"/>
          <w:vertAlign w:val="superscript"/>
        </w:rPr>
        <w:t xml:space="preserve"> </w:t>
      </w:r>
      <w:r w:rsidRPr="00AC6154">
        <w:rPr>
          <w:rFonts w:ascii="Times New Roman" w:hAnsi="Times New Roman"/>
          <w:sz w:val="18"/>
          <w:szCs w:val="18"/>
        </w:rPr>
        <w:t xml:space="preserve"> Budget</w:t>
      </w:r>
      <w:proofErr w:type="gramEnd"/>
      <w:r w:rsidRPr="00AC6154">
        <w:rPr>
          <w:rFonts w:ascii="Times New Roman" w:hAnsi="Times New Roman"/>
          <w:sz w:val="18"/>
          <w:szCs w:val="18"/>
        </w:rPr>
        <w:t xml:space="preserve"> 2022 – Steadfast Against All Challenges, Resolute in Building our One Guyana </w:t>
      </w:r>
    </w:p>
    <w:p w14:paraId="68204954" w14:textId="77777777" w:rsidR="000C4BC7" w:rsidRPr="00AC6154" w:rsidRDefault="000C4BC7" w:rsidP="000C4BC7">
      <w:pPr>
        <w:pStyle w:val="FootnoteText"/>
        <w:jc w:val="both"/>
        <w:rPr>
          <w:rFonts w:ascii="Times New Roman" w:hAnsi="Times New Roman"/>
          <w:sz w:val="18"/>
          <w:szCs w:val="18"/>
        </w:rPr>
      </w:pPr>
    </w:p>
  </w:footnote>
  <w:footnote w:id="10">
    <w:p w14:paraId="39AA034B" w14:textId="77777777" w:rsidR="000C4BC7" w:rsidRPr="00AC6154" w:rsidRDefault="000C4BC7" w:rsidP="000C4BC7">
      <w:pPr>
        <w:pStyle w:val="FootnoteText"/>
        <w:ind w:left="180" w:hanging="180"/>
        <w:jc w:val="both"/>
        <w:rPr>
          <w:vertAlign w:val="superscript"/>
        </w:rPr>
      </w:pPr>
      <w:r w:rsidRPr="00AC6154">
        <w:rPr>
          <w:rStyle w:val="FootnoteReference"/>
          <w:sz w:val="18"/>
          <w:szCs w:val="18"/>
          <w:vertAlign w:val="superscript"/>
        </w:rPr>
        <w:footnoteRef/>
      </w:r>
      <w:r w:rsidRPr="00AC6154">
        <w:rPr>
          <w:rFonts w:ascii="Times New Roman" w:hAnsi="Times New Roman"/>
          <w:sz w:val="18"/>
          <w:szCs w:val="18"/>
          <w:vertAlign w:val="superscript"/>
        </w:rPr>
        <w:t xml:space="preserve">/ </w:t>
      </w:r>
      <w:r w:rsidRPr="00AC6154">
        <w:rPr>
          <w:rFonts w:ascii="Times New Roman" w:hAnsi="Times New Roman"/>
          <w:sz w:val="18"/>
          <w:szCs w:val="18"/>
        </w:rPr>
        <w:t>GLOBAL G.A.P. is a farm assurance programme, translating consumer requirements into Good Agricultural Practice (GAP). This programme consists of one of the most widely used standard ‘Integrated Farm Assurance (IFA)’ which is applicable for inter alia, vegetables and livestock and is voluntary in nature comprising of over 200,000 producers in 134 countries.</w:t>
      </w:r>
    </w:p>
  </w:footnote>
  <w:footnote w:id="11">
    <w:p w14:paraId="4A4D1DAD" w14:textId="77777777" w:rsidR="000C4BC7" w:rsidRPr="00975CA0" w:rsidRDefault="000C4BC7" w:rsidP="000C4BC7">
      <w:pPr>
        <w:pStyle w:val="FootnoteText"/>
        <w:rPr>
          <w:rFonts w:ascii="Times New Roman" w:hAnsi="Times New Roman"/>
          <w:sz w:val="18"/>
          <w:szCs w:val="18"/>
        </w:rPr>
      </w:pPr>
      <w:r w:rsidRPr="00975CA0">
        <w:rPr>
          <w:rStyle w:val="FootnoteReference"/>
          <w:sz w:val="18"/>
          <w:szCs w:val="18"/>
          <w:vertAlign w:val="superscript"/>
        </w:rPr>
        <w:footnoteRef/>
      </w:r>
      <w:r w:rsidRPr="00975CA0">
        <w:rPr>
          <w:rFonts w:ascii="Times New Roman" w:hAnsi="Times New Roman"/>
          <w:sz w:val="18"/>
          <w:szCs w:val="18"/>
          <w:vertAlign w:val="superscript"/>
        </w:rPr>
        <w:t xml:space="preserve">/  </w:t>
      </w:r>
      <w:hyperlink r:id="rId2" w:history="1">
        <w:r w:rsidRPr="00975CA0">
          <w:rPr>
            <w:rStyle w:val="Hyperlink"/>
            <w:rFonts w:ascii="Times New Roman" w:hAnsi="Times New Roman"/>
            <w:sz w:val="18"/>
            <w:szCs w:val="18"/>
          </w:rPr>
          <w:t>GFSA: Promoting food safety through standards – Department of Public Information, Guyana (dpi.gov.gy)</w:t>
        </w:r>
      </w:hyperlink>
    </w:p>
    <w:p w14:paraId="0B784FFD" w14:textId="77777777" w:rsidR="000C4BC7" w:rsidRPr="00975CA0" w:rsidRDefault="000C4BC7" w:rsidP="000C4BC7">
      <w:pPr>
        <w:pStyle w:val="FootnoteText"/>
        <w:rPr>
          <w:rFonts w:ascii="Times New Roman" w:hAnsi="Times New Roman"/>
          <w:sz w:val="18"/>
          <w:szCs w:val="18"/>
        </w:rPr>
      </w:pPr>
    </w:p>
  </w:footnote>
  <w:footnote w:id="12">
    <w:p w14:paraId="21A16418" w14:textId="77777777" w:rsidR="000C4BC7" w:rsidRPr="00975CA0" w:rsidRDefault="000C4BC7" w:rsidP="000C4BC7">
      <w:pPr>
        <w:pStyle w:val="FootnoteText"/>
        <w:ind w:left="270" w:hanging="270"/>
        <w:jc w:val="both"/>
        <w:rPr>
          <w:rFonts w:ascii="Times New Roman" w:hAnsi="Times New Roman"/>
          <w:sz w:val="18"/>
          <w:szCs w:val="18"/>
        </w:rPr>
      </w:pPr>
      <w:r w:rsidRPr="00975CA0">
        <w:rPr>
          <w:rStyle w:val="FootnoteReference"/>
          <w:sz w:val="18"/>
          <w:szCs w:val="18"/>
          <w:vertAlign w:val="superscript"/>
        </w:rPr>
        <w:footnoteRef/>
      </w:r>
      <w:r w:rsidRPr="00975CA0">
        <w:rPr>
          <w:rFonts w:ascii="Times New Roman" w:hAnsi="Times New Roman"/>
          <w:sz w:val="18"/>
          <w:szCs w:val="18"/>
          <w:vertAlign w:val="superscript"/>
        </w:rPr>
        <w:t>/</w:t>
      </w:r>
      <w:r w:rsidRPr="00975CA0">
        <w:rPr>
          <w:rFonts w:ascii="Times New Roman" w:hAnsi="Times New Roman"/>
          <w:sz w:val="18"/>
          <w:szCs w:val="18"/>
        </w:rPr>
        <w:t xml:space="preserve"> The terms "food or food products” refer to any substance or product, whether processed, partially processed, unprocessed, intended to be or reasonably expected to be ingested by humans and includes drink, chewing gum and any substance, including water, intentionally incorporated into the food during its manufacture, preparation or treatment but does not include.</w:t>
      </w:r>
    </w:p>
    <w:p w14:paraId="4789B5A0" w14:textId="77777777" w:rsidR="000C4BC7" w:rsidRPr="00975CA0" w:rsidRDefault="000C4BC7" w:rsidP="000C4BC7">
      <w:pPr>
        <w:pStyle w:val="FootnoteText"/>
        <w:ind w:left="180" w:hanging="180"/>
        <w:jc w:val="both"/>
        <w:rPr>
          <w:rFonts w:ascii="Times New Roman" w:hAnsi="Times New Roman"/>
          <w:sz w:val="18"/>
          <w:szCs w:val="18"/>
        </w:rPr>
      </w:pPr>
    </w:p>
  </w:footnote>
  <w:footnote w:id="13">
    <w:p w14:paraId="09098ADA" w14:textId="77777777" w:rsidR="000C4BC7" w:rsidRPr="00975CA0" w:rsidRDefault="000C4BC7" w:rsidP="000C4BC7">
      <w:pPr>
        <w:pStyle w:val="FootnoteText"/>
        <w:tabs>
          <w:tab w:val="left" w:pos="270"/>
        </w:tabs>
        <w:ind w:left="270" w:hanging="270"/>
        <w:rPr>
          <w:rFonts w:ascii="Times New Roman" w:hAnsi="Times New Roman"/>
          <w:sz w:val="18"/>
          <w:szCs w:val="18"/>
        </w:rPr>
      </w:pPr>
      <w:r w:rsidRPr="00975CA0">
        <w:rPr>
          <w:rStyle w:val="FootnoteReference"/>
          <w:sz w:val="18"/>
          <w:szCs w:val="18"/>
          <w:vertAlign w:val="superscript"/>
        </w:rPr>
        <w:footnoteRef/>
      </w:r>
      <w:r w:rsidRPr="00975CA0">
        <w:rPr>
          <w:rFonts w:ascii="Times New Roman" w:hAnsi="Times New Roman"/>
          <w:sz w:val="18"/>
          <w:szCs w:val="18"/>
          <w:vertAlign w:val="superscript"/>
        </w:rPr>
        <w:t xml:space="preserve">/   </w:t>
      </w:r>
      <w:hyperlink r:id="rId3" w:history="1">
        <w:r w:rsidRPr="00975CA0">
          <w:rPr>
            <w:rStyle w:val="Hyperlink"/>
            <w:rFonts w:ascii="Times New Roman" w:hAnsi="Times New Roman"/>
            <w:sz w:val="18"/>
            <w:szCs w:val="18"/>
          </w:rPr>
          <w:t>Guyana’s role as Caribbean’s ‘breadbasket’ under spotlight - Guyana Chronicle</w:t>
        </w:r>
      </w:hyperlink>
      <w:r w:rsidRPr="00975CA0">
        <w:rPr>
          <w:rFonts w:ascii="Times New Roman" w:hAnsi="Times New Roman"/>
          <w:sz w:val="18"/>
          <w:szCs w:val="18"/>
        </w:rPr>
        <w:t xml:space="preserve"> </w:t>
      </w:r>
      <w:hyperlink r:id="rId4" w:history="1">
        <w:r w:rsidRPr="00975CA0">
          <w:rPr>
            <w:rStyle w:val="Hyperlink"/>
            <w:rFonts w:ascii="Times New Roman" w:hAnsi="Times New Roman"/>
            <w:sz w:val="18"/>
            <w:szCs w:val="18"/>
          </w:rPr>
          <w:t>https://today.caricom.org/2020/05/25/guyanas-role-as-caribbeans-breadbasket-under-spotlight/</w:t>
        </w:r>
      </w:hyperlink>
    </w:p>
    <w:p w14:paraId="4E208ADC" w14:textId="77777777" w:rsidR="000C4BC7" w:rsidRPr="00975CA0" w:rsidRDefault="000C4BC7" w:rsidP="000C4BC7">
      <w:pPr>
        <w:pStyle w:val="FootnoteText"/>
        <w:jc w:val="both"/>
        <w:rPr>
          <w:rFonts w:ascii="Times New Roman" w:hAnsi="Times New Roman"/>
          <w:sz w:val="18"/>
          <w:szCs w:val="18"/>
        </w:rPr>
      </w:pPr>
    </w:p>
  </w:footnote>
  <w:footnote w:id="14">
    <w:p w14:paraId="517C0691" w14:textId="77777777" w:rsidR="000C4BC7" w:rsidRPr="00975CA0" w:rsidRDefault="000C4BC7" w:rsidP="000C4BC7">
      <w:pPr>
        <w:pStyle w:val="FootnoteText"/>
        <w:ind w:left="270" w:hanging="270"/>
        <w:jc w:val="both"/>
        <w:rPr>
          <w:rStyle w:val="Hyperlink"/>
          <w:rFonts w:ascii="Times New Roman" w:hAnsi="Times New Roman"/>
          <w:sz w:val="18"/>
          <w:szCs w:val="18"/>
        </w:rPr>
      </w:pPr>
      <w:r w:rsidRPr="00975CA0">
        <w:rPr>
          <w:rStyle w:val="FootnoteReference"/>
          <w:sz w:val="18"/>
          <w:szCs w:val="18"/>
          <w:vertAlign w:val="superscript"/>
        </w:rPr>
        <w:footnoteRef/>
      </w:r>
      <w:r w:rsidRPr="00975CA0">
        <w:rPr>
          <w:rFonts w:ascii="Times New Roman" w:hAnsi="Times New Roman"/>
          <w:sz w:val="18"/>
          <w:szCs w:val="18"/>
          <w:vertAlign w:val="superscript"/>
        </w:rPr>
        <w:t xml:space="preserve">/   </w:t>
      </w:r>
      <w:hyperlink r:id="rId5" w:anchor=":~:text=Caribbean%20leaders%20are%20looking%20to%20Guyana%20as%20the,through%20investment%2C%20infrastructure%2C%20information%20and%20innovation%20in%20agriculture." w:tgtFrame="_blank" w:history="1">
        <w:r w:rsidRPr="00975CA0">
          <w:rPr>
            <w:rStyle w:val="Hyperlink"/>
            <w:rFonts w:ascii="Times New Roman" w:hAnsi="Times New Roman"/>
            <w:sz w:val="18"/>
            <w:szCs w:val="18"/>
          </w:rPr>
          <w:t>Guyana’s farmers can contribute to regional food security – President David Granger - CARICOM</w:t>
        </w:r>
      </w:hyperlink>
      <w:r w:rsidRPr="00975CA0">
        <w:rPr>
          <w:rStyle w:val="Hyperlink"/>
          <w:rFonts w:ascii="Times New Roman" w:hAnsi="Times New Roman"/>
          <w:sz w:val="18"/>
          <w:szCs w:val="18"/>
        </w:rPr>
        <w:t xml:space="preserve"> </w:t>
      </w:r>
      <w:hyperlink r:id="rId6" w:history="1">
        <w:r w:rsidRPr="00975CA0">
          <w:rPr>
            <w:rStyle w:val="Hyperlink"/>
            <w:rFonts w:ascii="Times New Roman" w:hAnsi="Times New Roman"/>
            <w:sz w:val="18"/>
            <w:szCs w:val="18"/>
          </w:rPr>
          <w:t>https://caricom.org/guyanas-farmers-can-contribute-to-regional-food-security-president-david-granger/</w:t>
        </w:r>
      </w:hyperlink>
    </w:p>
    <w:p w14:paraId="1E14D10E" w14:textId="77777777" w:rsidR="000C4BC7" w:rsidRPr="00975CA0" w:rsidRDefault="000C4BC7" w:rsidP="000C4BC7">
      <w:pPr>
        <w:pStyle w:val="FootnoteText"/>
        <w:jc w:val="both"/>
        <w:rPr>
          <w:rFonts w:ascii="Times New Roman" w:hAnsi="Times New Roman"/>
          <w:sz w:val="18"/>
          <w:szCs w:val="18"/>
        </w:rPr>
      </w:pPr>
    </w:p>
  </w:footnote>
  <w:footnote w:id="15">
    <w:p w14:paraId="1FA4BA8A" w14:textId="77777777" w:rsidR="000C4BC7" w:rsidRPr="00975CA0" w:rsidRDefault="000C4BC7" w:rsidP="000C4BC7">
      <w:pPr>
        <w:pStyle w:val="FootnoteText"/>
        <w:jc w:val="both"/>
        <w:rPr>
          <w:rFonts w:ascii="Times New Roman" w:hAnsi="Times New Roman"/>
          <w:sz w:val="18"/>
          <w:szCs w:val="18"/>
        </w:rPr>
      </w:pPr>
      <w:r w:rsidRPr="00975CA0">
        <w:rPr>
          <w:rStyle w:val="FootnoteReference"/>
          <w:sz w:val="18"/>
          <w:szCs w:val="18"/>
          <w:vertAlign w:val="superscript"/>
        </w:rPr>
        <w:footnoteRef/>
      </w:r>
      <w:r w:rsidRPr="00975CA0">
        <w:rPr>
          <w:rFonts w:ascii="Times New Roman" w:hAnsi="Times New Roman"/>
          <w:sz w:val="18"/>
          <w:szCs w:val="18"/>
          <w:vertAlign w:val="superscript"/>
        </w:rPr>
        <w:t xml:space="preserve">/    </w:t>
      </w:r>
      <w:r w:rsidRPr="00975CA0">
        <w:rPr>
          <w:rFonts w:ascii="Times New Roman" w:hAnsi="Times New Roman"/>
          <w:sz w:val="18"/>
          <w:szCs w:val="18"/>
        </w:rPr>
        <w:t>Budget 2022, Steadfast Against All Challenges, Resolute in Building Our One Guyana</w:t>
      </w:r>
    </w:p>
    <w:p w14:paraId="0D94F94E" w14:textId="77777777" w:rsidR="000C4BC7" w:rsidRPr="00DA306A" w:rsidRDefault="000C4BC7" w:rsidP="000C4BC7">
      <w:pPr>
        <w:pStyle w:val="FootnoteText"/>
        <w:jc w:val="both"/>
        <w:rPr>
          <w:rFonts w:ascii="Times New Roman" w:hAnsi="Times New Roman"/>
          <w:sz w:val="14"/>
          <w:szCs w:val="14"/>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26321"/>
    <w:multiLevelType w:val="multilevel"/>
    <w:tmpl w:val="44AA9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1B11B2"/>
    <w:multiLevelType w:val="hybridMultilevel"/>
    <w:tmpl w:val="F8462224"/>
    <w:lvl w:ilvl="0" w:tplc="156E7014">
      <w:start w:val="1"/>
      <w:numFmt w:val="lowerLetter"/>
      <w:lvlText w:val="(%1)"/>
      <w:lvlJc w:val="left"/>
      <w:pPr>
        <w:ind w:left="99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31417EB"/>
    <w:multiLevelType w:val="multilevel"/>
    <w:tmpl w:val="AA96D450"/>
    <w:lvl w:ilvl="0">
      <w:start w:val="1"/>
      <w:numFmt w:val="lowerLetter"/>
      <w:lvlText w:val="(%1)"/>
      <w:lvlJc w:val="left"/>
      <w:pPr>
        <w:tabs>
          <w:tab w:val="num" w:pos="720"/>
        </w:tabs>
        <w:ind w:left="720" w:hanging="360"/>
      </w:pPr>
      <w:rPr>
        <w:rFonts w:hint="default"/>
        <w:b w:val="0"/>
        <w:i w:val="0"/>
        <w:strike w:val="0"/>
        <w:dstrike w:val="0"/>
        <w:color w:val="000000"/>
        <w:sz w:val="21"/>
        <w:szCs w:val="21"/>
        <w:u w:val="none" w:color="000000"/>
        <w:effect w:val="none"/>
        <w:bdr w:val="none" w:sz="0" w:space="0" w:color="auto" w:frame="1"/>
        <w:vertAlign w:val="base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654555D"/>
    <w:multiLevelType w:val="multilevel"/>
    <w:tmpl w:val="8EAE2600"/>
    <w:lvl w:ilvl="0">
      <w:start w:val="1"/>
      <w:numFmt w:val="decimal"/>
      <w:lvlText w:val="%1."/>
      <w:lvlJc w:val="left"/>
      <w:pPr>
        <w:ind w:left="1080" w:hanging="720"/>
      </w:pPr>
      <w:rPr>
        <w:rFonts w:hint="default"/>
        <w:i w:val="0"/>
        <w:iCs/>
        <w:u w:val="none"/>
      </w:rPr>
    </w:lvl>
    <w:lvl w:ilvl="1">
      <w:start w:val="1"/>
      <w:numFmt w:val="decimalZero"/>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799A653B"/>
    <w:multiLevelType w:val="hybridMultilevel"/>
    <w:tmpl w:val="9106FEFC"/>
    <w:lvl w:ilvl="0" w:tplc="FFFFFFFF">
      <w:start w:val="1"/>
      <w:numFmt w:val="lowerLetter"/>
      <w:lvlText w:val="(%1)"/>
      <w:lvlJc w:val="left"/>
      <w:pPr>
        <w:ind w:left="720" w:hanging="360"/>
      </w:pPr>
      <w:rPr>
        <w:b w:val="0"/>
        <w:i w:val="0"/>
        <w:strike w:val="0"/>
        <w:dstrike w:val="0"/>
        <w:color w:val="000000"/>
        <w:sz w:val="21"/>
        <w:szCs w:val="21"/>
        <w:u w:val="none" w:color="000000"/>
        <w:effect w:val="none"/>
        <w:bdr w:val="none" w:sz="0" w:space="0" w:color="auto" w:frame="1"/>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7195501">
    <w:abstractNumId w:val="3"/>
  </w:num>
  <w:num w:numId="2" w16cid:durableId="212041265">
    <w:abstractNumId w:val="4"/>
  </w:num>
  <w:num w:numId="3" w16cid:durableId="25916147">
    <w:abstractNumId w:val="1"/>
  </w:num>
  <w:num w:numId="4" w16cid:durableId="1803108680">
    <w:abstractNumId w:val="0"/>
  </w:num>
  <w:num w:numId="5" w16cid:durableId="5497332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BC7"/>
    <w:rsid w:val="00002EFA"/>
    <w:rsid w:val="0000753C"/>
    <w:rsid w:val="00052FA2"/>
    <w:rsid w:val="00057884"/>
    <w:rsid w:val="000634FC"/>
    <w:rsid w:val="000C4BC7"/>
    <w:rsid w:val="000E3F98"/>
    <w:rsid w:val="000F019B"/>
    <w:rsid w:val="000F6EC2"/>
    <w:rsid w:val="00103FA6"/>
    <w:rsid w:val="001534F4"/>
    <w:rsid w:val="0015729D"/>
    <w:rsid w:val="001627D9"/>
    <w:rsid w:val="00165D4F"/>
    <w:rsid w:val="001B3F7F"/>
    <w:rsid w:val="001C6991"/>
    <w:rsid w:val="001D69F0"/>
    <w:rsid w:val="00212CE1"/>
    <w:rsid w:val="00246055"/>
    <w:rsid w:val="00270959"/>
    <w:rsid w:val="00274A65"/>
    <w:rsid w:val="002835CB"/>
    <w:rsid w:val="00283FD3"/>
    <w:rsid w:val="00286ADF"/>
    <w:rsid w:val="002B34EA"/>
    <w:rsid w:val="002C7AC0"/>
    <w:rsid w:val="003313D0"/>
    <w:rsid w:val="003667EC"/>
    <w:rsid w:val="00366F78"/>
    <w:rsid w:val="00383B04"/>
    <w:rsid w:val="00427E9B"/>
    <w:rsid w:val="0044206E"/>
    <w:rsid w:val="004D4996"/>
    <w:rsid w:val="004E5C5F"/>
    <w:rsid w:val="00561C29"/>
    <w:rsid w:val="00574602"/>
    <w:rsid w:val="00574AC8"/>
    <w:rsid w:val="005867AC"/>
    <w:rsid w:val="005C5BED"/>
    <w:rsid w:val="005C5F4F"/>
    <w:rsid w:val="006149F5"/>
    <w:rsid w:val="006678B2"/>
    <w:rsid w:val="0069502C"/>
    <w:rsid w:val="00756242"/>
    <w:rsid w:val="0077538A"/>
    <w:rsid w:val="007F30EB"/>
    <w:rsid w:val="008671BB"/>
    <w:rsid w:val="00891A7F"/>
    <w:rsid w:val="008A3647"/>
    <w:rsid w:val="0096683D"/>
    <w:rsid w:val="00975B48"/>
    <w:rsid w:val="00983645"/>
    <w:rsid w:val="00990200"/>
    <w:rsid w:val="00A16E82"/>
    <w:rsid w:val="00AC256A"/>
    <w:rsid w:val="00B277B8"/>
    <w:rsid w:val="00BF1B5C"/>
    <w:rsid w:val="00C249B9"/>
    <w:rsid w:val="00C625B3"/>
    <w:rsid w:val="00C71022"/>
    <w:rsid w:val="00D335A6"/>
    <w:rsid w:val="00DE1710"/>
    <w:rsid w:val="00DF4C1C"/>
    <w:rsid w:val="00EE26D8"/>
    <w:rsid w:val="00F443B5"/>
    <w:rsid w:val="00F66D51"/>
    <w:rsid w:val="00FB5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3FD44"/>
  <w15:docId w15:val="{40B4A175-AD57-4834-B278-52D053D9E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BC7"/>
    <w:pPr>
      <w:widowControl w:val="0"/>
      <w:autoSpaceDE w:val="0"/>
      <w:autoSpaceDN w:val="0"/>
      <w:adjustRightInd w:val="0"/>
      <w:spacing w:after="0" w:line="240" w:lineRule="auto"/>
    </w:pPr>
    <w:rPr>
      <w:rFonts w:ascii="Times" w:eastAsia="Times New Roman" w:hAns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16 Point,Superscript 6 Point,Superscript 6 Point + 11 pt,ftref,Знак сноски 1,referencia nota al pie,Ref,de nota al pie,Footnote Reference Superscript,Footnote symbol,BVI fnr,BVI fnr Char Car Char,ftref Char Car Char,note TESI,R"/>
    <w:link w:val="BVIfnrCharCar1CarChar"/>
    <w:uiPriority w:val="99"/>
    <w:qFormat/>
    <w:rsid w:val="000C4BC7"/>
  </w:style>
  <w:style w:type="paragraph" w:customStyle="1" w:styleId="BVIfnrCharCar1CarChar">
    <w:name w:val="BVI fnr Char Car1 Car Char"/>
    <w:aliases w:val="BVI fnr Char Car Car Char,ftref Char Car Car Char,BVI fnr Char Car Char Char Car Car Char,ftref Char Car Char Char Car Car Char,BVI fnr Char, BVI fnr Char Car Char Char Car Car Char, BVI fnr Char"/>
    <w:basedOn w:val="Normal"/>
    <w:next w:val="Normal"/>
    <w:link w:val="FootnoteReference"/>
    <w:uiPriority w:val="99"/>
    <w:rsid w:val="000C4BC7"/>
    <w:pPr>
      <w:widowControl/>
      <w:autoSpaceDE/>
      <w:autoSpaceDN/>
      <w:adjustRightInd/>
      <w:spacing w:after="160" w:line="240" w:lineRule="exact"/>
    </w:pPr>
    <w:rPr>
      <w:rFonts w:asciiTheme="minorHAnsi" w:eastAsiaTheme="minorHAnsi" w:hAnsiTheme="minorHAnsi" w:cstheme="minorBidi"/>
      <w:sz w:val="22"/>
      <w:szCs w:val="22"/>
    </w:rPr>
  </w:style>
  <w:style w:type="table" w:styleId="TableGrid">
    <w:name w:val="Table Grid"/>
    <w:basedOn w:val="TableNormal"/>
    <w:uiPriority w:val="39"/>
    <w:rsid w:val="000C4BC7"/>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C4BC7"/>
    <w:rPr>
      <w:color w:val="0000FF"/>
      <w:u w:val="single"/>
    </w:rPr>
  </w:style>
  <w:style w:type="paragraph" w:styleId="FootnoteText">
    <w:name w:val="footnote text"/>
    <w:aliases w:val="Char Char,Geneva 9,Font: Geneva 9,Boston 10,f,single space,Footnote,otnote Text,f Car Car,f Car,ft,ft1,ft2,ft3,ft4,ft5,Texto nota pie Car Car Car,Testo nota a piè di pagina Carattere Carattere, Char Char,Footnote Text Char1 Char,fn"/>
    <w:basedOn w:val="Normal"/>
    <w:link w:val="FootnoteTextChar"/>
    <w:uiPriority w:val="99"/>
    <w:qFormat/>
    <w:rsid w:val="000C4BC7"/>
    <w:rPr>
      <w:sz w:val="20"/>
      <w:szCs w:val="20"/>
    </w:rPr>
  </w:style>
  <w:style w:type="character" w:customStyle="1" w:styleId="FootnoteTextChar">
    <w:name w:val="Footnote Text Char"/>
    <w:aliases w:val="Char Char Char,Geneva 9 Char,Font: Geneva 9 Char,Boston 10 Char,f Char,single space Char,Footnote Char,otnote Text Char,f Car Car Char,f Car Char,ft Char,ft1 Char,ft2 Char,ft3 Char,ft4 Char,ft5 Char,Texto nota pie Car Car Car Char"/>
    <w:basedOn w:val="DefaultParagraphFont"/>
    <w:link w:val="FootnoteText"/>
    <w:uiPriority w:val="99"/>
    <w:rsid w:val="000C4BC7"/>
    <w:rPr>
      <w:rFonts w:ascii="Times" w:eastAsia="Times New Roman" w:hAnsi="Times" w:cs="Times New Roman"/>
      <w:sz w:val="20"/>
      <w:szCs w:val="20"/>
    </w:rPr>
  </w:style>
  <w:style w:type="paragraph" w:styleId="ListParagraph">
    <w:name w:val="List Paragraph"/>
    <w:aliases w:val="123 List Paragraph,List Paragraph1,text,Lapis Bulleted List,En tête 1,Bullets,List Paragraph (numbered (a)),Paragraphe  revu,Use Case List Paragraph,References,ReferencesCxSpLast,lp1,List_Paragraph,Multilevel para_II,Normal 2,Celula,Tasks"/>
    <w:basedOn w:val="Normal"/>
    <w:link w:val="ListParagraphChar"/>
    <w:uiPriority w:val="34"/>
    <w:qFormat/>
    <w:rsid w:val="000C4BC7"/>
    <w:pPr>
      <w:widowControl/>
      <w:autoSpaceDE/>
      <w:autoSpaceDN/>
      <w:adjustRightInd/>
      <w:ind w:left="720"/>
    </w:pPr>
    <w:rPr>
      <w:rFonts w:ascii="Times New Roman" w:hAnsi="Times New Roman"/>
    </w:rPr>
  </w:style>
  <w:style w:type="character" w:customStyle="1" w:styleId="ListParagraphChar">
    <w:name w:val="List Paragraph Char"/>
    <w:aliases w:val="123 List Paragraph Char,List Paragraph1 Char,text Char,Lapis Bulleted List Char,En tête 1 Char,Bullets Char,List Paragraph (numbered (a)) Char,Paragraphe  revu Char,Use Case List Paragraph Char,References Char,ReferencesCxSpLast Char"/>
    <w:link w:val="ListParagraph"/>
    <w:uiPriority w:val="34"/>
    <w:qFormat/>
    <w:locked/>
    <w:rsid w:val="000C4BC7"/>
    <w:rPr>
      <w:rFonts w:ascii="Times New Roman" w:eastAsia="Times New Roman" w:hAnsi="Times New Roman" w:cs="Times New Roman"/>
      <w:sz w:val="24"/>
      <w:szCs w:val="24"/>
    </w:rPr>
  </w:style>
  <w:style w:type="paragraph" w:styleId="Revision">
    <w:name w:val="Revision"/>
    <w:hidden/>
    <w:uiPriority w:val="99"/>
    <w:semiHidden/>
    <w:rsid w:val="007F30EB"/>
    <w:pPr>
      <w:spacing w:after="0" w:line="240" w:lineRule="auto"/>
    </w:pPr>
    <w:rPr>
      <w:rFonts w:ascii="Times" w:eastAsia="Times New Roman" w:hAnsi="Times" w:cs="Times New Roman"/>
      <w:sz w:val="24"/>
      <w:szCs w:val="24"/>
    </w:rPr>
  </w:style>
  <w:style w:type="character" w:styleId="CommentReference">
    <w:name w:val="annotation reference"/>
    <w:basedOn w:val="DefaultParagraphFont"/>
    <w:uiPriority w:val="99"/>
    <w:semiHidden/>
    <w:unhideWhenUsed/>
    <w:rsid w:val="0000753C"/>
    <w:rPr>
      <w:sz w:val="16"/>
      <w:szCs w:val="16"/>
    </w:rPr>
  </w:style>
  <w:style w:type="paragraph" w:styleId="CommentText">
    <w:name w:val="annotation text"/>
    <w:basedOn w:val="Normal"/>
    <w:link w:val="CommentTextChar"/>
    <w:uiPriority w:val="99"/>
    <w:unhideWhenUsed/>
    <w:rsid w:val="0000753C"/>
    <w:rPr>
      <w:sz w:val="20"/>
      <w:szCs w:val="20"/>
    </w:rPr>
  </w:style>
  <w:style w:type="character" w:customStyle="1" w:styleId="CommentTextChar">
    <w:name w:val="Comment Text Char"/>
    <w:basedOn w:val="DefaultParagraphFont"/>
    <w:link w:val="CommentText"/>
    <w:uiPriority w:val="99"/>
    <w:rsid w:val="0000753C"/>
    <w:rPr>
      <w:rFonts w:ascii="Times" w:eastAsia="Times New Roman" w:hAnsi="Times" w:cs="Times New Roman"/>
      <w:sz w:val="20"/>
      <w:szCs w:val="20"/>
    </w:rPr>
  </w:style>
  <w:style w:type="paragraph" w:styleId="CommentSubject">
    <w:name w:val="annotation subject"/>
    <w:basedOn w:val="CommentText"/>
    <w:next w:val="CommentText"/>
    <w:link w:val="CommentSubjectChar"/>
    <w:uiPriority w:val="99"/>
    <w:semiHidden/>
    <w:unhideWhenUsed/>
    <w:rsid w:val="0000753C"/>
    <w:rPr>
      <w:b/>
      <w:bCs/>
    </w:rPr>
  </w:style>
  <w:style w:type="character" w:customStyle="1" w:styleId="CommentSubjectChar">
    <w:name w:val="Comment Subject Char"/>
    <w:basedOn w:val="CommentTextChar"/>
    <w:link w:val="CommentSubject"/>
    <w:uiPriority w:val="99"/>
    <w:semiHidden/>
    <w:rsid w:val="0000753C"/>
    <w:rPr>
      <w:rFonts w:ascii="Times" w:eastAsia="Times New Roman" w:hAnsi="Times" w:cs="Times New Roman"/>
      <w:b/>
      <w:bCs/>
      <w:sz w:val="20"/>
      <w:szCs w:val="20"/>
    </w:rPr>
  </w:style>
  <w:style w:type="paragraph" w:styleId="Header">
    <w:name w:val="header"/>
    <w:basedOn w:val="Normal"/>
    <w:link w:val="HeaderChar"/>
    <w:uiPriority w:val="99"/>
    <w:unhideWhenUsed/>
    <w:rsid w:val="0000753C"/>
    <w:pPr>
      <w:tabs>
        <w:tab w:val="center" w:pos="4680"/>
        <w:tab w:val="right" w:pos="9360"/>
      </w:tabs>
    </w:pPr>
  </w:style>
  <w:style w:type="character" w:customStyle="1" w:styleId="HeaderChar">
    <w:name w:val="Header Char"/>
    <w:basedOn w:val="DefaultParagraphFont"/>
    <w:link w:val="Header"/>
    <w:uiPriority w:val="99"/>
    <w:rsid w:val="0000753C"/>
    <w:rPr>
      <w:rFonts w:ascii="Times" w:eastAsia="Times New Roman" w:hAnsi="Times" w:cs="Times New Roman"/>
      <w:sz w:val="24"/>
      <w:szCs w:val="24"/>
    </w:rPr>
  </w:style>
  <w:style w:type="paragraph" w:styleId="Footer">
    <w:name w:val="footer"/>
    <w:basedOn w:val="Normal"/>
    <w:link w:val="FooterChar"/>
    <w:uiPriority w:val="99"/>
    <w:unhideWhenUsed/>
    <w:rsid w:val="0000753C"/>
    <w:pPr>
      <w:tabs>
        <w:tab w:val="center" w:pos="4680"/>
        <w:tab w:val="right" w:pos="9360"/>
      </w:tabs>
    </w:pPr>
  </w:style>
  <w:style w:type="character" w:customStyle="1" w:styleId="FooterChar">
    <w:name w:val="Footer Char"/>
    <w:basedOn w:val="DefaultParagraphFont"/>
    <w:link w:val="Footer"/>
    <w:uiPriority w:val="99"/>
    <w:rsid w:val="0000753C"/>
    <w:rPr>
      <w:rFonts w:ascii="Times" w:eastAsia="Times New Roman" w:hAnsi="Time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guyanachronicle.com/2020/05/25/guyanas-role-as-caribbeans-breadbasket-under-spotlight/" TargetMode="External"/><Relationship Id="rId2" Type="http://schemas.openxmlformats.org/officeDocument/2006/relationships/hyperlink" Target="https://dpi.gov.gy/gfsa-promoting-food-safety-through-standards/" TargetMode="External"/><Relationship Id="rId1" Type="http://schemas.openxmlformats.org/officeDocument/2006/relationships/hyperlink" Target="https://statisticsguyana.gov.gy/subjects/national-accounts-and-production/contribution-gross-domestic-product-guyana-2012-to-2021/" TargetMode="External"/><Relationship Id="rId6" Type="http://schemas.openxmlformats.org/officeDocument/2006/relationships/hyperlink" Target="https://caricom.org/guyanas-farmers-can-contribute-to-regional-food-security-president-david-granger/" TargetMode="External"/><Relationship Id="rId5" Type="http://schemas.openxmlformats.org/officeDocument/2006/relationships/hyperlink" Target="https://caricom.org/guyanas-farmers-can-contribute-to-regional-food-security-president-david-granger/" TargetMode="External"/><Relationship Id="rId4" Type="http://schemas.openxmlformats.org/officeDocument/2006/relationships/hyperlink" Target="https://today.caricom.org/2020/05/25/guyanas-role-as-caribbeans-breadbasket-under-spotl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2201</Words>
  <Characters>12551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Sears</dc:creator>
  <cp:keywords/>
  <dc:description/>
  <cp:lastModifiedBy>Alice Castro</cp:lastModifiedBy>
  <cp:revision>2</cp:revision>
  <dcterms:created xsi:type="dcterms:W3CDTF">2024-03-18T19:52:00Z</dcterms:created>
  <dcterms:modified xsi:type="dcterms:W3CDTF">2024-03-18T19:52:00Z</dcterms:modified>
</cp:coreProperties>
</file>