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D16D" w14:textId="2B86DDE7" w:rsidR="5482F56D" w:rsidRDefault="5482F56D" w:rsidP="71C08E42">
      <w:pPr>
        <w:pStyle w:val="Default"/>
        <w:jc w:val="center"/>
        <w:rPr>
          <w:b/>
          <w:bCs/>
          <w:sz w:val="22"/>
          <w:szCs w:val="22"/>
          <w:u w:val="single"/>
        </w:rPr>
      </w:pPr>
      <w:r w:rsidRPr="71C08E42">
        <w:rPr>
          <w:b/>
          <w:bCs/>
          <w:sz w:val="22"/>
          <w:szCs w:val="22"/>
          <w:u w:val="single"/>
        </w:rPr>
        <w:t xml:space="preserve">SUPPORTING RESILIENT GREEN ENERGY (SuRGE) PROGRAMME </w:t>
      </w:r>
    </w:p>
    <w:p w14:paraId="207CF459" w14:textId="4A61A43A" w:rsidR="00B32EBB" w:rsidRPr="00D54E42" w:rsidRDefault="00B32EBB" w:rsidP="0066548F">
      <w:pPr>
        <w:pStyle w:val="Default"/>
        <w:jc w:val="center"/>
        <w:rPr>
          <w:b/>
          <w:bCs/>
          <w:sz w:val="22"/>
          <w:szCs w:val="22"/>
          <w:u w:val="single"/>
        </w:rPr>
      </w:pPr>
      <w:r w:rsidRPr="71C08E42">
        <w:rPr>
          <w:b/>
          <w:bCs/>
          <w:sz w:val="22"/>
          <w:szCs w:val="22"/>
          <w:u w:val="single"/>
        </w:rPr>
        <w:t xml:space="preserve">CONSULTANCY SERVICES FOR A </w:t>
      </w:r>
      <w:r w:rsidR="009C20C9" w:rsidRPr="71C08E42">
        <w:rPr>
          <w:b/>
          <w:bCs/>
          <w:sz w:val="22"/>
          <w:szCs w:val="22"/>
          <w:u w:val="single"/>
        </w:rPr>
        <w:t xml:space="preserve">PROGRAMME </w:t>
      </w:r>
      <w:r w:rsidR="00530CC3" w:rsidRPr="71C08E42">
        <w:rPr>
          <w:b/>
          <w:bCs/>
          <w:sz w:val="22"/>
          <w:szCs w:val="22"/>
          <w:u w:val="single"/>
        </w:rPr>
        <w:t xml:space="preserve">MANAGER </w:t>
      </w:r>
      <w:r w:rsidRPr="71C08E42">
        <w:rPr>
          <w:b/>
          <w:bCs/>
          <w:sz w:val="22"/>
          <w:szCs w:val="22"/>
          <w:u w:val="single"/>
        </w:rPr>
        <w:t xml:space="preserve">TO SUPPORT THE </w:t>
      </w:r>
      <w:r w:rsidR="00624302" w:rsidRPr="71C08E42">
        <w:rPr>
          <w:b/>
          <w:bCs/>
          <w:sz w:val="22"/>
          <w:szCs w:val="22"/>
          <w:u w:val="single"/>
        </w:rPr>
        <w:t xml:space="preserve">CARIBBEAN DEVELOPMENT BANK </w:t>
      </w:r>
      <w:r w:rsidRPr="71C08E42">
        <w:rPr>
          <w:b/>
          <w:bCs/>
          <w:sz w:val="22"/>
          <w:szCs w:val="22"/>
          <w:u w:val="single"/>
        </w:rPr>
        <w:t xml:space="preserve">WITH </w:t>
      </w:r>
      <w:r w:rsidR="009C20C9" w:rsidRPr="71C08E42">
        <w:rPr>
          <w:b/>
          <w:bCs/>
          <w:sz w:val="22"/>
          <w:szCs w:val="22"/>
          <w:u w:val="single"/>
        </w:rPr>
        <w:t>THE</w:t>
      </w:r>
      <w:r w:rsidR="2566B277" w:rsidRPr="71C08E42">
        <w:rPr>
          <w:b/>
          <w:bCs/>
          <w:sz w:val="22"/>
          <w:szCs w:val="22"/>
          <w:u w:val="single"/>
        </w:rPr>
        <w:t xml:space="preserve"> SuRGE PROGRAMME </w:t>
      </w:r>
    </w:p>
    <w:p w14:paraId="3706D833" w14:textId="56D8EF78" w:rsidR="0070495C" w:rsidRPr="00D54E42" w:rsidRDefault="0070495C" w:rsidP="32E274F0">
      <w:pPr>
        <w:spacing w:after="0" w:line="240" w:lineRule="auto"/>
        <w:ind w:left="0" w:right="0" w:firstLine="0"/>
        <w:rPr>
          <w:b/>
          <w:bCs/>
          <w:color w:val="FF0000"/>
          <w:u w:val="single" w:color="000000"/>
        </w:rPr>
      </w:pPr>
    </w:p>
    <w:p w14:paraId="78823207" w14:textId="09327888" w:rsidR="0062284D" w:rsidRPr="00D54E42" w:rsidRDefault="00BC744C" w:rsidP="0066548F">
      <w:pPr>
        <w:pStyle w:val="Default"/>
        <w:jc w:val="center"/>
        <w:rPr>
          <w:b/>
          <w:bCs/>
          <w:color w:val="auto"/>
          <w:sz w:val="22"/>
          <w:szCs w:val="22"/>
          <w:u w:val="single"/>
        </w:rPr>
      </w:pPr>
      <w:r w:rsidRPr="00D54E42">
        <w:rPr>
          <w:b/>
          <w:bCs/>
          <w:color w:val="auto"/>
          <w:sz w:val="22"/>
          <w:szCs w:val="22"/>
          <w:u w:val="single"/>
        </w:rPr>
        <w:t xml:space="preserve">DRAFT </w:t>
      </w:r>
      <w:r w:rsidR="0062284D" w:rsidRPr="00D54E42">
        <w:rPr>
          <w:b/>
          <w:bCs/>
          <w:color w:val="auto"/>
          <w:sz w:val="22"/>
          <w:szCs w:val="22"/>
          <w:u w:val="single"/>
        </w:rPr>
        <w:t>TERMS OF REFERENCE</w:t>
      </w:r>
    </w:p>
    <w:p w14:paraId="04224317" w14:textId="77777777" w:rsidR="0062284D" w:rsidRPr="00D54E42" w:rsidRDefault="0062284D" w:rsidP="0066548F">
      <w:pPr>
        <w:pStyle w:val="Default"/>
        <w:rPr>
          <w:b/>
          <w:bCs/>
          <w:color w:val="auto"/>
          <w:sz w:val="22"/>
          <w:szCs w:val="22"/>
          <w:u w:val="single"/>
        </w:rPr>
      </w:pPr>
    </w:p>
    <w:p w14:paraId="11C2B91D" w14:textId="3E2AD887" w:rsidR="0062284D" w:rsidRPr="00D54E42" w:rsidRDefault="0062284D" w:rsidP="30AC8D2B">
      <w:pPr>
        <w:pStyle w:val="ListParagraph"/>
        <w:numPr>
          <w:ilvl w:val="0"/>
          <w:numId w:val="1"/>
        </w:numPr>
        <w:spacing w:after="0" w:line="240" w:lineRule="auto"/>
        <w:ind w:left="720" w:hanging="718"/>
        <w:jc w:val="both"/>
        <w:rPr>
          <w:rFonts w:ascii="Times New Roman" w:hAnsi="Times New Roman" w:cs="Times New Roman"/>
          <w:b/>
          <w:bCs/>
          <w:u w:val="single"/>
        </w:rPr>
      </w:pPr>
      <w:r w:rsidRPr="00D54E42">
        <w:rPr>
          <w:rFonts w:ascii="Times New Roman" w:hAnsi="Times New Roman" w:cs="Times New Roman"/>
          <w:b/>
          <w:bCs/>
          <w:u w:val="single"/>
        </w:rPr>
        <w:t>BACKGROUND</w:t>
      </w:r>
    </w:p>
    <w:p w14:paraId="76444461" w14:textId="77777777" w:rsidR="0062284D" w:rsidRPr="00D54E42" w:rsidRDefault="0062284D" w:rsidP="0066548F">
      <w:pPr>
        <w:autoSpaceDE w:val="0"/>
        <w:autoSpaceDN w:val="0"/>
        <w:adjustRightInd w:val="0"/>
        <w:spacing w:after="0" w:line="240" w:lineRule="auto"/>
        <w:ind w:left="0" w:right="0" w:firstLine="0"/>
        <w:rPr>
          <w:rFonts w:eastAsiaTheme="minorEastAsia"/>
          <w:color w:val="auto"/>
          <w:lang w:val="en-US"/>
        </w:rPr>
      </w:pPr>
    </w:p>
    <w:p w14:paraId="7A52BC29" w14:textId="46D35B79" w:rsidR="009C20C9" w:rsidRPr="00D54E42" w:rsidRDefault="009C20C9" w:rsidP="009C20C9">
      <w:pPr>
        <w:spacing w:after="0" w:line="240" w:lineRule="auto"/>
        <w:rPr>
          <w:color w:val="000000" w:themeColor="text1"/>
        </w:rPr>
      </w:pPr>
      <w:r w:rsidRPr="00D54E42">
        <w:rPr>
          <w:color w:val="000000" w:themeColor="text1"/>
        </w:rPr>
        <w:t>1.01</w:t>
      </w:r>
      <w:r w:rsidRPr="00D54E42">
        <w:rPr>
          <w:color w:val="000000" w:themeColor="text1"/>
        </w:rPr>
        <w:tab/>
        <w:t xml:space="preserve">The Caribbean is among the most vulnerable regions in the world to climate change and the countries of the Region are already grappling with </w:t>
      </w:r>
      <w:r w:rsidR="002F751E" w:rsidRPr="00D54E42">
        <w:rPr>
          <w:color w:val="000000" w:themeColor="text1"/>
        </w:rPr>
        <w:t xml:space="preserve">its </w:t>
      </w:r>
      <w:r w:rsidRPr="00D54E42">
        <w:rPr>
          <w:color w:val="000000" w:themeColor="text1"/>
        </w:rPr>
        <w:t>impacts</w:t>
      </w:r>
      <w:r w:rsidR="002F751E" w:rsidRPr="00D54E42">
        <w:rPr>
          <w:color w:val="000000" w:themeColor="text1"/>
        </w:rPr>
        <w:t>, all of</w:t>
      </w:r>
      <w:r w:rsidRPr="00D54E42">
        <w:rPr>
          <w:color w:val="000000" w:themeColor="text1"/>
        </w:rPr>
        <w:t xml:space="preserve"> which are expected to intensify over the coming decades.</w:t>
      </w:r>
      <w:r w:rsidRPr="00D54E42">
        <w:rPr>
          <w:rStyle w:val="FootnoteReference"/>
          <w:color w:val="000000" w:themeColor="text1"/>
        </w:rPr>
        <w:footnoteReference w:id="2"/>
      </w:r>
      <w:r w:rsidRPr="00D54E42">
        <w:rPr>
          <w:color w:val="000000" w:themeColor="text1"/>
        </w:rPr>
        <w:t xml:space="preserve">  Further, experience has shown that the energy sectors of Caribbean countries, especially their electricity systems, are often particularly hard hit by the impacts of more frequent and more intense climate hazards.  As such, there remains an urgent need to address the low resilience of these systems through upgrading critical infrastructure such as</w:t>
      </w:r>
      <w:r w:rsidRPr="00D54E42" w:rsidDel="00E01587">
        <w:rPr>
          <w:color w:val="000000" w:themeColor="text1"/>
        </w:rPr>
        <w:t xml:space="preserve"> </w:t>
      </w:r>
      <w:r w:rsidRPr="00D54E42">
        <w:rPr>
          <w:color w:val="000000" w:themeColor="text1"/>
        </w:rPr>
        <w:t>fuel storage, generation (including renewable energy assets), transmission and low-voltage distribution systems. However, the increased cost of incorporating resilience can make the economics of infrastructure investment projects, such as transmission and distribution or renewable energy projects, challenging.</w:t>
      </w:r>
    </w:p>
    <w:p w14:paraId="530977C4" w14:textId="77777777" w:rsidR="009C20C9" w:rsidRPr="00D54E42" w:rsidRDefault="009C20C9" w:rsidP="009C20C9">
      <w:pPr>
        <w:spacing w:after="0" w:line="240" w:lineRule="auto"/>
        <w:rPr>
          <w:color w:val="000000" w:themeColor="text1"/>
        </w:rPr>
      </w:pPr>
    </w:p>
    <w:p w14:paraId="35DF9EC6" w14:textId="2D898605" w:rsidR="009C20C9" w:rsidRPr="00D54E42" w:rsidRDefault="009C20C9" w:rsidP="009C20C9">
      <w:pPr>
        <w:spacing w:after="0" w:line="240" w:lineRule="auto"/>
        <w:rPr>
          <w:color w:val="000000" w:themeColor="text1"/>
        </w:rPr>
      </w:pPr>
      <w:r w:rsidRPr="00D54E42">
        <w:rPr>
          <w:color w:val="000000" w:themeColor="text1"/>
        </w:rPr>
        <w:t>1.02</w:t>
      </w:r>
      <w:r w:rsidRPr="00D54E42">
        <w:tab/>
      </w:r>
      <w:r w:rsidRPr="00D54E42">
        <w:rPr>
          <w:color w:val="000000" w:themeColor="text1"/>
        </w:rPr>
        <w:t>In light of their climate change challenges, Caribbean countries have also made ambitious commitments to reduce greenhouse gas (GHG) emissions in line with the objectives of the Paris Agreement. Many are focusing on reducing emissions from electricity generation by adopti</w:t>
      </w:r>
      <w:r w:rsidR="00985872" w:rsidRPr="00D54E42">
        <w:rPr>
          <w:color w:val="000000" w:themeColor="text1"/>
        </w:rPr>
        <w:t>ng</w:t>
      </w:r>
      <w:r w:rsidRPr="00D54E42">
        <w:rPr>
          <w:color w:val="000000" w:themeColor="text1"/>
        </w:rPr>
        <w:t xml:space="preserve"> (utility-scale and decentralised) renewable energy (RE) and energy efficiency (EE) measures</w:t>
      </w:r>
      <w:r w:rsidR="00985872" w:rsidRPr="00D54E42">
        <w:rPr>
          <w:color w:val="000000" w:themeColor="text1"/>
        </w:rPr>
        <w:t xml:space="preserve"> towards achieving their national targets and international commitments</w:t>
      </w:r>
      <w:r w:rsidRPr="00D54E42">
        <w:rPr>
          <w:color w:val="000000" w:themeColor="text1"/>
        </w:rPr>
        <w:t>.</w:t>
      </w:r>
      <w:r w:rsidR="00985872" w:rsidRPr="00D54E42">
        <w:rPr>
          <w:color w:val="000000" w:themeColor="text1"/>
        </w:rPr>
        <w:t xml:space="preserve">  It is observed however that the pace of progress for the Borrowing Member Countries (BMCs) of the Caribbean Development Bank (CDB) is much too slow in order for them to achieve their targets and to derive the timely benefits of improved energy security and climate resilience. </w:t>
      </w:r>
    </w:p>
    <w:p w14:paraId="0D1592F4" w14:textId="77777777" w:rsidR="009C20C9" w:rsidRPr="00D54E42" w:rsidRDefault="009C20C9" w:rsidP="32E274F0">
      <w:pPr>
        <w:spacing w:after="0" w:line="240" w:lineRule="auto"/>
        <w:ind w:left="2" w:firstLine="0"/>
        <w:rPr>
          <w:color w:val="000000" w:themeColor="text1"/>
        </w:rPr>
      </w:pPr>
    </w:p>
    <w:p w14:paraId="0FB347D3" w14:textId="38E5FF90" w:rsidR="009C20C9" w:rsidRPr="00D54E42" w:rsidRDefault="009C20C9" w:rsidP="009C20C9">
      <w:pPr>
        <w:spacing w:after="0" w:line="240" w:lineRule="auto"/>
        <w:rPr>
          <w:color w:val="000000" w:themeColor="text1"/>
        </w:rPr>
      </w:pPr>
      <w:r w:rsidRPr="00D54E42">
        <w:rPr>
          <w:color w:val="000000" w:themeColor="text1"/>
        </w:rPr>
        <w:t>1.0</w:t>
      </w:r>
      <w:r w:rsidR="61884333" w:rsidRPr="00D54E42">
        <w:rPr>
          <w:color w:val="000000" w:themeColor="text1"/>
        </w:rPr>
        <w:t>3</w:t>
      </w:r>
      <w:r w:rsidRPr="00D54E42">
        <w:tab/>
      </w:r>
      <w:r w:rsidR="00985872" w:rsidRPr="00D54E42">
        <w:t>Further, the e</w:t>
      </w:r>
      <w:r w:rsidR="6E400683" w:rsidRPr="00D54E42">
        <w:rPr>
          <w:color w:val="000000" w:themeColor="text1"/>
        </w:rPr>
        <w:t xml:space="preserve">nergy sector challenges </w:t>
      </w:r>
      <w:r w:rsidRPr="00D54E42">
        <w:rPr>
          <w:color w:val="000000" w:themeColor="text1"/>
        </w:rPr>
        <w:t>are particularly pronounced for women and other vulnerable groups.  For example, the high and volatile energy prices that are common in many Caribbean countries have a disproportionately negative impact on women and socially marginalised groups. Furthermore, women are often under-represented in technical energy-related fields and energy sector decision-making, inhibiting their ability to shape and benefit from the energy transition – an otherwise significant opportunity for women’s economic empowerment in the Caribbean.  More generally, female-headed households and women-owned/-run businesses often face pronounced barriers that inhibit their ability to invest in RE/EE and climate-resilient solutions. Due to these barriers, women are not yet playing their full part in the energy transition as agents of change, leaders and innovators.</w:t>
      </w:r>
    </w:p>
    <w:p w14:paraId="30D0BBEA" w14:textId="08A69946" w:rsidR="00304F0B" w:rsidRPr="00D54E42" w:rsidRDefault="00304F0B" w:rsidP="71C08E42">
      <w:pPr>
        <w:spacing w:after="0" w:line="240" w:lineRule="auto"/>
        <w:rPr>
          <w:color w:val="auto"/>
        </w:rPr>
      </w:pPr>
    </w:p>
    <w:p w14:paraId="1213BEAF" w14:textId="4C4B27A7" w:rsidR="00985872" w:rsidRPr="006A4490" w:rsidRDefault="009C20C9" w:rsidP="71C08E42">
      <w:pPr>
        <w:pStyle w:val="paragraph"/>
        <w:spacing w:before="0" w:beforeAutospacing="0" w:after="0" w:afterAutospacing="0"/>
        <w:jc w:val="both"/>
        <w:textAlignment w:val="baseline"/>
        <w:rPr>
          <w:rFonts w:ascii="Segoe UI" w:hAnsi="Segoe UI" w:cs="Segoe UI"/>
          <w:sz w:val="18"/>
          <w:szCs w:val="18"/>
        </w:rPr>
      </w:pPr>
      <w:r w:rsidRPr="006A4490">
        <w:t>1.0</w:t>
      </w:r>
      <w:r w:rsidR="1D6171D7" w:rsidRPr="006A4490">
        <w:t>4</w:t>
      </w:r>
      <w:r>
        <w:tab/>
      </w:r>
      <w:r w:rsidR="00985872" w:rsidRPr="006A4490">
        <w:rPr>
          <w:rStyle w:val="normaltextrun"/>
          <w:sz w:val="22"/>
          <w:szCs w:val="22"/>
          <w:lang w:val="en-US"/>
        </w:rPr>
        <w:t xml:space="preserve">The Bank has determined that the current pace of the energy transition demands a radically new approach that would challenge BMCs to expedite investments while providing the appropriate and targeted support to address funding needs. In this context, the Bank revised and updated its Energy Sector Policy and Strategy, which included the </w:t>
      </w:r>
      <w:r w:rsidR="00985872" w:rsidRPr="006A4490">
        <w:rPr>
          <w:rStyle w:val="normaltextrun"/>
          <w:i/>
          <w:iCs/>
          <w:sz w:val="22"/>
          <w:szCs w:val="22"/>
          <w:lang w:val="en-US"/>
        </w:rPr>
        <w:t xml:space="preserve">Accelerated Sustainable Energy and Resilient Transition 2030 </w:t>
      </w:r>
      <w:r w:rsidR="00985872" w:rsidRPr="006A4490">
        <w:rPr>
          <w:rStyle w:val="normaltextrun"/>
          <w:sz w:val="22"/>
          <w:szCs w:val="22"/>
          <w:lang w:val="en-US"/>
        </w:rPr>
        <w:t>(ASERT-2030) framework as a key strategy for encouraging BMCs to scale-up and expedite their energy transition.  </w:t>
      </w:r>
      <w:r w:rsidR="00985872" w:rsidRPr="006A4490">
        <w:rPr>
          <w:rStyle w:val="eop"/>
          <w:sz w:val="22"/>
          <w:szCs w:val="22"/>
        </w:rPr>
        <w:t> </w:t>
      </w:r>
    </w:p>
    <w:p w14:paraId="1A870449" w14:textId="77777777" w:rsidR="00985872" w:rsidRPr="00D54E42" w:rsidRDefault="00985872" w:rsidP="00985872">
      <w:pPr>
        <w:pStyle w:val="paragraph"/>
        <w:spacing w:before="0" w:beforeAutospacing="0" w:after="0" w:afterAutospacing="0"/>
        <w:jc w:val="both"/>
        <w:textAlignment w:val="baseline"/>
        <w:rPr>
          <w:rFonts w:ascii="Segoe UI" w:hAnsi="Segoe UI" w:cs="Segoe UI"/>
          <w:color w:val="0070C0"/>
          <w:sz w:val="18"/>
          <w:szCs w:val="18"/>
        </w:rPr>
      </w:pPr>
      <w:r w:rsidRPr="00D54E42">
        <w:rPr>
          <w:rStyle w:val="eop"/>
          <w:color w:val="0070C0"/>
          <w:sz w:val="22"/>
          <w:szCs w:val="22"/>
        </w:rPr>
        <w:t> </w:t>
      </w:r>
    </w:p>
    <w:p w14:paraId="48BC2DA6" w14:textId="2343525B" w:rsidR="00985872" w:rsidRPr="006A4490" w:rsidRDefault="00985872" w:rsidP="71C08E42">
      <w:pPr>
        <w:pStyle w:val="paragraph"/>
        <w:spacing w:before="0" w:beforeAutospacing="0" w:after="0" w:afterAutospacing="0"/>
        <w:jc w:val="both"/>
        <w:textAlignment w:val="baseline"/>
        <w:rPr>
          <w:rFonts w:ascii="Segoe UI" w:hAnsi="Segoe UI" w:cs="Segoe UI"/>
          <w:sz w:val="18"/>
          <w:szCs w:val="18"/>
        </w:rPr>
      </w:pPr>
      <w:r w:rsidRPr="006A4490">
        <w:rPr>
          <w:rStyle w:val="normaltextrun"/>
          <w:sz w:val="22"/>
          <w:szCs w:val="22"/>
          <w:lang w:val="en-US"/>
        </w:rPr>
        <w:t xml:space="preserve">1.05 </w:t>
      </w:r>
      <w:r>
        <w:tab/>
      </w:r>
      <w:r w:rsidRPr="006A4490">
        <w:rPr>
          <w:rStyle w:val="normaltextrun"/>
          <w:sz w:val="22"/>
          <w:szCs w:val="22"/>
          <w:lang w:val="en-US"/>
        </w:rPr>
        <w:t xml:space="preserve">A key component of the ASERT-2030 framework is strategic partnerships for appropriate funding. The Government of Canada </w:t>
      </w:r>
      <w:r w:rsidRPr="71C08E42">
        <w:t xml:space="preserve">(represented by Global Affairs Canada or ‘GAC’) </w:t>
      </w:r>
      <w:r w:rsidRPr="006A4490">
        <w:rPr>
          <w:rStyle w:val="normaltextrun"/>
          <w:sz w:val="22"/>
          <w:szCs w:val="22"/>
          <w:lang w:val="en-US"/>
        </w:rPr>
        <w:t xml:space="preserve">has established itself as a strategic partner to support the regional energy transition. To this end, GAC responded positively to a proposal from CDB to increase the pool of concessional resources with which the Bank can support BMCs to overcome the barriers that are inhibiting the energy transition. Against this background, CDB and GAC </w:t>
      </w:r>
      <w:r w:rsidRPr="006A4490">
        <w:rPr>
          <w:rStyle w:val="normaltextrun"/>
          <w:sz w:val="22"/>
          <w:szCs w:val="22"/>
          <w:lang w:val="en-US"/>
        </w:rPr>
        <w:lastRenderedPageBreak/>
        <w:t xml:space="preserve">have developed the </w:t>
      </w:r>
      <w:r w:rsidRPr="006A4490">
        <w:rPr>
          <w:rStyle w:val="normaltextrun"/>
          <w:i/>
          <w:iCs/>
          <w:sz w:val="22"/>
          <w:szCs w:val="22"/>
          <w:lang w:val="en-US"/>
        </w:rPr>
        <w:t>Supporting Resilient Green Energy</w:t>
      </w:r>
      <w:r w:rsidRPr="006A4490">
        <w:rPr>
          <w:rStyle w:val="normaltextrun"/>
          <w:sz w:val="22"/>
          <w:szCs w:val="22"/>
          <w:lang w:val="en-US"/>
        </w:rPr>
        <w:t xml:space="preserve"> (SuRGE) Programme to be resourced with funding from GAC</w:t>
      </w:r>
      <w:r w:rsidRPr="006A4490">
        <w:rPr>
          <w:rStyle w:val="normaltextrun"/>
          <w:b/>
          <w:bCs/>
          <w:sz w:val="22"/>
          <w:szCs w:val="22"/>
          <w:lang w:val="en-US"/>
        </w:rPr>
        <w:t>.</w:t>
      </w:r>
      <w:r w:rsidRPr="006A4490">
        <w:rPr>
          <w:rStyle w:val="eop"/>
          <w:sz w:val="22"/>
          <w:szCs w:val="22"/>
        </w:rPr>
        <w:t> </w:t>
      </w:r>
    </w:p>
    <w:p w14:paraId="76301DEE" w14:textId="77777777" w:rsidR="00985872" w:rsidRPr="006A4490" w:rsidRDefault="00985872" w:rsidP="71C08E42">
      <w:pPr>
        <w:pStyle w:val="paragraph"/>
        <w:spacing w:before="0" w:beforeAutospacing="0" w:after="0" w:afterAutospacing="0"/>
        <w:jc w:val="both"/>
        <w:textAlignment w:val="baseline"/>
        <w:rPr>
          <w:rFonts w:ascii="Segoe UI" w:hAnsi="Segoe UI" w:cs="Segoe UI"/>
          <w:sz w:val="18"/>
          <w:szCs w:val="18"/>
        </w:rPr>
      </w:pPr>
      <w:r w:rsidRPr="006A4490">
        <w:rPr>
          <w:rStyle w:val="eop"/>
          <w:sz w:val="22"/>
          <w:szCs w:val="22"/>
        </w:rPr>
        <w:t> </w:t>
      </w:r>
    </w:p>
    <w:p w14:paraId="2EF9317E" w14:textId="01697A3D" w:rsidR="00985872" w:rsidRPr="006A4490" w:rsidRDefault="00985872" w:rsidP="71C08E42">
      <w:pPr>
        <w:pStyle w:val="paragraph"/>
        <w:spacing w:before="0" w:beforeAutospacing="0" w:after="0" w:afterAutospacing="0"/>
        <w:jc w:val="both"/>
        <w:textAlignment w:val="baseline"/>
        <w:rPr>
          <w:rFonts w:ascii="Segoe UI" w:hAnsi="Segoe UI" w:cs="Segoe UI"/>
          <w:sz w:val="18"/>
          <w:szCs w:val="18"/>
        </w:rPr>
      </w:pPr>
      <w:r w:rsidRPr="006A4490">
        <w:rPr>
          <w:rStyle w:val="normaltextrun"/>
          <w:sz w:val="22"/>
          <w:szCs w:val="22"/>
          <w:lang w:val="en-US"/>
        </w:rPr>
        <w:t>1.06</w:t>
      </w:r>
      <w:r>
        <w:tab/>
      </w:r>
      <w:r w:rsidRPr="006A4490">
        <w:rPr>
          <w:rStyle w:val="normaltextrun"/>
          <w:sz w:val="22"/>
          <w:szCs w:val="22"/>
          <w:lang w:val="en-US"/>
        </w:rPr>
        <w:t>SuRGE is a multi-country programme led by CDB to support the scaling-up of climate action in the Caribbean through the acceleration of the region’s sustainable energy transition. In this regard, SuRGE is a cornerstone of the ASERT-2030 umbrella initiative to catalyze transformative change in the energy sector. Through SuRGE, CDB aims to not only support investments that respond to immediate infrastructure needs, but also to strengthen local capacity and enabling environments to underpin further planning and investments during and beyond the programme implementation period. In short, SuRGE is expected to play a catalytic role in the longer-term process of transforming the energy sector toward a more resilient, low-emissions, gender-equitable and socially inclusive development pathway.</w:t>
      </w:r>
      <w:r w:rsidRPr="006A4490">
        <w:rPr>
          <w:rStyle w:val="eop"/>
          <w:sz w:val="22"/>
          <w:szCs w:val="22"/>
        </w:rPr>
        <w:t> </w:t>
      </w:r>
    </w:p>
    <w:p w14:paraId="28EC7655" w14:textId="77777777" w:rsidR="00985872" w:rsidRPr="006A4490" w:rsidRDefault="00985872" w:rsidP="71C08E42">
      <w:pPr>
        <w:pStyle w:val="paragraph"/>
        <w:spacing w:before="0" w:beforeAutospacing="0" w:after="0" w:afterAutospacing="0"/>
        <w:jc w:val="both"/>
        <w:textAlignment w:val="baseline"/>
        <w:rPr>
          <w:rFonts w:ascii="Segoe UI" w:hAnsi="Segoe UI" w:cs="Segoe UI"/>
          <w:sz w:val="18"/>
          <w:szCs w:val="18"/>
        </w:rPr>
      </w:pPr>
      <w:r w:rsidRPr="006A4490">
        <w:rPr>
          <w:rStyle w:val="eop"/>
          <w:sz w:val="22"/>
          <w:szCs w:val="22"/>
        </w:rPr>
        <w:t> </w:t>
      </w:r>
    </w:p>
    <w:p w14:paraId="13A3C16F" w14:textId="77777777" w:rsidR="009C20C9" w:rsidRPr="00D54E42" w:rsidRDefault="009C20C9" w:rsidP="009C20C9">
      <w:pPr>
        <w:spacing w:after="0" w:line="240" w:lineRule="auto"/>
      </w:pPr>
    </w:p>
    <w:p w14:paraId="030E8F89" w14:textId="6EB94F7B" w:rsidR="009C20C9" w:rsidRPr="00D54E42" w:rsidRDefault="009C20C9" w:rsidP="009C20C9">
      <w:pPr>
        <w:spacing w:after="0" w:line="240" w:lineRule="auto"/>
      </w:pPr>
      <w:r w:rsidRPr="00D54E42">
        <w:t>1.0</w:t>
      </w:r>
      <w:r w:rsidR="00985872" w:rsidRPr="00D54E42">
        <w:t>7</w:t>
      </w:r>
      <w:r w:rsidRPr="00D54E42">
        <w:tab/>
        <w:t>The SuRGE programme includes two main components.</w:t>
      </w:r>
    </w:p>
    <w:p w14:paraId="3E0E1FFD" w14:textId="77777777" w:rsidR="009C20C9" w:rsidRPr="00D54E42" w:rsidRDefault="009C20C9" w:rsidP="009C20C9">
      <w:pPr>
        <w:spacing w:after="0" w:line="240" w:lineRule="auto"/>
        <w:rPr>
          <w:bCs/>
        </w:rPr>
      </w:pPr>
    </w:p>
    <w:p w14:paraId="1E13E492" w14:textId="26A42F44" w:rsidR="009C20C9" w:rsidRPr="00D54E42" w:rsidRDefault="009C20C9" w:rsidP="009C20C9">
      <w:pPr>
        <w:pStyle w:val="ListParagraph"/>
        <w:numPr>
          <w:ilvl w:val="0"/>
          <w:numId w:val="17"/>
        </w:numPr>
        <w:spacing w:after="0" w:line="240" w:lineRule="auto"/>
        <w:jc w:val="both"/>
        <w:rPr>
          <w:rFonts w:ascii="Times New Roman" w:hAnsi="Times New Roman" w:cs="Times New Roman"/>
        </w:rPr>
      </w:pPr>
      <w:r w:rsidRPr="00D54E42">
        <w:rPr>
          <w:rFonts w:ascii="Times New Roman" w:hAnsi="Times New Roman" w:cs="Times New Roman"/>
          <w:bCs/>
          <w:u w:val="single"/>
        </w:rPr>
        <w:t>Component 1: Strengthen the foundations for transformational change in the energy sector in the Caribbean.</w:t>
      </w:r>
      <w:r w:rsidRPr="00D54E42">
        <w:rPr>
          <w:rFonts w:ascii="Times New Roman" w:hAnsi="Times New Roman" w:cs="Times New Roman"/>
          <w:bCs/>
        </w:rPr>
        <w:t xml:space="preserve"> </w:t>
      </w:r>
      <w:r w:rsidRPr="00D54E42">
        <w:rPr>
          <w:rFonts w:ascii="Times New Roman" w:hAnsi="Times New Roman" w:cs="Times New Roman"/>
        </w:rPr>
        <w:t>Component 1 is the Technical Assistance (TA) component of SuRGE, which will focus on: (i)</w:t>
      </w:r>
      <w:r w:rsidRPr="00D54E42">
        <w:rPr>
          <w:rFonts w:ascii="Times New Roman" w:eastAsia="Times New Roman" w:hAnsi="Times New Roman" w:cs="Times New Roman"/>
        </w:rPr>
        <w:t xml:space="preserve"> enhancing the enabling environment for resilient, low-emissions and gender-equitable energy sector development; and (ii) completing the preparation of energy sector capital projects to be financed through Component 2 of SuRGE.</w:t>
      </w:r>
    </w:p>
    <w:p w14:paraId="149B0620" w14:textId="77777777" w:rsidR="009C20C9" w:rsidRPr="00D54E42" w:rsidRDefault="009C20C9" w:rsidP="009C20C9">
      <w:pPr>
        <w:pStyle w:val="ListParagraph"/>
        <w:spacing w:after="0" w:line="240" w:lineRule="auto"/>
        <w:ind w:left="1080"/>
        <w:jc w:val="both"/>
        <w:rPr>
          <w:rFonts w:ascii="Times New Roman" w:hAnsi="Times New Roman" w:cs="Times New Roman"/>
        </w:rPr>
      </w:pPr>
    </w:p>
    <w:p w14:paraId="412E8865" w14:textId="1EE98A48" w:rsidR="009C20C9" w:rsidRPr="00D54E42" w:rsidRDefault="009C20C9" w:rsidP="009C20C9">
      <w:pPr>
        <w:pStyle w:val="ListParagraph"/>
        <w:numPr>
          <w:ilvl w:val="0"/>
          <w:numId w:val="17"/>
        </w:numPr>
        <w:spacing w:after="0" w:line="240" w:lineRule="auto"/>
        <w:jc w:val="both"/>
        <w:rPr>
          <w:rFonts w:ascii="Times New Roman" w:hAnsi="Times New Roman" w:cs="Times New Roman"/>
        </w:rPr>
      </w:pPr>
      <w:r w:rsidRPr="00D54E42">
        <w:rPr>
          <w:rFonts w:ascii="Times New Roman" w:hAnsi="Times New Roman" w:cs="Times New Roman"/>
          <w:bCs/>
          <w:u w:val="single"/>
        </w:rPr>
        <w:t>Component 2: Address urgent energy sector infrastructure needs.</w:t>
      </w:r>
      <w:r w:rsidRPr="00D54E42">
        <w:rPr>
          <w:rFonts w:ascii="Times New Roman" w:hAnsi="Times New Roman" w:cs="Times New Roman"/>
        </w:rPr>
        <w:t xml:space="preserve"> Component 2 is the Investment Component of SuRGE. It will provide financial support for critical </w:t>
      </w:r>
      <w:r w:rsidR="006A30B1" w:rsidRPr="00D54E42">
        <w:rPr>
          <w:rFonts w:ascii="Times New Roman" w:hAnsi="Times New Roman" w:cs="Times New Roman"/>
        </w:rPr>
        <w:t xml:space="preserve">(public and private sector) sustainable energy </w:t>
      </w:r>
      <w:r w:rsidRPr="00D54E42">
        <w:rPr>
          <w:rFonts w:ascii="Times New Roman" w:hAnsi="Times New Roman" w:cs="Times New Roman"/>
        </w:rPr>
        <w:t xml:space="preserve">projects. Priority investment areas will include: (i) </w:t>
      </w:r>
      <w:r w:rsidRPr="00D54E42">
        <w:rPr>
          <w:rFonts w:ascii="Times New Roman" w:eastAsia="Times New Roman" w:hAnsi="Times New Roman" w:cs="Times New Roman"/>
        </w:rPr>
        <w:t>investments in large-scale RE installations; and (ii) investments in grid modernisation/upgrades and energy efficiency to enhance resilience and support the broader energy transition.</w:t>
      </w:r>
    </w:p>
    <w:p w14:paraId="24EC3C67" w14:textId="6EC1D032" w:rsidR="00591D34" w:rsidRPr="00D54E42" w:rsidRDefault="00591D34" w:rsidP="00AB1592">
      <w:pPr>
        <w:tabs>
          <w:tab w:val="left" w:pos="251"/>
          <w:tab w:val="left" w:pos="5245"/>
        </w:tabs>
        <w:spacing w:after="0" w:line="240" w:lineRule="auto"/>
        <w:ind w:left="0" w:firstLine="0"/>
        <w:rPr>
          <w:color w:val="000000" w:themeColor="text1"/>
        </w:rPr>
      </w:pPr>
    </w:p>
    <w:p w14:paraId="2C8310B6" w14:textId="4E1F060A" w:rsidR="00D82505" w:rsidRPr="00D54E42" w:rsidRDefault="00591D34" w:rsidP="0066548F">
      <w:pPr>
        <w:pStyle w:val="NoSpacing"/>
        <w:rPr>
          <w:lang w:val="en-US"/>
        </w:rPr>
      </w:pPr>
      <w:r w:rsidRPr="00D54E42">
        <w:t>1.0</w:t>
      </w:r>
      <w:r w:rsidR="00985872" w:rsidRPr="00D54E42">
        <w:t>8</w:t>
      </w:r>
      <w:r w:rsidRPr="00D54E42">
        <w:tab/>
      </w:r>
      <w:r w:rsidR="00D82505" w:rsidRPr="00D54E42">
        <w:rPr>
          <w:lang w:val="en-US"/>
        </w:rPr>
        <w:t xml:space="preserve">Within CDB, the Sustainable Energy Unit (SEU) will bear overall responsibility for coordinating SuRGE implementation. This will include ensuring capital projects are identified, prepared, appraised, approved and executed in a timely manner, as well as defining the complementary TA to be delivered in each participating BMC and ensuring this support is executed efficiently. SEU will contract additional </w:t>
      </w:r>
      <w:r w:rsidR="006D7D0B" w:rsidRPr="00D54E42">
        <w:rPr>
          <w:lang w:val="en-US"/>
        </w:rPr>
        <w:t xml:space="preserve">specialists </w:t>
      </w:r>
      <w:r w:rsidR="00D82505" w:rsidRPr="00D54E42">
        <w:rPr>
          <w:lang w:val="en-US"/>
        </w:rPr>
        <w:t>to work with its existing staff to fulfil these roles</w:t>
      </w:r>
      <w:r w:rsidR="00A0567A" w:rsidRPr="00D54E42">
        <w:rPr>
          <w:lang w:val="en-US"/>
        </w:rPr>
        <w:t xml:space="preserve">, thereby assembling </w:t>
      </w:r>
      <w:r w:rsidR="00D82505" w:rsidRPr="00D54E42">
        <w:rPr>
          <w:lang w:val="en-US"/>
        </w:rPr>
        <w:t>a dedicated S</w:t>
      </w:r>
      <w:r w:rsidR="00530CC3" w:rsidRPr="00D54E42">
        <w:rPr>
          <w:lang w:val="en-US"/>
        </w:rPr>
        <w:t>u</w:t>
      </w:r>
      <w:r w:rsidR="00D82505" w:rsidRPr="00D54E42">
        <w:rPr>
          <w:lang w:val="en-US"/>
        </w:rPr>
        <w:t>RGE Execution Team within SEU. The team will be led by a Programme Manager who will report to the Coordinator of the SEU.</w:t>
      </w:r>
    </w:p>
    <w:p w14:paraId="10D495AC" w14:textId="77777777" w:rsidR="00D82505" w:rsidRPr="00D54E42" w:rsidRDefault="00D82505" w:rsidP="0066548F">
      <w:pPr>
        <w:pStyle w:val="NoSpacing"/>
        <w:rPr>
          <w:lang w:val="en-US"/>
        </w:rPr>
      </w:pPr>
    </w:p>
    <w:p w14:paraId="1C5CF591" w14:textId="47EAA36A" w:rsidR="00591D34" w:rsidRPr="00D54E42" w:rsidRDefault="00D82505" w:rsidP="0066548F">
      <w:pPr>
        <w:pStyle w:val="NoSpacing"/>
        <w:rPr>
          <w:color w:val="000000" w:themeColor="text1"/>
        </w:rPr>
      </w:pPr>
      <w:r w:rsidRPr="00D54E42">
        <w:rPr>
          <w:lang w:val="en-US"/>
        </w:rPr>
        <w:t>1.0</w:t>
      </w:r>
      <w:r w:rsidR="00985872" w:rsidRPr="00D54E42">
        <w:rPr>
          <w:lang w:val="en-US"/>
        </w:rPr>
        <w:t>9</w:t>
      </w:r>
      <w:r w:rsidRPr="00D54E42">
        <w:tab/>
      </w:r>
      <w:r w:rsidR="00591D34" w:rsidRPr="00D54E42">
        <w:t>The</w:t>
      </w:r>
      <w:r w:rsidR="00E423C7" w:rsidRPr="00D54E42">
        <w:t>se Terms of Reference (TOR) relate to the</w:t>
      </w:r>
      <w:r w:rsidR="00522080" w:rsidRPr="00D54E42">
        <w:t xml:space="preserve"> SuRGE</w:t>
      </w:r>
      <w:r w:rsidR="00E423C7" w:rsidRPr="00D54E42">
        <w:t xml:space="preserve"> </w:t>
      </w:r>
      <w:r w:rsidR="00E642BA" w:rsidRPr="00D54E42">
        <w:t>Programme Manager role.</w:t>
      </w:r>
    </w:p>
    <w:p w14:paraId="653C954A" w14:textId="77777777" w:rsidR="0062284D" w:rsidRPr="00D54E42" w:rsidRDefault="0062284D" w:rsidP="0066548F">
      <w:pPr>
        <w:autoSpaceDE w:val="0"/>
        <w:autoSpaceDN w:val="0"/>
        <w:adjustRightInd w:val="0"/>
        <w:spacing w:after="0" w:line="240" w:lineRule="auto"/>
        <w:ind w:left="0"/>
        <w:rPr>
          <w:bCs/>
          <w:color w:val="auto"/>
        </w:rPr>
      </w:pPr>
    </w:p>
    <w:p w14:paraId="10C41B46" w14:textId="77777777" w:rsidR="0062284D" w:rsidRPr="00D54E42" w:rsidRDefault="0062284D" w:rsidP="0066548F">
      <w:pPr>
        <w:pStyle w:val="Default"/>
        <w:numPr>
          <w:ilvl w:val="0"/>
          <w:numId w:val="1"/>
        </w:numPr>
        <w:ind w:left="720" w:hanging="718"/>
        <w:jc w:val="both"/>
        <w:rPr>
          <w:b/>
          <w:color w:val="auto"/>
          <w:sz w:val="22"/>
          <w:szCs w:val="22"/>
          <w:u w:val="single"/>
        </w:rPr>
      </w:pPr>
      <w:r w:rsidRPr="00D54E42">
        <w:rPr>
          <w:b/>
          <w:color w:val="auto"/>
          <w:sz w:val="22"/>
          <w:szCs w:val="22"/>
          <w:u w:val="single"/>
        </w:rPr>
        <w:t>OBJECTIVE OF CONSULTANCY</w:t>
      </w:r>
    </w:p>
    <w:p w14:paraId="4E56FE2E" w14:textId="77777777" w:rsidR="0062284D" w:rsidRPr="00D54E42" w:rsidRDefault="0062284D" w:rsidP="0066548F">
      <w:pPr>
        <w:pStyle w:val="Default"/>
        <w:jc w:val="both"/>
        <w:rPr>
          <w:color w:val="auto"/>
          <w:sz w:val="22"/>
          <w:szCs w:val="22"/>
        </w:rPr>
      </w:pPr>
    </w:p>
    <w:p w14:paraId="7A621BED" w14:textId="7A0FC1D6" w:rsidR="0062284D" w:rsidRPr="00D54E42" w:rsidRDefault="0062284D" w:rsidP="0066548F">
      <w:pPr>
        <w:autoSpaceDE w:val="0"/>
        <w:autoSpaceDN w:val="0"/>
        <w:adjustRightInd w:val="0"/>
        <w:spacing w:after="0" w:line="240" w:lineRule="auto"/>
        <w:rPr>
          <w:rFonts w:eastAsiaTheme="minorHAnsi"/>
          <w:color w:val="auto"/>
          <w:lang w:eastAsia="en-US"/>
        </w:rPr>
      </w:pPr>
      <w:r w:rsidRPr="00D54E42">
        <w:rPr>
          <w:rFonts w:eastAsiaTheme="minorHAnsi"/>
          <w:color w:val="auto"/>
          <w:lang w:eastAsia="en-US"/>
        </w:rPr>
        <w:t>2.01</w:t>
      </w:r>
      <w:r w:rsidRPr="00D54E42">
        <w:rPr>
          <w:rFonts w:eastAsiaTheme="minorHAnsi"/>
          <w:color w:val="auto"/>
          <w:lang w:eastAsia="en-US"/>
        </w:rPr>
        <w:tab/>
        <w:t xml:space="preserve">The </w:t>
      </w:r>
      <w:r w:rsidR="00A61605" w:rsidRPr="00D54E42">
        <w:rPr>
          <w:rFonts w:eastAsiaTheme="minorHAnsi"/>
          <w:color w:val="auto"/>
          <w:lang w:eastAsia="en-US"/>
        </w:rPr>
        <w:t xml:space="preserve">objective of the </w:t>
      </w:r>
      <w:r w:rsidR="00E56443" w:rsidRPr="00D54E42">
        <w:rPr>
          <w:rFonts w:eastAsiaTheme="minorHAnsi"/>
          <w:color w:val="auto"/>
          <w:lang w:eastAsia="en-US"/>
        </w:rPr>
        <w:t xml:space="preserve">SuRGE Programme Manager </w:t>
      </w:r>
      <w:r w:rsidRPr="00D54E42">
        <w:rPr>
          <w:rFonts w:eastAsiaTheme="minorHAnsi"/>
          <w:color w:val="auto"/>
          <w:lang w:eastAsia="en-US"/>
        </w:rPr>
        <w:t xml:space="preserve">consultancy is </w:t>
      </w:r>
      <w:r w:rsidR="000F356B" w:rsidRPr="00D54E42">
        <w:rPr>
          <w:rFonts w:eastAsiaTheme="minorHAnsi"/>
          <w:color w:val="auto"/>
          <w:lang w:eastAsia="en-US"/>
        </w:rPr>
        <w:t>to</w:t>
      </w:r>
      <w:r w:rsidR="00541F3D" w:rsidRPr="00D54E42">
        <w:rPr>
          <w:rFonts w:eastAsiaTheme="minorHAnsi"/>
          <w:color w:val="auto"/>
          <w:lang w:eastAsia="en-US"/>
        </w:rPr>
        <w:t xml:space="preserve"> </w:t>
      </w:r>
      <w:r w:rsidR="00BC5F73" w:rsidRPr="00D54E42">
        <w:rPr>
          <w:rFonts w:eastAsiaTheme="minorHAnsi"/>
          <w:color w:val="auto"/>
          <w:lang w:eastAsia="en-US"/>
        </w:rPr>
        <w:t xml:space="preserve">ensure </w:t>
      </w:r>
      <w:r w:rsidR="00845E74" w:rsidRPr="00D54E42">
        <w:rPr>
          <w:rFonts w:eastAsiaTheme="minorHAnsi"/>
          <w:color w:val="auto"/>
          <w:lang w:eastAsia="en-US"/>
        </w:rPr>
        <w:t>the SuRGE programme</w:t>
      </w:r>
      <w:r w:rsidR="00FF2AC8" w:rsidRPr="00D54E42">
        <w:rPr>
          <w:rFonts w:eastAsiaTheme="minorHAnsi"/>
          <w:color w:val="auto"/>
          <w:lang w:eastAsia="en-US"/>
        </w:rPr>
        <w:t xml:space="preserve"> </w:t>
      </w:r>
      <w:r w:rsidR="00BC5F73" w:rsidRPr="00D54E42">
        <w:rPr>
          <w:rFonts w:eastAsiaTheme="minorHAnsi"/>
          <w:color w:val="auto"/>
          <w:lang w:eastAsia="en-US"/>
        </w:rPr>
        <w:t xml:space="preserve">is implemented </w:t>
      </w:r>
      <w:r w:rsidR="00845E74" w:rsidRPr="00D54E42">
        <w:rPr>
          <w:rFonts w:eastAsiaTheme="minorHAnsi"/>
          <w:color w:val="auto"/>
          <w:lang w:eastAsia="en-US"/>
        </w:rPr>
        <w:t>in a timely and efficient manner. The Programme Manager will also be responsible for ensuring that SuRGE is implemented in line with relevant CDB policies as well as the requirements outlined in the SuRGE-related agreements between CDB and GAC</w:t>
      </w:r>
      <w:r w:rsidR="00541F3D" w:rsidRPr="00D54E42">
        <w:rPr>
          <w:rFonts w:eastAsiaTheme="minorHAnsi"/>
          <w:color w:val="auto"/>
          <w:lang w:eastAsia="en-US"/>
        </w:rPr>
        <w:t>.</w:t>
      </w:r>
    </w:p>
    <w:p w14:paraId="20D63E8C" w14:textId="518ADE9C" w:rsidR="0062284D" w:rsidRPr="00D54E42" w:rsidRDefault="0062284D" w:rsidP="0066548F">
      <w:pPr>
        <w:autoSpaceDE w:val="0"/>
        <w:autoSpaceDN w:val="0"/>
        <w:adjustRightInd w:val="0"/>
        <w:spacing w:after="0" w:line="240" w:lineRule="auto"/>
        <w:rPr>
          <w:rFonts w:eastAsiaTheme="minorHAnsi"/>
          <w:color w:val="auto"/>
          <w:lang w:eastAsia="en-US"/>
        </w:rPr>
      </w:pPr>
    </w:p>
    <w:p w14:paraId="562A469E" w14:textId="27E296DA" w:rsidR="0062284D" w:rsidRPr="00D54E42" w:rsidRDefault="0062284D" w:rsidP="0066548F">
      <w:pPr>
        <w:pStyle w:val="ListParagraph"/>
        <w:numPr>
          <w:ilvl w:val="0"/>
          <w:numId w:val="1"/>
        </w:numPr>
        <w:spacing w:after="0"/>
        <w:ind w:left="720" w:hanging="718"/>
        <w:contextualSpacing w:val="0"/>
        <w:rPr>
          <w:rFonts w:ascii="Times New Roman" w:hAnsi="Times New Roman" w:cs="Times New Roman"/>
        </w:rPr>
      </w:pPr>
      <w:r w:rsidRPr="00D54E42">
        <w:rPr>
          <w:rFonts w:ascii="Times New Roman" w:hAnsi="Times New Roman" w:cs="Times New Roman"/>
          <w:b/>
          <w:caps/>
          <w:u w:val="single"/>
        </w:rPr>
        <w:t>Scope of SERVICES</w:t>
      </w:r>
    </w:p>
    <w:p w14:paraId="2EE3F95C" w14:textId="77777777" w:rsidR="0062284D" w:rsidRPr="00D54E42" w:rsidRDefault="0062284D" w:rsidP="0066548F">
      <w:pPr>
        <w:pStyle w:val="ListParagraph"/>
        <w:spacing w:after="0" w:line="240" w:lineRule="auto"/>
        <w:contextualSpacing w:val="0"/>
        <w:jc w:val="both"/>
        <w:rPr>
          <w:rFonts w:ascii="Times New Roman" w:hAnsi="Times New Roman" w:cs="Times New Roman"/>
        </w:rPr>
      </w:pPr>
    </w:p>
    <w:p w14:paraId="7AE20FB7" w14:textId="19986603" w:rsidR="0062284D" w:rsidRPr="00D54E42" w:rsidRDefault="0062284D" w:rsidP="71C08E42">
      <w:pPr>
        <w:autoSpaceDE w:val="0"/>
        <w:autoSpaceDN w:val="0"/>
        <w:adjustRightInd w:val="0"/>
        <w:spacing w:after="0" w:line="240" w:lineRule="auto"/>
        <w:rPr>
          <w:rFonts w:eastAsiaTheme="minorEastAsia"/>
          <w:color w:val="auto"/>
          <w:lang w:eastAsia="en-US"/>
        </w:rPr>
      </w:pPr>
      <w:r w:rsidRPr="71C08E42">
        <w:rPr>
          <w:rFonts w:eastAsiaTheme="minorEastAsia"/>
          <w:color w:val="auto"/>
          <w:lang w:eastAsia="en-US"/>
        </w:rPr>
        <w:t>3.01</w:t>
      </w:r>
      <w:r>
        <w:tab/>
      </w:r>
      <w:r w:rsidR="00BC5F73" w:rsidRPr="71C08E42">
        <w:rPr>
          <w:rFonts w:eastAsiaTheme="minorEastAsia"/>
          <w:color w:val="auto"/>
          <w:lang w:eastAsia="en-US"/>
        </w:rPr>
        <w:t>Under the direct supervision of the SEU Coordinator, the Programme Manager (hereafter “the Consultant”) will</w:t>
      </w:r>
      <w:r w:rsidR="008A5F0B" w:rsidRPr="71C08E42">
        <w:rPr>
          <w:rFonts w:eastAsiaTheme="minorEastAsia"/>
          <w:color w:val="auto"/>
          <w:lang w:eastAsia="en-US"/>
        </w:rPr>
        <w:t xml:space="preserve"> </w:t>
      </w:r>
      <w:r w:rsidR="00BC5F73" w:rsidRPr="71C08E42">
        <w:rPr>
          <w:rFonts w:eastAsiaTheme="minorEastAsia"/>
          <w:color w:val="auto"/>
          <w:lang w:eastAsia="en-US"/>
        </w:rPr>
        <w:t>lead</w:t>
      </w:r>
      <w:r w:rsidR="00CB0139" w:rsidRPr="71C08E42">
        <w:rPr>
          <w:rFonts w:eastAsiaTheme="minorEastAsia"/>
          <w:color w:val="auto"/>
          <w:lang w:eastAsia="en-US"/>
        </w:rPr>
        <w:t xml:space="preserve"> CDB’s efforts to implement SuRGE</w:t>
      </w:r>
      <w:r w:rsidR="008A5F0B" w:rsidRPr="71C08E42">
        <w:rPr>
          <w:rFonts w:eastAsiaTheme="minorEastAsia"/>
          <w:color w:val="auto"/>
          <w:lang w:eastAsia="en-US"/>
        </w:rPr>
        <w:t xml:space="preserve">. The </w:t>
      </w:r>
      <w:r w:rsidR="00541F3D" w:rsidRPr="71C08E42">
        <w:rPr>
          <w:rFonts w:eastAsiaTheme="minorEastAsia"/>
          <w:color w:val="auto"/>
          <w:lang w:eastAsia="en-US"/>
        </w:rPr>
        <w:t xml:space="preserve">duties of the Consultant </w:t>
      </w:r>
      <w:r w:rsidRPr="71C08E42">
        <w:rPr>
          <w:rFonts w:eastAsiaTheme="minorEastAsia"/>
          <w:color w:val="auto"/>
          <w:lang w:eastAsia="en-US"/>
        </w:rPr>
        <w:t xml:space="preserve">will </w:t>
      </w:r>
      <w:r w:rsidR="008A5F0B" w:rsidRPr="71C08E42">
        <w:rPr>
          <w:rFonts w:eastAsiaTheme="minorEastAsia"/>
          <w:color w:val="auto"/>
          <w:lang w:eastAsia="en-US"/>
        </w:rPr>
        <w:t xml:space="preserve">therefore </w:t>
      </w:r>
      <w:r w:rsidRPr="71C08E42">
        <w:rPr>
          <w:rFonts w:eastAsiaTheme="minorEastAsia"/>
          <w:color w:val="auto"/>
          <w:lang w:eastAsia="en-US"/>
        </w:rPr>
        <w:t>include</w:t>
      </w:r>
      <w:r w:rsidR="000020B3" w:rsidRPr="71C08E42">
        <w:rPr>
          <w:rFonts w:eastAsiaTheme="minorEastAsia"/>
          <w:color w:val="auto"/>
          <w:lang w:eastAsia="en-US"/>
        </w:rPr>
        <w:t>,</w:t>
      </w:r>
      <w:r w:rsidRPr="71C08E42">
        <w:rPr>
          <w:rFonts w:eastAsiaTheme="minorEastAsia"/>
          <w:color w:val="auto"/>
          <w:lang w:eastAsia="en-US"/>
        </w:rPr>
        <w:t xml:space="preserve"> but </w:t>
      </w:r>
      <w:r w:rsidR="3690DD79" w:rsidRPr="71C08E42">
        <w:rPr>
          <w:rFonts w:eastAsiaTheme="minorEastAsia"/>
          <w:color w:val="auto"/>
          <w:lang w:eastAsia="en-US"/>
        </w:rPr>
        <w:t xml:space="preserve">will </w:t>
      </w:r>
      <w:r w:rsidRPr="71C08E42">
        <w:rPr>
          <w:rFonts w:eastAsiaTheme="minorEastAsia"/>
          <w:color w:val="auto"/>
          <w:lang w:eastAsia="en-US"/>
        </w:rPr>
        <w:t>not be limited to</w:t>
      </w:r>
      <w:r w:rsidR="005C2B2F" w:rsidRPr="71C08E42">
        <w:rPr>
          <w:rFonts w:eastAsiaTheme="minorEastAsia"/>
          <w:color w:val="auto"/>
          <w:lang w:eastAsia="en-US"/>
        </w:rPr>
        <w:t>, the following</w:t>
      </w:r>
      <w:r w:rsidR="00771855" w:rsidRPr="71C08E42">
        <w:rPr>
          <w:rFonts w:eastAsiaTheme="minorEastAsia"/>
          <w:color w:val="auto"/>
          <w:lang w:eastAsia="en-US"/>
        </w:rPr>
        <w:t>:</w:t>
      </w:r>
    </w:p>
    <w:p w14:paraId="0CFDD225" w14:textId="77777777" w:rsidR="008F3C9D" w:rsidRPr="00D54E42" w:rsidRDefault="008F3C9D" w:rsidP="00CB0139">
      <w:pPr>
        <w:autoSpaceDE w:val="0"/>
        <w:autoSpaceDN w:val="0"/>
        <w:adjustRightInd w:val="0"/>
        <w:spacing w:after="0" w:line="240" w:lineRule="auto"/>
        <w:rPr>
          <w:rFonts w:eastAsiaTheme="minorHAnsi"/>
          <w:color w:val="auto"/>
          <w:lang w:eastAsia="en-US"/>
        </w:rPr>
      </w:pPr>
    </w:p>
    <w:p w14:paraId="697866A3" w14:textId="108F3CE4" w:rsidR="008F3C9D" w:rsidRPr="00D54E42" w:rsidRDefault="00C7213C" w:rsidP="008F3C9D">
      <w:pPr>
        <w:autoSpaceDE w:val="0"/>
        <w:autoSpaceDN w:val="0"/>
        <w:adjustRightInd w:val="0"/>
        <w:spacing w:after="0" w:line="240" w:lineRule="auto"/>
        <w:ind w:left="729"/>
        <w:rPr>
          <w:rFonts w:eastAsiaTheme="minorHAnsi"/>
          <w:color w:val="auto"/>
          <w:u w:val="single"/>
          <w:lang w:eastAsia="en-US"/>
        </w:rPr>
      </w:pPr>
      <w:r w:rsidRPr="00D54E42">
        <w:rPr>
          <w:rFonts w:eastAsiaTheme="minorHAnsi"/>
          <w:color w:val="auto"/>
          <w:u w:val="single"/>
          <w:lang w:eastAsia="en-US"/>
        </w:rPr>
        <w:t>SuRGE C</w:t>
      </w:r>
      <w:r w:rsidR="008F3C9D" w:rsidRPr="00D54E42">
        <w:rPr>
          <w:rFonts w:eastAsiaTheme="minorHAnsi"/>
          <w:color w:val="auto"/>
          <w:u w:val="single"/>
          <w:lang w:eastAsia="en-US"/>
        </w:rPr>
        <w:t xml:space="preserve">apital </w:t>
      </w:r>
      <w:r w:rsidRPr="00D54E42">
        <w:rPr>
          <w:rFonts w:eastAsiaTheme="minorHAnsi"/>
          <w:color w:val="auto"/>
          <w:u w:val="single"/>
          <w:lang w:eastAsia="en-US"/>
        </w:rPr>
        <w:t>P</w:t>
      </w:r>
      <w:r w:rsidR="008F3C9D" w:rsidRPr="00D54E42">
        <w:rPr>
          <w:rFonts w:eastAsiaTheme="minorHAnsi"/>
          <w:color w:val="auto"/>
          <w:u w:val="single"/>
          <w:lang w:eastAsia="en-US"/>
        </w:rPr>
        <w:t>rojects</w:t>
      </w:r>
    </w:p>
    <w:p w14:paraId="556CF9A7" w14:textId="77777777" w:rsidR="00CB0139" w:rsidRPr="00D54E42" w:rsidRDefault="00CB0139" w:rsidP="00CB0139">
      <w:pPr>
        <w:autoSpaceDE w:val="0"/>
        <w:autoSpaceDN w:val="0"/>
        <w:adjustRightInd w:val="0"/>
        <w:spacing w:after="0" w:line="240" w:lineRule="auto"/>
        <w:rPr>
          <w:rFonts w:eastAsiaTheme="minorHAnsi"/>
          <w:color w:val="auto"/>
          <w:lang w:eastAsia="en-US"/>
        </w:rPr>
      </w:pPr>
    </w:p>
    <w:p w14:paraId="681C24A4" w14:textId="34691E8B" w:rsidR="00CB0139" w:rsidRPr="00D54E42" w:rsidRDefault="007016D1" w:rsidP="00CB0139">
      <w:pPr>
        <w:pStyle w:val="ListParagraph"/>
        <w:numPr>
          <w:ilvl w:val="0"/>
          <w:numId w:val="18"/>
        </w:numPr>
        <w:autoSpaceDE w:val="0"/>
        <w:autoSpaceDN w:val="0"/>
        <w:adjustRightInd w:val="0"/>
        <w:spacing w:after="0" w:line="240" w:lineRule="auto"/>
        <w:jc w:val="both"/>
        <w:rPr>
          <w:rFonts w:ascii="Times New Roman" w:hAnsi="Times New Roman" w:cs="Times New Roman"/>
        </w:rPr>
      </w:pPr>
      <w:r w:rsidRPr="00D54E42">
        <w:rPr>
          <w:rFonts w:ascii="Times New Roman" w:hAnsi="Times New Roman" w:cs="Times New Roman"/>
        </w:rPr>
        <w:t>Manage</w:t>
      </w:r>
      <w:r w:rsidR="1E62BD36" w:rsidRPr="00D54E42">
        <w:rPr>
          <w:rFonts w:ascii="Times New Roman" w:hAnsi="Times New Roman" w:cs="Times New Roman"/>
        </w:rPr>
        <w:t>, continuously update (as needed)</w:t>
      </w:r>
      <w:r w:rsidRPr="00D54E42">
        <w:rPr>
          <w:rFonts w:ascii="Times New Roman" w:hAnsi="Times New Roman" w:cs="Times New Roman"/>
        </w:rPr>
        <w:t xml:space="preserve"> and report on the pipeline of</w:t>
      </w:r>
      <w:r w:rsidR="00CB0139" w:rsidRPr="00D54E42">
        <w:rPr>
          <w:rFonts w:ascii="Times New Roman" w:hAnsi="Times New Roman" w:cs="Times New Roman"/>
        </w:rPr>
        <w:t xml:space="preserve"> sustainable energy capital projects to be financed through SuRGE, working in close collaboration with other SEU staff and counterparts from eligible CDB Borrowing Member Countries (BMCs).</w:t>
      </w:r>
      <w:r w:rsidR="00A46E1C" w:rsidRPr="00D54E42">
        <w:rPr>
          <w:rFonts w:ascii="Times New Roman" w:hAnsi="Times New Roman" w:cs="Times New Roman"/>
        </w:rPr>
        <w:t xml:space="preserve"> When doing so, the Consultant shall consider the </w:t>
      </w:r>
      <w:r w:rsidR="00147FB9" w:rsidRPr="00D54E42">
        <w:rPr>
          <w:rFonts w:ascii="Times New Roman" w:hAnsi="Times New Roman" w:cs="Times New Roman"/>
        </w:rPr>
        <w:t xml:space="preserve">project- and portfolio-level </w:t>
      </w:r>
      <w:r w:rsidR="00A46E1C" w:rsidRPr="00D54E42">
        <w:rPr>
          <w:rFonts w:ascii="Times New Roman" w:hAnsi="Times New Roman" w:cs="Times New Roman"/>
        </w:rPr>
        <w:t>requirements outlined in the SuRGE Contribution Arrangement.</w:t>
      </w:r>
    </w:p>
    <w:p w14:paraId="6D48E29B" w14:textId="77777777" w:rsidR="00CB0139" w:rsidRPr="00D54E42" w:rsidRDefault="00CB0139" w:rsidP="00CB0139">
      <w:pPr>
        <w:pStyle w:val="ListParagraph"/>
        <w:autoSpaceDE w:val="0"/>
        <w:autoSpaceDN w:val="0"/>
        <w:adjustRightInd w:val="0"/>
        <w:spacing w:after="0" w:line="240" w:lineRule="auto"/>
        <w:ind w:left="1080"/>
        <w:jc w:val="both"/>
        <w:rPr>
          <w:rFonts w:ascii="Times New Roman" w:hAnsi="Times New Roman" w:cs="Times New Roman"/>
        </w:rPr>
      </w:pPr>
    </w:p>
    <w:p w14:paraId="72015C3E" w14:textId="1438515D" w:rsidR="008F3C9D" w:rsidRPr="00D54E42" w:rsidRDefault="00CB0139" w:rsidP="008F3C9D">
      <w:pPr>
        <w:pStyle w:val="ListParagraph"/>
        <w:numPr>
          <w:ilvl w:val="0"/>
          <w:numId w:val="18"/>
        </w:numPr>
        <w:autoSpaceDE w:val="0"/>
        <w:autoSpaceDN w:val="0"/>
        <w:adjustRightInd w:val="0"/>
        <w:spacing w:after="0" w:line="240" w:lineRule="auto"/>
        <w:jc w:val="both"/>
        <w:rPr>
          <w:rFonts w:ascii="Times New Roman" w:hAnsi="Times New Roman" w:cs="Times New Roman"/>
        </w:rPr>
      </w:pPr>
      <w:r w:rsidRPr="00D54E42">
        <w:rPr>
          <w:rFonts w:ascii="Times New Roman" w:hAnsi="Times New Roman" w:cs="Times New Roman"/>
        </w:rPr>
        <w:t xml:space="preserve">Support </w:t>
      </w:r>
      <w:r w:rsidR="008F3C9D" w:rsidRPr="00D54E42">
        <w:rPr>
          <w:rFonts w:ascii="Times New Roman" w:hAnsi="Times New Roman" w:cs="Times New Roman"/>
        </w:rPr>
        <w:t xml:space="preserve">the relevant CDB Project Appraisal Teams </w:t>
      </w:r>
      <w:r w:rsidRPr="00D54E42">
        <w:rPr>
          <w:rFonts w:ascii="Times New Roman" w:hAnsi="Times New Roman" w:cs="Times New Roman"/>
        </w:rPr>
        <w:t>(</w:t>
      </w:r>
      <w:r w:rsidR="008F3C9D" w:rsidRPr="00D54E42">
        <w:rPr>
          <w:rFonts w:ascii="Times New Roman" w:hAnsi="Times New Roman" w:cs="Times New Roman"/>
        </w:rPr>
        <w:t xml:space="preserve">including staff </w:t>
      </w:r>
      <w:r w:rsidRPr="00D54E42">
        <w:rPr>
          <w:rFonts w:ascii="Times New Roman" w:hAnsi="Times New Roman" w:cs="Times New Roman"/>
        </w:rPr>
        <w:t xml:space="preserve">from SEU and other </w:t>
      </w:r>
      <w:r w:rsidR="008F3C9D" w:rsidRPr="00D54E42">
        <w:rPr>
          <w:rFonts w:ascii="Times New Roman" w:hAnsi="Times New Roman" w:cs="Times New Roman"/>
        </w:rPr>
        <w:t xml:space="preserve">CDB </w:t>
      </w:r>
      <w:r w:rsidRPr="00D54E42">
        <w:rPr>
          <w:rFonts w:ascii="Times New Roman" w:hAnsi="Times New Roman" w:cs="Times New Roman"/>
        </w:rPr>
        <w:t>units/divisions) with the timely appraisal</w:t>
      </w:r>
      <w:r w:rsidR="008F3C9D" w:rsidRPr="00D54E42">
        <w:rPr>
          <w:rFonts w:ascii="Times New Roman" w:hAnsi="Times New Roman" w:cs="Times New Roman"/>
        </w:rPr>
        <w:t xml:space="preserve"> and</w:t>
      </w:r>
      <w:r w:rsidRPr="00D54E42">
        <w:rPr>
          <w:rFonts w:ascii="Times New Roman" w:hAnsi="Times New Roman" w:cs="Times New Roman"/>
        </w:rPr>
        <w:t xml:space="preserve"> approval of the capital projects prioritised for financing under SuRGE (as per Paragraph 3.01a).</w:t>
      </w:r>
    </w:p>
    <w:p w14:paraId="6693760A" w14:textId="77777777" w:rsidR="008F3C9D" w:rsidRPr="00D54E42" w:rsidRDefault="008F3C9D" w:rsidP="008F3C9D">
      <w:pPr>
        <w:pStyle w:val="ListParagraph"/>
        <w:rPr>
          <w:rFonts w:ascii="Times New Roman" w:hAnsi="Times New Roman" w:cs="Times New Roman"/>
        </w:rPr>
      </w:pPr>
    </w:p>
    <w:p w14:paraId="6787FA1F" w14:textId="015FDCAF" w:rsidR="008F3C9D" w:rsidRPr="00D54E42" w:rsidRDefault="008F3C9D" w:rsidP="008F3C9D">
      <w:pPr>
        <w:pStyle w:val="ListParagraph"/>
        <w:numPr>
          <w:ilvl w:val="0"/>
          <w:numId w:val="18"/>
        </w:numPr>
        <w:autoSpaceDE w:val="0"/>
        <w:autoSpaceDN w:val="0"/>
        <w:adjustRightInd w:val="0"/>
        <w:spacing w:after="0" w:line="240" w:lineRule="auto"/>
        <w:jc w:val="both"/>
        <w:rPr>
          <w:rFonts w:ascii="Times New Roman" w:hAnsi="Times New Roman" w:cs="Times New Roman"/>
        </w:rPr>
      </w:pPr>
      <w:r w:rsidRPr="00D54E42">
        <w:rPr>
          <w:rFonts w:ascii="Times New Roman" w:hAnsi="Times New Roman" w:cs="Times New Roman"/>
        </w:rPr>
        <w:t xml:space="preserve">Support the relevant CDB Project Teams to oversee implementation of the </w:t>
      </w:r>
      <w:r w:rsidR="00D751B4" w:rsidRPr="00D54E42">
        <w:rPr>
          <w:rFonts w:ascii="Times New Roman" w:hAnsi="Times New Roman" w:cs="Times New Roman"/>
        </w:rPr>
        <w:t xml:space="preserve">approved </w:t>
      </w:r>
      <w:r w:rsidRPr="00D54E42">
        <w:rPr>
          <w:rFonts w:ascii="Times New Roman" w:hAnsi="Times New Roman" w:cs="Times New Roman"/>
        </w:rPr>
        <w:t>SuRGE capital projects</w:t>
      </w:r>
      <w:r w:rsidR="00D751B4" w:rsidRPr="00D54E42">
        <w:rPr>
          <w:rFonts w:ascii="Times New Roman" w:hAnsi="Times New Roman" w:cs="Times New Roman"/>
        </w:rPr>
        <w:t xml:space="preserve"> (as per Paragraph 3.01b)</w:t>
      </w:r>
      <w:r w:rsidRPr="00D54E42">
        <w:rPr>
          <w:rFonts w:ascii="Times New Roman" w:hAnsi="Times New Roman" w:cs="Times New Roman"/>
        </w:rPr>
        <w:t>, including supporting supervision, quality-assurance, t</w:t>
      </w:r>
      <w:r w:rsidR="00D751B4" w:rsidRPr="00D54E42">
        <w:rPr>
          <w:rFonts w:ascii="Times New Roman" w:hAnsi="Times New Roman" w:cs="Times New Roman"/>
        </w:rPr>
        <w:t>imely</w:t>
      </w:r>
      <w:r w:rsidRPr="00D54E42">
        <w:rPr>
          <w:rFonts w:ascii="Times New Roman" w:hAnsi="Times New Roman" w:cs="Times New Roman"/>
        </w:rPr>
        <w:t xml:space="preserve"> processing of disbursements, and monitoring and reporting.</w:t>
      </w:r>
    </w:p>
    <w:p w14:paraId="46CE625E" w14:textId="77777777" w:rsidR="00CB0139" w:rsidRPr="00D54E42" w:rsidRDefault="00CB0139" w:rsidP="00CB0139">
      <w:pPr>
        <w:pStyle w:val="ListParagraph"/>
        <w:jc w:val="both"/>
        <w:rPr>
          <w:rFonts w:ascii="Times New Roman" w:hAnsi="Times New Roman" w:cs="Times New Roman"/>
        </w:rPr>
      </w:pPr>
    </w:p>
    <w:p w14:paraId="7805AFE6" w14:textId="09AB513D" w:rsidR="008F3C9D" w:rsidRPr="00D54E42" w:rsidRDefault="008F3C9D" w:rsidP="00CB0139">
      <w:pPr>
        <w:pStyle w:val="ListParagraph"/>
        <w:jc w:val="both"/>
        <w:rPr>
          <w:rFonts w:ascii="Times New Roman" w:hAnsi="Times New Roman" w:cs="Times New Roman"/>
          <w:u w:val="single"/>
        </w:rPr>
      </w:pPr>
      <w:r w:rsidRPr="00D54E42">
        <w:rPr>
          <w:rFonts w:ascii="Times New Roman" w:hAnsi="Times New Roman" w:cs="Times New Roman"/>
          <w:u w:val="single"/>
        </w:rPr>
        <w:t>Technical Assistance (TA) support</w:t>
      </w:r>
    </w:p>
    <w:p w14:paraId="06626A29" w14:textId="77777777" w:rsidR="008F3C9D" w:rsidRPr="00D54E42" w:rsidRDefault="008F3C9D" w:rsidP="00CB0139">
      <w:pPr>
        <w:pStyle w:val="ListParagraph"/>
        <w:jc w:val="both"/>
        <w:rPr>
          <w:rFonts w:ascii="Times New Roman" w:hAnsi="Times New Roman" w:cs="Times New Roman"/>
        </w:rPr>
      </w:pPr>
    </w:p>
    <w:p w14:paraId="7FADBA3B" w14:textId="221F3C23" w:rsidR="00CB0139" w:rsidRPr="00D54E42" w:rsidRDefault="00A46E1C" w:rsidP="00CB0139">
      <w:pPr>
        <w:pStyle w:val="ListParagraph"/>
        <w:numPr>
          <w:ilvl w:val="0"/>
          <w:numId w:val="18"/>
        </w:numPr>
        <w:autoSpaceDE w:val="0"/>
        <w:autoSpaceDN w:val="0"/>
        <w:adjustRightInd w:val="0"/>
        <w:spacing w:after="0" w:line="240" w:lineRule="auto"/>
        <w:jc w:val="both"/>
        <w:rPr>
          <w:rFonts w:ascii="Times New Roman" w:hAnsi="Times New Roman" w:cs="Times New Roman"/>
        </w:rPr>
      </w:pPr>
      <w:r w:rsidRPr="00D54E42">
        <w:rPr>
          <w:rFonts w:ascii="Times New Roman" w:hAnsi="Times New Roman" w:cs="Times New Roman"/>
        </w:rPr>
        <w:t>Lead</w:t>
      </w:r>
      <w:r w:rsidR="000228A2" w:rsidRPr="00D54E42">
        <w:rPr>
          <w:rFonts w:ascii="Times New Roman" w:hAnsi="Times New Roman" w:cs="Times New Roman"/>
        </w:rPr>
        <w:t xml:space="preserve"> the process of defining the specific TA support to be provided to/in each participating BMC, working in close collaboration with other CDB from SEU and other units/divisions.</w:t>
      </w:r>
    </w:p>
    <w:p w14:paraId="0E400C8A" w14:textId="6941696D" w:rsidR="32E274F0" w:rsidRPr="00D54E42" w:rsidRDefault="32E274F0" w:rsidP="32E274F0">
      <w:pPr>
        <w:spacing w:after="0" w:line="240" w:lineRule="auto"/>
        <w:ind w:left="0"/>
        <w:rPr>
          <w:color w:val="000000" w:themeColor="text1"/>
        </w:rPr>
      </w:pPr>
    </w:p>
    <w:p w14:paraId="6EF26C06" w14:textId="76D04D51" w:rsidR="7DB52FCE" w:rsidRPr="00D54E42" w:rsidRDefault="7DB52FCE" w:rsidP="32E274F0">
      <w:pPr>
        <w:pStyle w:val="ListParagraph"/>
        <w:numPr>
          <w:ilvl w:val="0"/>
          <w:numId w:val="18"/>
        </w:numPr>
        <w:spacing w:after="0" w:line="240" w:lineRule="auto"/>
        <w:jc w:val="both"/>
        <w:rPr>
          <w:rFonts w:ascii="Times New Roman" w:hAnsi="Times New Roman" w:cs="Times New Roman"/>
        </w:rPr>
      </w:pPr>
      <w:r w:rsidRPr="00D54E42">
        <w:rPr>
          <w:rFonts w:ascii="Times New Roman" w:hAnsi="Times New Roman" w:cs="Times New Roman"/>
        </w:rPr>
        <w:t>Support the development, appraisal and approval CDB TA papers for the SuRGE TA.</w:t>
      </w:r>
    </w:p>
    <w:p w14:paraId="4DBE8045" w14:textId="77777777" w:rsidR="000228A2" w:rsidRPr="00D54E42" w:rsidRDefault="000228A2" w:rsidP="000228A2">
      <w:pPr>
        <w:pStyle w:val="ListParagraph"/>
        <w:rPr>
          <w:rFonts w:ascii="Times New Roman" w:hAnsi="Times New Roman" w:cs="Times New Roman"/>
        </w:rPr>
      </w:pPr>
    </w:p>
    <w:p w14:paraId="3D7BB43E" w14:textId="761C8F55" w:rsidR="000228A2" w:rsidRPr="00D54E42" w:rsidRDefault="000228A2" w:rsidP="00CB0139">
      <w:pPr>
        <w:pStyle w:val="ListParagraph"/>
        <w:numPr>
          <w:ilvl w:val="0"/>
          <w:numId w:val="18"/>
        </w:numPr>
        <w:autoSpaceDE w:val="0"/>
        <w:autoSpaceDN w:val="0"/>
        <w:adjustRightInd w:val="0"/>
        <w:spacing w:after="0" w:line="240" w:lineRule="auto"/>
        <w:jc w:val="both"/>
        <w:rPr>
          <w:rFonts w:ascii="Times New Roman" w:hAnsi="Times New Roman" w:cs="Times New Roman"/>
        </w:rPr>
      </w:pPr>
      <w:r w:rsidRPr="00D54E42">
        <w:rPr>
          <w:rFonts w:ascii="Times New Roman" w:hAnsi="Times New Roman" w:cs="Times New Roman"/>
        </w:rPr>
        <w:t xml:space="preserve">For TA support to be directly executed by CDB, lead the process of executing these TA activities, including by: procuring the services of external consultants/service providers; contract management; supervising and quality-assuring the work done by the contracted consultants/service providers; </w:t>
      </w:r>
      <w:r w:rsidR="001D5D59" w:rsidRPr="00D54E42">
        <w:rPr>
          <w:rFonts w:ascii="Times New Roman" w:hAnsi="Times New Roman" w:cs="Times New Roman"/>
        </w:rPr>
        <w:t>and other tasks as needed to effectively manage the execution of th</w:t>
      </w:r>
      <w:r w:rsidR="00181018" w:rsidRPr="00D54E42">
        <w:rPr>
          <w:rFonts w:ascii="Times New Roman" w:hAnsi="Times New Roman" w:cs="Times New Roman"/>
        </w:rPr>
        <w:t>e CDB-executed</w:t>
      </w:r>
      <w:r w:rsidR="001D5D59" w:rsidRPr="00D54E42">
        <w:rPr>
          <w:rFonts w:ascii="Times New Roman" w:hAnsi="Times New Roman" w:cs="Times New Roman"/>
        </w:rPr>
        <w:t xml:space="preserve"> TA support.</w:t>
      </w:r>
    </w:p>
    <w:p w14:paraId="149E0EDD" w14:textId="77777777" w:rsidR="00A11843" w:rsidRPr="00D54E42" w:rsidRDefault="00A11843" w:rsidP="00A11843">
      <w:pPr>
        <w:pStyle w:val="ListParagraph"/>
        <w:rPr>
          <w:rFonts w:ascii="Times New Roman" w:hAnsi="Times New Roman" w:cs="Times New Roman"/>
        </w:rPr>
      </w:pPr>
    </w:p>
    <w:p w14:paraId="30485EA8" w14:textId="13E8CA11" w:rsidR="008F3C9D" w:rsidRPr="00D54E42" w:rsidRDefault="008F3C9D" w:rsidP="00A11843">
      <w:pPr>
        <w:pStyle w:val="ListParagraph"/>
        <w:rPr>
          <w:rFonts w:ascii="Times New Roman" w:hAnsi="Times New Roman" w:cs="Times New Roman"/>
          <w:u w:val="single"/>
        </w:rPr>
      </w:pPr>
      <w:r w:rsidRPr="00D54E42">
        <w:rPr>
          <w:rFonts w:ascii="Times New Roman" w:hAnsi="Times New Roman" w:cs="Times New Roman"/>
          <w:u w:val="single"/>
        </w:rPr>
        <w:t>Communications</w:t>
      </w:r>
    </w:p>
    <w:p w14:paraId="13BE6856" w14:textId="77777777" w:rsidR="008F3C9D" w:rsidRPr="00D54E42" w:rsidRDefault="008F3C9D" w:rsidP="00A11843">
      <w:pPr>
        <w:pStyle w:val="ListParagraph"/>
        <w:rPr>
          <w:rFonts w:ascii="Times New Roman" w:hAnsi="Times New Roman" w:cs="Times New Roman"/>
        </w:rPr>
      </w:pPr>
    </w:p>
    <w:p w14:paraId="0E4BFFB9" w14:textId="5BE5D8EC" w:rsidR="00A11843" w:rsidRPr="00D54E42" w:rsidRDefault="006E1DBF" w:rsidP="00CB0139">
      <w:pPr>
        <w:pStyle w:val="ListParagraph"/>
        <w:numPr>
          <w:ilvl w:val="0"/>
          <w:numId w:val="18"/>
        </w:numPr>
        <w:autoSpaceDE w:val="0"/>
        <w:autoSpaceDN w:val="0"/>
        <w:adjustRightInd w:val="0"/>
        <w:spacing w:after="0" w:line="240" w:lineRule="auto"/>
        <w:jc w:val="both"/>
        <w:rPr>
          <w:rFonts w:ascii="Times New Roman" w:hAnsi="Times New Roman" w:cs="Times New Roman"/>
        </w:rPr>
      </w:pPr>
      <w:r w:rsidRPr="00D54E42">
        <w:rPr>
          <w:rFonts w:ascii="Times New Roman" w:hAnsi="Times New Roman" w:cs="Times New Roman"/>
        </w:rPr>
        <w:t>Lead the d</w:t>
      </w:r>
      <w:r w:rsidR="00A11843" w:rsidRPr="00D54E42">
        <w:rPr>
          <w:rFonts w:ascii="Times New Roman" w:hAnsi="Times New Roman" w:cs="Times New Roman"/>
        </w:rPr>
        <w:t>evelop</w:t>
      </w:r>
      <w:r w:rsidRPr="00D54E42">
        <w:rPr>
          <w:rFonts w:ascii="Times New Roman" w:hAnsi="Times New Roman" w:cs="Times New Roman"/>
        </w:rPr>
        <w:t>ment</w:t>
      </w:r>
      <w:r w:rsidR="00A11843" w:rsidRPr="00D54E42">
        <w:rPr>
          <w:rFonts w:ascii="Times New Roman" w:hAnsi="Times New Roman" w:cs="Times New Roman"/>
        </w:rPr>
        <w:t xml:space="preserve"> and execut</w:t>
      </w:r>
      <w:r w:rsidRPr="00D54E42">
        <w:rPr>
          <w:rFonts w:ascii="Times New Roman" w:hAnsi="Times New Roman" w:cs="Times New Roman"/>
        </w:rPr>
        <w:t>ion of</w:t>
      </w:r>
      <w:r w:rsidR="00A11843" w:rsidRPr="00D54E42">
        <w:rPr>
          <w:rFonts w:ascii="Times New Roman" w:hAnsi="Times New Roman" w:cs="Times New Roman"/>
        </w:rPr>
        <w:t xml:space="preserve"> </w:t>
      </w:r>
      <w:r w:rsidRPr="00D54E42">
        <w:rPr>
          <w:rFonts w:ascii="Times New Roman" w:hAnsi="Times New Roman" w:cs="Times New Roman"/>
        </w:rPr>
        <w:t xml:space="preserve">a </w:t>
      </w:r>
      <w:r w:rsidR="00A11843" w:rsidRPr="00D54E42">
        <w:rPr>
          <w:rFonts w:ascii="Times New Roman" w:hAnsi="Times New Roman" w:cs="Times New Roman"/>
        </w:rPr>
        <w:t>Communications Action Plan</w:t>
      </w:r>
      <w:r w:rsidRPr="00D54E42">
        <w:rPr>
          <w:rFonts w:ascii="Times New Roman" w:hAnsi="Times New Roman" w:cs="Times New Roman"/>
        </w:rPr>
        <w:t xml:space="preserve"> for SuRGE</w:t>
      </w:r>
      <w:r w:rsidR="00A11843" w:rsidRPr="00D54E42">
        <w:rPr>
          <w:rFonts w:ascii="Times New Roman" w:hAnsi="Times New Roman" w:cs="Times New Roman"/>
        </w:rPr>
        <w:t>, working in close collaboration with other SEU staff and the CDB Corporate Communications Unit.</w:t>
      </w:r>
      <w:r w:rsidRPr="00D54E42">
        <w:rPr>
          <w:rFonts w:ascii="Times New Roman" w:hAnsi="Times New Roman" w:cs="Times New Roman"/>
        </w:rPr>
        <w:t xml:space="preserve"> The Communications Action Plan should reflect/respond to all of the requirements outlined in the SuRGE-related agreements between CDB and GAC.</w:t>
      </w:r>
    </w:p>
    <w:p w14:paraId="2B86876C" w14:textId="0A672DBB" w:rsidR="32E274F0" w:rsidRPr="00D54E42" w:rsidRDefault="32E274F0" w:rsidP="32E274F0">
      <w:pPr>
        <w:spacing w:after="0" w:line="240" w:lineRule="auto"/>
        <w:ind w:left="0"/>
        <w:rPr>
          <w:color w:val="000000" w:themeColor="text1"/>
        </w:rPr>
      </w:pPr>
    </w:p>
    <w:p w14:paraId="3E05D802" w14:textId="7CBA760A" w:rsidR="71F0674A" w:rsidRPr="00D54E42" w:rsidRDefault="71F0674A" w:rsidP="32E274F0">
      <w:pPr>
        <w:pStyle w:val="ListParagraph"/>
        <w:numPr>
          <w:ilvl w:val="0"/>
          <w:numId w:val="18"/>
        </w:numPr>
        <w:spacing w:after="0" w:line="240" w:lineRule="auto"/>
        <w:jc w:val="both"/>
        <w:rPr>
          <w:rFonts w:ascii="Times New Roman" w:hAnsi="Times New Roman" w:cs="Times New Roman"/>
        </w:rPr>
      </w:pPr>
      <w:r w:rsidRPr="00D54E42">
        <w:rPr>
          <w:rFonts w:ascii="Times New Roman" w:hAnsi="Times New Roman" w:cs="Times New Roman"/>
        </w:rPr>
        <w:t xml:space="preserve">Represent CDB during SuRGE-related meetings, events and site visits as needed. This may include, </w:t>
      </w:r>
      <w:r w:rsidRPr="00D54E42">
        <w:rPr>
          <w:rFonts w:ascii="Times New Roman" w:hAnsi="Times New Roman" w:cs="Times New Roman"/>
          <w:i/>
          <w:iCs/>
        </w:rPr>
        <w:t>inter alia</w:t>
      </w:r>
      <w:r w:rsidRPr="00D54E42">
        <w:rPr>
          <w:rFonts w:ascii="Times New Roman" w:hAnsi="Times New Roman" w:cs="Times New Roman"/>
        </w:rPr>
        <w:t xml:space="preserve">, </w:t>
      </w:r>
      <w:r w:rsidR="031A924D" w:rsidRPr="00D54E42">
        <w:rPr>
          <w:rFonts w:ascii="Times New Roman" w:hAnsi="Times New Roman" w:cs="Times New Roman"/>
        </w:rPr>
        <w:t>representing CDB during SuRGE-related meetings with GAC,</w:t>
      </w:r>
      <w:r w:rsidR="098128B1" w:rsidRPr="00D54E42">
        <w:rPr>
          <w:rFonts w:ascii="Times New Roman" w:hAnsi="Times New Roman" w:cs="Times New Roman"/>
        </w:rPr>
        <w:t xml:space="preserve"> and</w:t>
      </w:r>
      <w:r w:rsidR="031A924D" w:rsidRPr="00D54E42">
        <w:rPr>
          <w:rFonts w:ascii="Times New Roman" w:hAnsi="Times New Roman" w:cs="Times New Roman"/>
        </w:rPr>
        <w:t xml:space="preserve"> </w:t>
      </w:r>
      <w:r w:rsidRPr="00D54E42">
        <w:rPr>
          <w:rFonts w:ascii="Times New Roman" w:hAnsi="Times New Roman" w:cs="Times New Roman"/>
        </w:rPr>
        <w:t xml:space="preserve">delivering presentations </w:t>
      </w:r>
      <w:r w:rsidR="289FAFAE" w:rsidRPr="00D54E42">
        <w:rPr>
          <w:rFonts w:ascii="Times New Roman" w:hAnsi="Times New Roman" w:cs="Times New Roman"/>
        </w:rPr>
        <w:t xml:space="preserve">about SuRGE </w:t>
      </w:r>
      <w:r w:rsidRPr="00D54E42">
        <w:rPr>
          <w:rFonts w:ascii="Times New Roman" w:hAnsi="Times New Roman" w:cs="Times New Roman"/>
        </w:rPr>
        <w:t>to regional and international stakeholders.</w:t>
      </w:r>
    </w:p>
    <w:p w14:paraId="619F32E1" w14:textId="77777777" w:rsidR="006E1DBF" w:rsidRPr="00D54E42" w:rsidRDefault="006E1DBF" w:rsidP="006E1DBF">
      <w:pPr>
        <w:pStyle w:val="ListParagraph"/>
        <w:rPr>
          <w:rFonts w:ascii="Times New Roman" w:hAnsi="Times New Roman" w:cs="Times New Roman"/>
        </w:rPr>
      </w:pPr>
    </w:p>
    <w:p w14:paraId="6351841C" w14:textId="756635E9" w:rsidR="008F3C9D" w:rsidRPr="00D54E42" w:rsidRDefault="0026757E" w:rsidP="006E1DBF">
      <w:pPr>
        <w:pStyle w:val="ListParagraph"/>
        <w:rPr>
          <w:rFonts w:ascii="Times New Roman" w:hAnsi="Times New Roman" w:cs="Times New Roman"/>
          <w:u w:val="single"/>
        </w:rPr>
      </w:pPr>
      <w:r w:rsidRPr="00D54E42">
        <w:rPr>
          <w:rFonts w:ascii="Times New Roman" w:hAnsi="Times New Roman" w:cs="Times New Roman"/>
          <w:u w:val="single"/>
        </w:rPr>
        <w:t>Management, m</w:t>
      </w:r>
      <w:r w:rsidR="008F3C9D" w:rsidRPr="00D54E42">
        <w:rPr>
          <w:rFonts w:ascii="Times New Roman" w:hAnsi="Times New Roman" w:cs="Times New Roman"/>
          <w:u w:val="single"/>
        </w:rPr>
        <w:t>onitoring, reporting and evaluation</w:t>
      </w:r>
    </w:p>
    <w:p w14:paraId="21217ABC" w14:textId="77777777" w:rsidR="008F3C9D" w:rsidRPr="00D54E42" w:rsidRDefault="008F3C9D" w:rsidP="006E1DBF">
      <w:pPr>
        <w:pStyle w:val="ListParagraph"/>
        <w:rPr>
          <w:rFonts w:ascii="Times New Roman" w:hAnsi="Times New Roman" w:cs="Times New Roman"/>
        </w:rPr>
      </w:pPr>
    </w:p>
    <w:p w14:paraId="51081C0F" w14:textId="12B97100" w:rsidR="00973EBF" w:rsidRPr="00D54E42" w:rsidRDefault="004E1485" w:rsidP="00CB0139">
      <w:pPr>
        <w:pStyle w:val="ListParagraph"/>
        <w:numPr>
          <w:ilvl w:val="0"/>
          <w:numId w:val="18"/>
        </w:numPr>
        <w:autoSpaceDE w:val="0"/>
        <w:autoSpaceDN w:val="0"/>
        <w:adjustRightInd w:val="0"/>
        <w:spacing w:after="0" w:line="240" w:lineRule="auto"/>
        <w:jc w:val="both"/>
        <w:rPr>
          <w:rFonts w:ascii="Times New Roman" w:hAnsi="Times New Roman" w:cs="Times New Roman"/>
        </w:rPr>
      </w:pPr>
      <w:r w:rsidRPr="00D54E42">
        <w:rPr>
          <w:rFonts w:ascii="Times New Roman" w:hAnsi="Times New Roman" w:cs="Times New Roman"/>
        </w:rPr>
        <w:t xml:space="preserve">Lead the </w:t>
      </w:r>
      <w:r w:rsidR="0096697E" w:rsidRPr="00D54E42">
        <w:rPr>
          <w:rFonts w:ascii="Times New Roman" w:hAnsi="Times New Roman" w:cs="Times New Roman"/>
        </w:rPr>
        <w:t>management and supervision of</w:t>
      </w:r>
      <w:r w:rsidR="00496581" w:rsidRPr="00D54E42">
        <w:rPr>
          <w:rFonts w:ascii="Times New Roman" w:hAnsi="Times New Roman" w:cs="Times New Roman"/>
        </w:rPr>
        <w:t xml:space="preserve"> other part- or full-time</w:t>
      </w:r>
      <w:r w:rsidR="0096697E" w:rsidRPr="00D54E42">
        <w:rPr>
          <w:rFonts w:ascii="Times New Roman" w:hAnsi="Times New Roman" w:cs="Times New Roman"/>
        </w:rPr>
        <w:t xml:space="preserve"> consultants </w:t>
      </w:r>
      <w:r w:rsidR="00496581" w:rsidRPr="00D54E42">
        <w:rPr>
          <w:rFonts w:ascii="Times New Roman" w:hAnsi="Times New Roman" w:cs="Times New Roman"/>
        </w:rPr>
        <w:t>engaged to support the implementation of SuRGE.</w:t>
      </w:r>
    </w:p>
    <w:p w14:paraId="1137DE2A" w14:textId="77777777" w:rsidR="00973EBF" w:rsidRPr="00D54E42" w:rsidRDefault="00973EBF" w:rsidP="00973EBF">
      <w:pPr>
        <w:pStyle w:val="ListParagraph"/>
        <w:autoSpaceDE w:val="0"/>
        <w:autoSpaceDN w:val="0"/>
        <w:adjustRightInd w:val="0"/>
        <w:spacing w:after="0" w:line="240" w:lineRule="auto"/>
        <w:ind w:left="1080"/>
        <w:jc w:val="both"/>
        <w:rPr>
          <w:rFonts w:ascii="Times New Roman" w:hAnsi="Times New Roman" w:cs="Times New Roman"/>
        </w:rPr>
      </w:pPr>
    </w:p>
    <w:p w14:paraId="26C4A94A" w14:textId="4CF5EAA7" w:rsidR="006E1DBF" w:rsidRPr="00D54E42" w:rsidRDefault="008F3C9D" w:rsidP="00CB0139">
      <w:pPr>
        <w:pStyle w:val="ListParagraph"/>
        <w:numPr>
          <w:ilvl w:val="0"/>
          <w:numId w:val="18"/>
        </w:numPr>
        <w:autoSpaceDE w:val="0"/>
        <w:autoSpaceDN w:val="0"/>
        <w:adjustRightInd w:val="0"/>
        <w:spacing w:after="0" w:line="240" w:lineRule="auto"/>
        <w:jc w:val="both"/>
        <w:rPr>
          <w:rFonts w:ascii="Times New Roman" w:hAnsi="Times New Roman" w:cs="Times New Roman"/>
        </w:rPr>
      </w:pPr>
      <w:r w:rsidRPr="00D54E42">
        <w:rPr>
          <w:rFonts w:ascii="Times New Roman" w:hAnsi="Times New Roman" w:cs="Times New Roman"/>
        </w:rPr>
        <w:t xml:space="preserve">Lead the monitoring and reporting for the SuRGE programme, including by: coordinating with </w:t>
      </w:r>
      <w:r w:rsidR="00B83A0F" w:rsidRPr="00D54E42">
        <w:rPr>
          <w:rFonts w:ascii="Times New Roman" w:hAnsi="Times New Roman" w:cs="Times New Roman"/>
        </w:rPr>
        <w:t xml:space="preserve">the relevant </w:t>
      </w:r>
      <w:r w:rsidRPr="00D54E42">
        <w:rPr>
          <w:rFonts w:ascii="Times New Roman" w:hAnsi="Times New Roman" w:cs="Times New Roman"/>
        </w:rPr>
        <w:t xml:space="preserve">CDB Project Teams to ensure project-level </w:t>
      </w:r>
      <w:r w:rsidR="00C016D9" w:rsidRPr="00D54E42">
        <w:rPr>
          <w:rFonts w:ascii="Times New Roman" w:hAnsi="Times New Roman" w:cs="Times New Roman"/>
        </w:rPr>
        <w:t xml:space="preserve">monitoring and </w:t>
      </w:r>
      <w:r w:rsidRPr="00D54E42">
        <w:rPr>
          <w:rFonts w:ascii="Times New Roman" w:hAnsi="Times New Roman" w:cs="Times New Roman"/>
        </w:rPr>
        <w:t xml:space="preserve">reporting is completed and shared in a timely manner; coordinating with other CDB units/divisions (e.g. Finance) to ensure audited financial reporting is completed and shared in a timely manner; leading the preparation of relevant </w:t>
      </w:r>
      <w:r w:rsidR="00C016D9" w:rsidRPr="00D54E42">
        <w:rPr>
          <w:rFonts w:ascii="Times New Roman" w:hAnsi="Times New Roman" w:cs="Times New Roman"/>
        </w:rPr>
        <w:t xml:space="preserve">programme-level </w:t>
      </w:r>
      <w:r w:rsidRPr="00D54E42">
        <w:rPr>
          <w:rFonts w:ascii="Times New Roman" w:hAnsi="Times New Roman" w:cs="Times New Roman"/>
        </w:rPr>
        <w:t>progress reports</w:t>
      </w:r>
      <w:r w:rsidR="00C016D9" w:rsidRPr="00D54E42">
        <w:rPr>
          <w:rFonts w:ascii="Times New Roman" w:hAnsi="Times New Roman" w:cs="Times New Roman"/>
        </w:rPr>
        <w:t xml:space="preserve">; and </w:t>
      </w:r>
      <w:r w:rsidRPr="00D54E42">
        <w:rPr>
          <w:rFonts w:ascii="Times New Roman" w:hAnsi="Times New Roman" w:cs="Times New Roman"/>
        </w:rPr>
        <w:t xml:space="preserve">ensuring </w:t>
      </w:r>
      <w:r w:rsidR="00C016D9" w:rsidRPr="00D54E42">
        <w:rPr>
          <w:rFonts w:ascii="Times New Roman" w:hAnsi="Times New Roman" w:cs="Times New Roman"/>
        </w:rPr>
        <w:t xml:space="preserve">progress reports and </w:t>
      </w:r>
      <w:r w:rsidR="00C016D9" w:rsidRPr="00D54E42">
        <w:rPr>
          <w:rFonts w:ascii="Times New Roman" w:hAnsi="Times New Roman" w:cs="Times New Roman"/>
        </w:rPr>
        <w:lastRenderedPageBreak/>
        <w:t>other reports</w:t>
      </w:r>
      <w:r w:rsidRPr="00D54E42">
        <w:rPr>
          <w:rFonts w:ascii="Times New Roman" w:hAnsi="Times New Roman" w:cs="Times New Roman"/>
        </w:rPr>
        <w:t xml:space="preserve"> </w:t>
      </w:r>
      <w:r w:rsidR="00C016D9" w:rsidRPr="00D54E42">
        <w:rPr>
          <w:rFonts w:ascii="Times New Roman" w:hAnsi="Times New Roman" w:cs="Times New Roman"/>
        </w:rPr>
        <w:t xml:space="preserve">(e.g. audited financial reports) </w:t>
      </w:r>
      <w:r w:rsidRPr="00D54E42">
        <w:rPr>
          <w:rFonts w:ascii="Times New Roman" w:hAnsi="Times New Roman" w:cs="Times New Roman"/>
        </w:rPr>
        <w:t>are submitted to GAC in accordance with the requirements outlined in the SuRGE-related agreements between CDB and GAC.</w:t>
      </w:r>
    </w:p>
    <w:p w14:paraId="591D891A" w14:textId="77777777" w:rsidR="008F3C9D" w:rsidRPr="00D54E42" w:rsidRDefault="008F3C9D" w:rsidP="008F3C9D">
      <w:pPr>
        <w:pStyle w:val="ListParagraph"/>
        <w:autoSpaceDE w:val="0"/>
        <w:autoSpaceDN w:val="0"/>
        <w:adjustRightInd w:val="0"/>
        <w:spacing w:after="0" w:line="240" w:lineRule="auto"/>
        <w:ind w:left="1080"/>
        <w:jc w:val="both"/>
        <w:rPr>
          <w:rFonts w:ascii="Times New Roman" w:hAnsi="Times New Roman" w:cs="Times New Roman"/>
        </w:rPr>
      </w:pPr>
    </w:p>
    <w:p w14:paraId="2F2DAB25" w14:textId="0E4A4B43" w:rsidR="008F3C9D" w:rsidRPr="00D54E42" w:rsidRDefault="003E096A" w:rsidP="00CB0139">
      <w:pPr>
        <w:pStyle w:val="ListParagraph"/>
        <w:numPr>
          <w:ilvl w:val="0"/>
          <w:numId w:val="18"/>
        </w:numPr>
        <w:autoSpaceDE w:val="0"/>
        <w:autoSpaceDN w:val="0"/>
        <w:adjustRightInd w:val="0"/>
        <w:spacing w:after="0" w:line="240" w:lineRule="auto"/>
        <w:jc w:val="both"/>
        <w:rPr>
          <w:rFonts w:ascii="Times New Roman" w:hAnsi="Times New Roman" w:cs="Times New Roman"/>
        </w:rPr>
      </w:pPr>
      <w:r w:rsidRPr="00D54E42">
        <w:rPr>
          <w:rFonts w:ascii="Times New Roman" w:hAnsi="Times New Roman" w:cs="Times New Roman"/>
        </w:rPr>
        <w:t>Leading the development and implementation of the SuRGE Evaluation Plan, working in close collaboration with other SEU staff and the CDB Office of Independent Evaluation</w:t>
      </w:r>
      <w:r w:rsidR="00C75884" w:rsidRPr="00D54E42">
        <w:rPr>
          <w:rFonts w:ascii="Times New Roman" w:hAnsi="Times New Roman" w:cs="Times New Roman"/>
        </w:rPr>
        <w:t xml:space="preserve"> to design and deliver the independent mid-term and final evaluations for the SuRGE programme</w:t>
      </w:r>
      <w:r w:rsidRPr="00D54E42">
        <w:rPr>
          <w:rFonts w:ascii="Times New Roman" w:hAnsi="Times New Roman" w:cs="Times New Roman"/>
        </w:rPr>
        <w:t>.</w:t>
      </w:r>
    </w:p>
    <w:p w14:paraId="2AE1EA85" w14:textId="77777777" w:rsidR="000228A2" w:rsidRPr="00D54E42" w:rsidRDefault="000228A2" w:rsidP="000228A2">
      <w:pPr>
        <w:pStyle w:val="ListParagraph"/>
        <w:rPr>
          <w:rFonts w:ascii="Times New Roman" w:hAnsi="Times New Roman" w:cs="Times New Roman"/>
        </w:rPr>
      </w:pPr>
    </w:p>
    <w:p w14:paraId="2F354D44" w14:textId="2C1F762B" w:rsidR="000228A2" w:rsidRPr="00D54E42" w:rsidRDefault="000228A2" w:rsidP="00CB0139">
      <w:pPr>
        <w:pStyle w:val="ListParagraph"/>
        <w:numPr>
          <w:ilvl w:val="0"/>
          <w:numId w:val="18"/>
        </w:numPr>
        <w:autoSpaceDE w:val="0"/>
        <w:autoSpaceDN w:val="0"/>
        <w:adjustRightInd w:val="0"/>
        <w:spacing w:after="0" w:line="240" w:lineRule="auto"/>
        <w:jc w:val="both"/>
        <w:rPr>
          <w:rFonts w:ascii="Times New Roman" w:hAnsi="Times New Roman" w:cs="Times New Roman"/>
        </w:rPr>
      </w:pPr>
      <w:r w:rsidRPr="00D54E42">
        <w:rPr>
          <w:rFonts w:ascii="Times New Roman" w:hAnsi="Times New Roman" w:cs="Times New Roman"/>
        </w:rPr>
        <w:t>Other tasks as required to ensure full, effective and efficient implementation of the SuRGE programme.</w:t>
      </w:r>
    </w:p>
    <w:p w14:paraId="452470B1" w14:textId="77777777" w:rsidR="0062284D" w:rsidRPr="00D54E42" w:rsidRDefault="0062284D" w:rsidP="003E096A">
      <w:pPr>
        <w:spacing w:after="0" w:line="240" w:lineRule="auto"/>
        <w:ind w:left="0" w:firstLine="0"/>
      </w:pPr>
    </w:p>
    <w:p w14:paraId="2204122A" w14:textId="77777777" w:rsidR="0062284D" w:rsidRPr="00D54E42" w:rsidRDefault="0062284D" w:rsidP="0066548F">
      <w:pPr>
        <w:spacing w:after="0" w:line="240" w:lineRule="auto"/>
        <w:rPr>
          <w:b/>
          <w:color w:val="000000" w:themeColor="text1"/>
        </w:rPr>
      </w:pPr>
      <w:r w:rsidRPr="00D54E42">
        <w:rPr>
          <w:b/>
          <w:color w:val="000000" w:themeColor="text1"/>
        </w:rPr>
        <w:t>4.</w:t>
      </w:r>
      <w:r w:rsidRPr="00D54E42">
        <w:rPr>
          <w:b/>
          <w:color w:val="000000" w:themeColor="text1"/>
        </w:rPr>
        <w:tab/>
      </w:r>
      <w:r w:rsidRPr="00D54E42">
        <w:rPr>
          <w:b/>
          <w:color w:val="000000" w:themeColor="text1"/>
          <w:u w:val="single"/>
        </w:rPr>
        <w:t>DELIVERABLES</w:t>
      </w:r>
    </w:p>
    <w:p w14:paraId="1139A343" w14:textId="77777777" w:rsidR="0062284D" w:rsidRPr="00D54E42" w:rsidRDefault="0062284D" w:rsidP="0066548F">
      <w:pPr>
        <w:spacing w:after="0" w:line="240" w:lineRule="auto"/>
        <w:rPr>
          <w:color w:val="000000" w:themeColor="text1"/>
        </w:rPr>
      </w:pPr>
    </w:p>
    <w:p w14:paraId="2B049D1C" w14:textId="03B62A45" w:rsidR="001E6117" w:rsidRPr="00D54E42" w:rsidRDefault="001E6117" w:rsidP="001E6117">
      <w:r w:rsidRPr="00D54E42">
        <w:t>4.01</w:t>
      </w:r>
      <w:r w:rsidRPr="00D54E42">
        <w:tab/>
        <w:t>The Consultant will be required to deliver the following in a timely manner:</w:t>
      </w:r>
    </w:p>
    <w:p w14:paraId="6B0BF983" w14:textId="77777777" w:rsidR="001E6117" w:rsidRPr="00D54E42" w:rsidRDefault="001E6117" w:rsidP="001E6117"/>
    <w:p w14:paraId="456FF539" w14:textId="66FCDCA1" w:rsidR="001E6117" w:rsidRPr="00D54E42" w:rsidRDefault="001E6117" w:rsidP="00B17F6D">
      <w:pPr>
        <w:pStyle w:val="ListSub"/>
        <w:numPr>
          <w:ilvl w:val="0"/>
          <w:numId w:val="0"/>
        </w:numPr>
        <w:spacing w:before="0" w:after="0"/>
        <w:ind w:left="1440" w:hanging="720"/>
        <w:contextualSpacing w:val="0"/>
        <w:rPr>
          <w:rFonts w:cs="Times New Roman"/>
          <w:szCs w:val="22"/>
        </w:rPr>
      </w:pPr>
      <w:r w:rsidRPr="00D54E42">
        <w:rPr>
          <w:rFonts w:cs="Times New Roman"/>
          <w:szCs w:val="22"/>
        </w:rPr>
        <w:t>(a)</w:t>
      </w:r>
      <w:r w:rsidRPr="00D54E42">
        <w:rPr>
          <w:rFonts w:cs="Times New Roman"/>
          <w:szCs w:val="22"/>
        </w:rPr>
        <w:tab/>
        <w:t>A monthly</w:t>
      </w:r>
      <w:r w:rsidR="001B7C9C" w:rsidRPr="00D54E42">
        <w:rPr>
          <w:rFonts w:cs="Times New Roman"/>
          <w:szCs w:val="22"/>
        </w:rPr>
        <w:t xml:space="preserve"> </w:t>
      </w:r>
      <w:r w:rsidR="00566CA3" w:rsidRPr="00D54E42">
        <w:rPr>
          <w:rFonts w:cs="Times New Roman"/>
          <w:szCs w:val="22"/>
        </w:rPr>
        <w:t>p</w:t>
      </w:r>
      <w:r w:rsidRPr="00D54E42">
        <w:rPr>
          <w:rFonts w:cs="Times New Roman"/>
          <w:szCs w:val="22"/>
        </w:rPr>
        <w:t xml:space="preserve">rogress </w:t>
      </w:r>
      <w:r w:rsidR="00566CA3" w:rsidRPr="00D54E42">
        <w:rPr>
          <w:rFonts w:cs="Times New Roman"/>
          <w:szCs w:val="22"/>
        </w:rPr>
        <w:t>r</w:t>
      </w:r>
      <w:r w:rsidRPr="00D54E42">
        <w:rPr>
          <w:rFonts w:cs="Times New Roman"/>
          <w:szCs w:val="22"/>
        </w:rPr>
        <w:t xml:space="preserve">eport detailing the actions carried out </w:t>
      </w:r>
      <w:r w:rsidR="00AD42A5" w:rsidRPr="00D54E42">
        <w:rPr>
          <w:rFonts w:cs="Times New Roman"/>
          <w:szCs w:val="22"/>
        </w:rPr>
        <w:t xml:space="preserve">by the Consultant </w:t>
      </w:r>
      <w:r w:rsidR="005B2A9F" w:rsidRPr="00D54E42">
        <w:rPr>
          <w:rFonts w:cs="Times New Roman"/>
          <w:szCs w:val="22"/>
        </w:rPr>
        <w:t xml:space="preserve">during </w:t>
      </w:r>
      <w:r w:rsidRPr="00D54E42">
        <w:rPr>
          <w:rFonts w:cs="Times New Roman"/>
          <w:szCs w:val="22"/>
        </w:rPr>
        <w:t xml:space="preserve">the period in question. Each monthly </w:t>
      </w:r>
      <w:r w:rsidR="007A0AFF" w:rsidRPr="00D54E42">
        <w:rPr>
          <w:rFonts w:cs="Times New Roman"/>
          <w:szCs w:val="22"/>
        </w:rPr>
        <w:t xml:space="preserve">progress </w:t>
      </w:r>
      <w:r w:rsidRPr="00D54E42">
        <w:rPr>
          <w:rFonts w:cs="Times New Roman"/>
          <w:szCs w:val="22"/>
        </w:rPr>
        <w:t xml:space="preserve">report will be submitted to </w:t>
      </w:r>
      <w:r w:rsidR="00B17F6D" w:rsidRPr="00D54E42">
        <w:rPr>
          <w:rFonts w:cs="Times New Roman"/>
          <w:szCs w:val="22"/>
        </w:rPr>
        <w:t xml:space="preserve">the </w:t>
      </w:r>
      <w:r w:rsidR="005546D0" w:rsidRPr="00D54E42">
        <w:rPr>
          <w:rFonts w:cs="Times New Roman"/>
          <w:szCs w:val="22"/>
        </w:rPr>
        <w:t xml:space="preserve">Coordinator, SEU </w:t>
      </w:r>
      <w:r w:rsidR="007D38E9" w:rsidRPr="00D54E42">
        <w:rPr>
          <w:rFonts w:cs="Times New Roman"/>
          <w:szCs w:val="22"/>
        </w:rPr>
        <w:t>(</w:t>
      </w:r>
      <w:hyperlink r:id="rId11" w:history="1">
        <w:r w:rsidR="005546D0" w:rsidRPr="00D54E42">
          <w:rPr>
            <w:rStyle w:val="Hyperlink"/>
            <w:rFonts w:cs="Times New Roman"/>
            <w:szCs w:val="22"/>
          </w:rPr>
          <w:t>Joseph.Williams@caribank.org</w:t>
        </w:r>
      </w:hyperlink>
      <w:r w:rsidR="007D38E9" w:rsidRPr="00D54E42">
        <w:rPr>
          <w:rFonts w:cs="Times New Roman"/>
          <w:szCs w:val="22"/>
        </w:rPr>
        <w:t xml:space="preserve">) with copy to </w:t>
      </w:r>
      <w:r w:rsidR="005546D0" w:rsidRPr="00D54E42">
        <w:rPr>
          <w:rFonts w:cs="Times New Roman"/>
          <w:szCs w:val="22"/>
        </w:rPr>
        <w:t>the Assistant, SEU</w:t>
      </w:r>
      <w:r w:rsidR="00B46C32" w:rsidRPr="00D54E42">
        <w:rPr>
          <w:rFonts w:cs="Times New Roman"/>
          <w:szCs w:val="22"/>
        </w:rPr>
        <w:t xml:space="preserve"> (</w:t>
      </w:r>
      <w:hyperlink r:id="rId12" w:history="1">
        <w:r w:rsidR="005546D0" w:rsidRPr="00D54E42">
          <w:rPr>
            <w:rStyle w:val="Hyperlink"/>
            <w:rFonts w:cs="Times New Roman"/>
            <w:szCs w:val="22"/>
          </w:rPr>
          <w:t>Joshua.Jones</w:t>
        </w:r>
        <w:r w:rsidR="005546D0" w:rsidRPr="00D54E42">
          <w:rPr>
            <w:rStyle w:val="Hyperlink"/>
          </w:rPr>
          <w:t>@caribank.org</w:t>
        </w:r>
      </w:hyperlink>
      <w:r w:rsidR="005546D0" w:rsidRPr="00D54E42">
        <w:t>)</w:t>
      </w:r>
      <w:r w:rsidR="00B46C32" w:rsidRPr="00D54E42">
        <w:rPr>
          <w:rFonts w:cs="Times New Roman"/>
          <w:szCs w:val="22"/>
        </w:rPr>
        <w:t xml:space="preserve"> </w:t>
      </w:r>
      <w:r w:rsidRPr="00D54E42">
        <w:rPr>
          <w:rFonts w:cs="Times New Roman"/>
          <w:szCs w:val="22"/>
        </w:rPr>
        <w:t>on the final working day of each month, and will address:</w:t>
      </w:r>
    </w:p>
    <w:p w14:paraId="731F756E" w14:textId="77777777" w:rsidR="001E6117" w:rsidRPr="00D54E42" w:rsidRDefault="001E6117" w:rsidP="001E6117">
      <w:pPr>
        <w:pStyle w:val="ListSub"/>
        <w:numPr>
          <w:ilvl w:val="0"/>
          <w:numId w:val="0"/>
        </w:numPr>
        <w:spacing w:before="0" w:after="0"/>
        <w:ind w:left="720"/>
        <w:contextualSpacing w:val="0"/>
        <w:rPr>
          <w:rFonts w:cs="Times New Roman"/>
          <w:szCs w:val="22"/>
        </w:rPr>
      </w:pPr>
    </w:p>
    <w:p w14:paraId="18E8E21E" w14:textId="77777777" w:rsidR="001E6117" w:rsidRPr="00D54E42" w:rsidRDefault="001E6117" w:rsidP="00901CDD">
      <w:pPr>
        <w:pStyle w:val="ListSub"/>
        <w:numPr>
          <w:ilvl w:val="0"/>
          <w:numId w:val="0"/>
        </w:numPr>
        <w:spacing w:before="0" w:after="0"/>
        <w:ind w:left="1440"/>
        <w:contextualSpacing w:val="0"/>
        <w:rPr>
          <w:rFonts w:cs="Times New Roman"/>
          <w:szCs w:val="22"/>
        </w:rPr>
      </w:pPr>
      <w:r w:rsidRPr="00D54E42">
        <w:rPr>
          <w:rFonts w:cs="Times New Roman"/>
          <w:szCs w:val="22"/>
        </w:rPr>
        <w:t>(i)</w:t>
      </w:r>
      <w:r w:rsidRPr="00D54E42">
        <w:rPr>
          <w:rFonts w:cs="Times New Roman"/>
          <w:szCs w:val="22"/>
        </w:rPr>
        <w:tab/>
        <w:t xml:space="preserve">the progress achieved, including where/how the Consultant contributed to this </w:t>
      </w:r>
      <w:r w:rsidRPr="00D54E42">
        <w:rPr>
          <w:rFonts w:cs="Times New Roman"/>
          <w:szCs w:val="22"/>
        </w:rPr>
        <w:tab/>
        <w:t>progress;</w:t>
      </w:r>
    </w:p>
    <w:p w14:paraId="393754C4" w14:textId="77777777" w:rsidR="001E6117" w:rsidRPr="00D54E42" w:rsidRDefault="001E6117" w:rsidP="00901CDD">
      <w:pPr>
        <w:pStyle w:val="ListSub"/>
        <w:numPr>
          <w:ilvl w:val="0"/>
          <w:numId w:val="0"/>
        </w:numPr>
        <w:spacing w:before="0" w:after="0"/>
        <w:ind w:left="1440"/>
        <w:contextualSpacing w:val="0"/>
        <w:rPr>
          <w:rFonts w:cs="Times New Roman"/>
          <w:szCs w:val="22"/>
        </w:rPr>
      </w:pPr>
    </w:p>
    <w:p w14:paraId="1ABBC211" w14:textId="0D514B0E" w:rsidR="001E6117" w:rsidRPr="00D54E42" w:rsidRDefault="001E6117" w:rsidP="00901CDD">
      <w:pPr>
        <w:pStyle w:val="ListSub"/>
        <w:numPr>
          <w:ilvl w:val="0"/>
          <w:numId w:val="0"/>
        </w:numPr>
        <w:spacing w:before="0" w:after="0"/>
        <w:ind w:left="2160" w:hanging="720"/>
        <w:contextualSpacing w:val="0"/>
        <w:rPr>
          <w:rFonts w:cs="Times New Roman"/>
          <w:szCs w:val="22"/>
        </w:rPr>
      </w:pPr>
      <w:r w:rsidRPr="00D54E42">
        <w:rPr>
          <w:rFonts w:cs="Times New Roman"/>
          <w:szCs w:val="22"/>
        </w:rPr>
        <w:t>(ii)</w:t>
      </w:r>
      <w:r w:rsidRPr="00D54E42">
        <w:rPr>
          <w:rFonts w:cs="Times New Roman"/>
          <w:szCs w:val="22"/>
        </w:rPr>
        <w:tab/>
        <w:t xml:space="preserve">any major issues </w:t>
      </w:r>
      <w:r w:rsidR="0096534F" w:rsidRPr="00D54E42">
        <w:rPr>
          <w:rFonts w:cs="Times New Roman"/>
          <w:szCs w:val="22"/>
        </w:rPr>
        <w:t>arising and how they can be resolved</w:t>
      </w:r>
      <w:r w:rsidRPr="00D54E42">
        <w:rPr>
          <w:rFonts w:cs="Times New Roman"/>
          <w:szCs w:val="22"/>
        </w:rPr>
        <w:t>; and</w:t>
      </w:r>
    </w:p>
    <w:p w14:paraId="3010B801" w14:textId="77777777" w:rsidR="001E6117" w:rsidRPr="00D54E42" w:rsidRDefault="001E6117" w:rsidP="00901CDD">
      <w:pPr>
        <w:pStyle w:val="ListSub"/>
        <w:numPr>
          <w:ilvl w:val="0"/>
          <w:numId w:val="0"/>
        </w:numPr>
        <w:spacing w:before="0" w:after="0"/>
        <w:ind w:left="1440"/>
        <w:contextualSpacing w:val="0"/>
        <w:rPr>
          <w:rFonts w:cs="Times New Roman"/>
          <w:szCs w:val="22"/>
        </w:rPr>
      </w:pPr>
    </w:p>
    <w:p w14:paraId="67A16F66" w14:textId="53A3F3D8" w:rsidR="001E6117" w:rsidRPr="00D54E42" w:rsidRDefault="001E6117" w:rsidP="00901CDD">
      <w:pPr>
        <w:pStyle w:val="ListSub"/>
        <w:numPr>
          <w:ilvl w:val="0"/>
          <w:numId w:val="0"/>
        </w:numPr>
        <w:spacing w:before="0" w:after="0"/>
        <w:ind w:left="1440"/>
        <w:contextualSpacing w:val="0"/>
        <w:rPr>
          <w:rFonts w:cs="Times New Roman"/>
          <w:szCs w:val="22"/>
        </w:rPr>
      </w:pPr>
      <w:r w:rsidRPr="00D54E42">
        <w:rPr>
          <w:rFonts w:cs="Times New Roman"/>
          <w:szCs w:val="22"/>
        </w:rPr>
        <w:t>(iii)</w:t>
      </w:r>
      <w:r w:rsidRPr="00D54E42">
        <w:rPr>
          <w:rFonts w:cs="Times New Roman"/>
          <w:szCs w:val="22"/>
        </w:rPr>
        <w:tab/>
        <w:t xml:space="preserve">the plans for the subsequent monthly </w:t>
      </w:r>
      <w:r w:rsidR="00340864" w:rsidRPr="00D54E42">
        <w:rPr>
          <w:rFonts w:cs="Times New Roman"/>
          <w:szCs w:val="22"/>
        </w:rPr>
        <w:t xml:space="preserve">reporting </w:t>
      </w:r>
      <w:r w:rsidRPr="00D54E42">
        <w:rPr>
          <w:rFonts w:cs="Times New Roman"/>
          <w:szCs w:val="22"/>
        </w:rPr>
        <w:t>period.</w:t>
      </w:r>
      <w:r w:rsidR="00D13774" w:rsidRPr="00D54E42">
        <w:rPr>
          <w:rFonts w:cs="Times New Roman"/>
          <w:szCs w:val="22"/>
        </w:rPr>
        <w:t xml:space="preserve"> </w:t>
      </w:r>
    </w:p>
    <w:p w14:paraId="2934297D" w14:textId="31BC7720" w:rsidR="0062284D" w:rsidRPr="00D54E42" w:rsidRDefault="0062284D" w:rsidP="00901CDD">
      <w:pPr>
        <w:spacing w:after="0" w:line="240" w:lineRule="auto"/>
        <w:ind w:left="0" w:firstLine="0"/>
        <w:rPr>
          <w:color w:val="auto"/>
          <w:lang w:val="en-US"/>
        </w:rPr>
      </w:pPr>
    </w:p>
    <w:p w14:paraId="37B0F461" w14:textId="64286830" w:rsidR="68D39B49" w:rsidRPr="00D54E42" w:rsidRDefault="68D39B49" w:rsidP="32E274F0">
      <w:pPr>
        <w:spacing w:after="0" w:line="240" w:lineRule="auto"/>
        <w:ind w:left="0" w:firstLine="720"/>
      </w:pPr>
      <w:r w:rsidRPr="00D54E42">
        <w:t>(b)</w:t>
      </w:r>
      <w:r w:rsidRPr="00D54E42">
        <w:tab/>
        <w:t xml:space="preserve">SuRGE progress </w:t>
      </w:r>
      <w:r w:rsidR="3EE7F9C6" w:rsidRPr="00D54E42">
        <w:t xml:space="preserve">and financial </w:t>
      </w:r>
      <w:r w:rsidRPr="00D54E42">
        <w:t xml:space="preserve">reports to be submitted to GAC in accordance with the </w:t>
      </w:r>
      <w:r w:rsidRPr="00D54E42">
        <w:tab/>
      </w:r>
      <w:r w:rsidRPr="00D54E42">
        <w:tab/>
        <w:t>timeline/reporting schedule agreed by CDB and GAC in the SuRGE-related agreements.</w:t>
      </w:r>
    </w:p>
    <w:p w14:paraId="768DB2CD" w14:textId="5A1A0C8A" w:rsidR="32E274F0" w:rsidRPr="00D54E42" w:rsidRDefault="32E274F0" w:rsidP="32E274F0">
      <w:pPr>
        <w:spacing w:after="0" w:line="240" w:lineRule="auto"/>
        <w:ind w:left="0" w:firstLine="0"/>
        <w:rPr>
          <w:color w:val="auto"/>
          <w:lang w:val="en-US"/>
        </w:rPr>
      </w:pPr>
    </w:p>
    <w:p w14:paraId="51285EF9" w14:textId="5CEA9271" w:rsidR="0062284D" w:rsidRPr="00D54E42" w:rsidRDefault="0062284D" w:rsidP="00901CDD">
      <w:pPr>
        <w:pStyle w:val="ListParagraph"/>
        <w:numPr>
          <w:ilvl w:val="0"/>
          <w:numId w:val="3"/>
        </w:numPr>
        <w:autoSpaceDE w:val="0"/>
        <w:autoSpaceDN w:val="0"/>
        <w:adjustRightInd w:val="0"/>
        <w:spacing w:after="0" w:line="240" w:lineRule="auto"/>
        <w:ind w:hanging="720"/>
        <w:contextualSpacing w:val="0"/>
        <w:rPr>
          <w:rFonts w:ascii="Times New Roman" w:hAnsi="Times New Roman" w:cs="Times New Roman"/>
          <w:b/>
          <w:bCs/>
          <w:u w:val="single"/>
        </w:rPr>
      </w:pPr>
      <w:r w:rsidRPr="00D54E42">
        <w:rPr>
          <w:rFonts w:ascii="Times New Roman" w:hAnsi="Times New Roman" w:cs="Times New Roman"/>
          <w:b/>
          <w:bCs/>
          <w:u w:val="single"/>
        </w:rPr>
        <w:t>QUALIFICATIONS AND EXPERIENCE</w:t>
      </w:r>
    </w:p>
    <w:p w14:paraId="14D06A00" w14:textId="77777777" w:rsidR="0062284D" w:rsidRPr="00D54E42" w:rsidRDefault="0062284D" w:rsidP="00901CDD">
      <w:pPr>
        <w:spacing w:after="0"/>
        <w:rPr>
          <w:rFonts w:eastAsiaTheme="minorHAnsi"/>
          <w:lang w:eastAsia="en-US"/>
        </w:rPr>
      </w:pPr>
    </w:p>
    <w:p w14:paraId="1A7F38ED" w14:textId="01CFD9C8" w:rsidR="0062284D" w:rsidRPr="00D54E42" w:rsidRDefault="0062284D" w:rsidP="71C08E42">
      <w:pPr>
        <w:spacing w:after="0"/>
        <w:rPr>
          <w:rFonts w:eastAsiaTheme="minorEastAsia"/>
          <w:lang w:eastAsia="en-US"/>
        </w:rPr>
      </w:pPr>
      <w:r w:rsidRPr="71C08E42">
        <w:rPr>
          <w:rFonts w:eastAsiaTheme="minorEastAsia"/>
          <w:lang w:eastAsia="en-US"/>
        </w:rPr>
        <w:t>5.01</w:t>
      </w:r>
      <w:r>
        <w:tab/>
      </w:r>
      <w:r w:rsidRPr="71C08E42">
        <w:rPr>
          <w:rFonts w:eastAsiaTheme="minorEastAsia"/>
          <w:lang w:eastAsia="en-US"/>
        </w:rPr>
        <w:t>Prospective candidates should have a minimum of the following qualifications</w:t>
      </w:r>
      <w:r w:rsidR="00535557" w:rsidRPr="71C08E42">
        <w:rPr>
          <w:rFonts w:eastAsiaTheme="minorEastAsia"/>
          <w:lang w:eastAsia="en-US"/>
        </w:rPr>
        <w:t xml:space="preserve"> and experience </w:t>
      </w:r>
      <w:r w:rsidRPr="71C08E42">
        <w:rPr>
          <w:rFonts w:eastAsiaTheme="minorEastAsia"/>
          <w:lang w:eastAsia="en-US"/>
        </w:rPr>
        <w:t>:</w:t>
      </w:r>
    </w:p>
    <w:p w14:paraId="1DB7950C" w14:textId="77777777" w:rsidR="0062284D" w:rsidRPr="00D54E42" w:rsidRDefault="0062284D" w:rsidP="00901CDD">
      <w:pPr>
        <w:spacing w:after="0"/>
        <w:rPr>
          <w:rFonts w:eastAsiaTheme="minorHAnsi"/>
          <w:lang w:eastAsia="en-US"/>
        </w:rPr>
      </w:pPr>
    </w:p>
    <w:p w14:paraId="16520989" w14:textId="77777777" w:rsidR="009E373D" w:rsidRPr="00D54E42" w:rsidRDefault="009E373D" w:rsidP="00901CDD">
      <w:pPr>
        <w:pStyle w:val="ListParagraph"/>
        <w:numPr>
          <w:ilvl w:val="0"/>
          <w:numId w:val="20"/>
        </w:numPr>
        <w:spacing w:after="0"/>
        <w:ind w:left="1080"/>
        <w:contextualSpacing w:val="0"/>
        <w:jc w:val="both"/>
        <w:rPr>
          <w:rFonts w:ascii="Times New Roman" w:hAnsi="Times New Roman" w:cs="Times New Roman"/>
        </w:rPr>
      </w:pPr>
      <w:r w:rsidRPr="00D54E42">
        <w:rPr>
          <w:rFonts w:ascii="Times New Roman" w:hAnsi="Times New Roman" w:cs="Times New Roman"/>
        </w:rPr>
        <w:t>A Master’s degree in sustainable energy, engineering, economics or another field that is directly relevant to this assignment.</w:t>
      </w:r>
    </w:p>
    <w:p w14:paraId="31AE316F" w14:textId="77777777" w:rsidR="009E373D" w:rsidRPr="00D54E42" w:rsidRDefault="009E373D" w:rsidP="00901CDD">
      <w:pPr>
        <w:pStyle w:val="ListParagraph"/>
        <w:spacing w:after="0"/>
        <w:ind w:left="711"/>
        <w:contextualSpacing w:val="0"/>
        <w:jc w:val="both"/>
        <w:rPr>
          <w:rFonts w:ascii="Times New Roman" w:hAnsi="Times New Roman" w:cs="Times New Roman"/>
        </w:rPr>
      </w:pPr>
    </w:p>
    <w:p w14:paraId="6C341CA4" w14:textId="25A7999D" w:rsidR="009E373D" w:rsidRPr="00D54E42" w:rsidRDefault="009E373D" w:rsidP="00901CDD">
      <w:pPr>
        <w:pStyle w:val="ListParagraph"/>
        <w:numPr>
          <w:ilvl w:val="0"/>
          <w:numId w:val="20"/>
        </w:numPr>
        <w:spacing w:after="0"/>
        <w:ind w:left="1080"/>
        <w:contextualSpacing w:val="0"/>
        <w:jc w:val="both"/>
        <w:rPr>
          <w:rFonts w:ascii="Times New Roman" w:hAnsi="Times New Roman" w:cs="Times New Roman"/>
        </w:rPr>
      </w:pPr>
      <w:r w:rsidRPr="00D54E42">
        <w:rPr>
          <w:rFonts w:ascii="Times New Roman" w:hAnsi="Times New Roman" w:cs="Times New Roman"/>
        </w:rPr>
        <w:t xml:space="preserve">At least </w:t>
      </w:r>
      <w:r w:rsidR="00652E2E" w:rsidRPr="00D54E42">
        <w:rPr>
          <w:rFonts w:ascii="Times New Roman" w:hAnsi="Times New Roman" w:cs="Times New Roman"/>
        </w:rPr>
        <w:t>six</w:t>
      </w:r>
      <w:r w:rsidRPr="00D54E42">
        <w:rPr>
          <w:rFonts w:ascii="Times New Roman" w:hAnsi="Times New Roman" w:cs="Times New Roman"/>
        </w:rPr>
        <w:t xml:space="preserve"> (</w:t>
      </w:r>
      <w:r w:rsidR="00652E2E" w:rsidRPr="00D54E42">
        <w:rPr>
          <w:rFonts w:ascii="Times New Roman" w:hAnsi="Times New Roman" w:cs="Times New Roman"/>
        </w:rPr>
        <w:t>6</w:t>
      </w:r>
      <w:r w:rsidRPr="00D54E42">
        <w:rPr>
          <w:rFonts w:ascii="Times New Roman" w:hAnsi="Times New Roman" w:cs="Times New Roman"/>
        </w:rPr>
        <w:t xml:space="preserve">) years of experience working in the energy sector, including experience supporting the design, development and/or implementation of utility-scale </w:t>
      </w:r>
      <w:r w:rsidR="0006544A" w:rsidRPr="00D54E42">
        <w:rPr>
          <w:rFonts w:ascii="Times New Roman" w:hAnsi="Times New Roman" w:cs="Times New Roman"/>
        </w:rPr>
        <w:t xml:space="preserve">sustainable energy </w:t>
      </w:r>
      <w:r w:rsidRPr="00D54E42">
        <w:rPr>
          <w:rFonts w:ascii="Times New Roman" w:hAnsi="Times New Roman" w:cs="Times New Roman"/>
        </w:rPr>
        <w:t>projects.</w:t>
      </w:r>
    </w:p>
    <w:p w14:paraId="23C5D8F2" w14:textId="77777777" w:rsidR="009E373D" w:rsidRPr="00D54E42" w:rsidRDefault="009E373D" w:rsidP="00901CDD">
      <w:pPr>
        <w:pStyle w:val="ListParagraph"/>
        <w:spacing w:after="0"/>
        <w:ind w:left="1069"/>
        <w:contextualSpacing w:val="0"/>
        <w:jc w:val="both"/>
        <w:rPr>
          <w:rFonts w:ascii="Times New Roman" w:hAnsi="Times New Roman" w:cs="Times New Roman"/>
        </w:rPr>
      </w:pPr>
    </w:p>
    <w:p w14:paraId="351939A9" w14:textId="0CA166FB" w:rsidR="009E373D" w:rsidRPr="00D54E42" w:rsidRDefault="00652E2E" w:rsidP="00901CDD">
      <w:pPr>
        <w:pStyle w:val="ListParagraph"/>
        <w:numPr>
          <w:ilvl w:val="0"/>
          <w:numId w:val="20"/>
        </w:numPr>
        <w:spacing w:after="0"/>
        <w:ind w:left="1080"/>
        <w:contextualSpacing w:val="0"/>
        <w:jc w:val="both"/>
        <w:rPr>
          <w:rFonts w:ascii="Times New Roman" w:hAnsi="Times New Roman" w:cs="Times New Roman"/>
        </w:rPr>
      </w:pPr>
      <w:r w:rsidRPr="00D54E42">
        <w:rPr>
          <w:rFonts w:ascii="Times New Roman" w:hAnsi="Times New Roman" w:cs="Times New Roman"/>
        </w:rPr>
        <w:t>At least four (4) years of e</w:t>
      </w:r>
      <w:r w:rsidR="009E373D" w:rsidRPr="00D54E42">
        <w:rPr>
          <w:rFonts w:ascii="Times New Roman" w:hAnsi="Times New Roman" w:cs="Times New Roman"/>
        </w:rPr>
        <w:t xml:space="preserve">xperience managing the </w:t>
      </w:r>
      <w:r w:rsidRPr="00D54E42">
        <w:rPr>
          <w:rFonts w:ascii="Times New Roman" w:hAnsi="Times New Roman" w:cs="Times New Roman"/>
        </w:rPr>
        <w:t xml:space="preserve">successful </w:t>
      </w:r>
      <w:r w:rsidR="009E373D" w:rsidRPr="00D54E42">
        <w:rPr>
          <w:rFonts w:ascii="Times New Roman" w:hAnsi="Times New Roman" w:cs="Times New Roman"/>
        </w:rPr>
        <w:t xml:space="preserve">implementation of </w:t>
      </w:r>
      <w:r w:rsidR="0006544A" w:rsidRPr="00D54E42">
        <w:rPr>
          <w:rFonts w:ascii="Times New Roman" w:hAnsi="Times New Roman" w:cs="Times New Roman"/>
        </w:rPr>
        <w:t xml:space="preserve">donor-financed </w:t>
      </w:r>
      <w:r w:rsidR="009E373D" w:rsidRPr="00D54E42">
        <w:rPr>
          <w:rFonts w:ascii="Times New Roman" w:hAnsi="Times New Roman" w:cs="Times New Roman"/>
        </w:rPr>
        <w:t>programmes</w:t>
      </w:r>
      <w:r w:rsidRPr="00D54E42">
        <w:rPr>
          <w:rFonts w:ascii="Times New Roman" w:hAnsi="Times New Roman" w:cs="Times New Roman"/>
        </w:rPr>
        <w:t xml:space="preserve"> and/or projects</w:t>
      </w:r>
      <w:r w:rsidR="009E373D" w:rsidRPr="00D54E42">
        <w:rPr>
          <w:rFonts w:ascii="Times New Roman" w:hAnsi="Times New Roman" w:cs="Times New Roman"/>
        </w:rPr>
        <w:t>.</w:t>
      </w:r>
    </w:p>
    <w:p w14:paraId="583CE6D3" w14:textId="77777777" w:rsidR="009E373D" w:rsidRPr="00D54E42" w:rsidRDefault="009E373D" w:rsidP="00901CDD">
      <w:pPr>
        <w:pStyle w:val="ListParagraph"/>
        <w:spacing w:after="0"/>
        <w:ind w:left="711"/>
        <w:contextualSpacing w:val="0"/>
        <w:jc w:val="both"/>
        <w:rPr>
          <w:rFonts w:ascii="Times New Roman" w:hAnsi="Times New Roman" w:cs="Times New Roman"/>
        </w:rPr>
      </w:pPr>
    </w:p>
    <w:p w14:paraId="5F0983A1" w14:textId="247B0D6F" w:rsidR="009E373D" w:rsidRPr="00D54E42" w:rsidRDefault="009E373D" w:rsidP="00901CDD">
      <w:pPr>
        <w:pStyle w:val="ListParagraph"/>
        <w:numPr>
          <w:ilvl w:val="0"/>
          <w:numId w:val="20"/>
        </w:numPr>
        <w:spacing w:after="0"/>
        <w:ind w:left="1080"/>
        <w:contextualSpacing w:val="0"/>
        <w:jc w:val="both"/>
        <w:rPr>
          <w:rFonts w:ascii="Times New Roman" w:hAnsi="Times New Roman" w:cs="Times New Roman"/>
          <w:color w:val="000000"/>
        </w:rPr>
      </w:pPr>
      <w:r w:rsidRPr="00D54E42">
        <w:rPr>
          <w:rFonts w:ascii="Times New Roman" w:hAnsi="Times New Roman" w:cs="Times New Roman"/>
        </w:rPr>
        <w:t>A strong understanding of the energy transition in the Caribbean context.</w:t>
      </w:r>
    </w:p>
    <w:p w14:paraId="054D7F19" w14:textId="77777777" w:rsidR="009E373D" w:rsidRPr="00D54E42" w:rsidRDefault="009E373D" w:rsidP="00901CDD">
      <w:pPr>
        <w:pStyle w:val="ListParagraph"/>
        <w:spacing w:after="0"/>
        <w:ind w:left="711"/>
        <w:contextualSpacing w:val="0"/>
        <w:jc w:val="both"/>
        <w:rPr>
          <w:rFonts w:ascii="Times New Roman" w:hAnsi="Times New Roman" w:cs="Times New Roman"/>
          <w:color w:val="000000"/>
        </w:rPr>
      </w:pPr>
    </w:p>
    <w:p w14:paraId="4B83CA76" w14:textId="77777777" w:rsidR="009E373D" w:rsidRPr="00D54E42" w:rsidRDefault="009E373D" w:rsidP="00901CDD">
      <w:pPr>
        <w:pStyle w:val="ListParagraph"/>
        <w:numPr>
          <w:ilvl w:val="0"/>
          <w:numId w:val="20"/>
        </w:numPr>
        <w:spacing w:after="0"/>
        <w:ind w:left="1080"/>
        <w:contextualSpacing w:val="0"/>
        <w:jc w:val="both"/>
        <w:rPr>
          <w:rFonts w:ascii="Times New Roman" w:hAnsi="Times New Roman" w:cs="Times New Roman"/>
          <w:color w:val="000000"/>
        </w:rPr>
      </w:pPr>
      <w:r w:rsidRPr="00D54E42">
        <w:rPr>
          <w:rFonts w:ascii="Times New Roman" w:hAnsi="Times New Roman" w:cs="Times New Roman"/>
        </w:rPr>
        <w:t>Excellent written communication skills in English.</w:t>
      </w:r>
    </w:p>
    <w:p w14:paraId="19FAE31B" w14:textId="77777777" w:rsidR="009E373D" w:rsidRPr="00D54E42" w:rsidRDefault="009E373D" w:rsidP="00901CDD">
      <w:pPr>
        <w:pStyle w:val="ListParagraph"/>
        <w:spacing w:after="0"/>
        <w:ind w:left="1069"/>
        <w:contextualSpacing w:val="0"/>
        <w:jc w:val="both"/>
        <w:rPr>
          <w:rFonts w:ascii="Times New Roman" w:hAnsi="Times New Roman" w:cs="Times New Roman"/>
          <w:color w:val="000000"/>
        </w:rPr>
      </w:pPr>
    </w:p>
    <w:p w14:paraId="26BD1A7A" w14:textId="0A6122E1" w:rsidR="009E373D" w:rsidRPr="00D54E42" w:rsidRDefault="009E373D" w:rsidP="00901CDD">
      <w:pPr>
        <w:pStyle w:val="ListParagraph"/>
        <w:numPr>
          <w:ilvl w:val="0"/>
          <w:numId w:val="20"/>
        </w:numPr>
        <w:spacing w:after="0"/>
        <w:ind w:left="1080"/>
        <w:contextualSpacing w:val="0"/>
        <w:jc w:val="both"/>
        <w:rPr>
          <w:rFonts w:ascii="Times New Roman" w:hAnsi="Times New Roman" w:cs="Times New Roman"/>
          <w:color w:val="000000"/>
        </w:rPr>
      </w:pPr>
      <w:r w:rsidRPr="00D54E42">
        <w:rPr>
          <w:rFonts w:ascii="Times New Roman" w:hAnsi="Times New Roman" w:cs="Times New Roman"/>
          <w:color w:val="000000"/>
        </w:rPr>
        <w:t>An ability to interact and collaborate well with external stakeholders at technical and management levels.</w:t>
      </w:r>
    </w:p>
    <w:p w14:paraId="58B3C3A8" w14:textId="77777777" w:rsidR="00105072" w:rsidRPr="00D54E42" w:rsidRDefault="00105072" w:rsidP="00901CDD">
      <w:pPr>
        <w:spacing w:after="0" w:line="240" w:lineRule="auto"/>
        <w:ind w:left="0" w:firstLine="0"/>
        <w:rPr>
          <w:color w:val="auto"/>
        </w:rPr>
      </w:pPr>
    </w:p>
    <w:p w14:paraId="4C221894" w14:textId="77777777" w:rsidR="0062284D" w:rsidRPr="00D54E42" w:rsidRDefault="0062284D" w:rsidP="00901CDD">
      <w:pPr>
        <w:pStyle w:val="ListParagraph"/>
        <w:numPr>
          <w:ilvl w:val="0"/>
          <w:numId w:val="3"/>
        </w:numPr>
        <w:autoSpaceDE w:val="0"/>
        <w:autoSpaceDN w:val="0"/>
        <w:adjustRightInd w:val="0"/>
        <w:spacing w:after="0" w:line="240" w:lineRule="auto"/>
        <w:ind w:hanging="720"/>
        <w:contextualSpacing w:val="0"/>
        <w:jc w:val="both"/>
        <w:rPr>
          <w:rFonts w:ascii="Times New Roman" w:hAnsi="Times New Roman" w:cs="Times New Roman"/>
          <w:b/>
          <w:bCs/>
          <w:u w:val="single"/>
        </w:rPr>
      </w:pPr>
      <w:r w:rsidRPr="00D54E42">
        <w:rPr>
          <w:rFonts w:ascii="Times New Roman" w:hAnsi="Times New Roman" w:cs="Times New Roman"/>
          <w:b/>
          <w:bCs/>
          <w:u w:val="single"/>
        </w:rPr>
        <w:t>DURATION</w:t>
      </w:r>
    </w:p>
    <w:p w14:paraId="5315BCE8" w14:textId="77777777" w:rsidR="0062284D" w:rsidRPr="00D54E42" w:rsidRDefault="0062284D" w:rsidP="00901CDD">
      <w:pPr>
        <w:autoSpaceDE w:val="0"/>
        <w:autoSpaceDN w:val="0"/>
        <w:adjustRightInd w:val="0"/>
        <w:spacing w:after="0" w:line="240" w:lineRule="auto"/>
        <w:rPr>
          <w:rFonts w:eastAsiaTheme="minorHAnsi"/>
          <w:bCs/>
          <w:color w:val="auto"/>
          <w:lang w:eastAsia="en-US"/>
        </w:rPr>
      </w:pPr>
    </w:p>
    <w:p w14:paraId="45A75BB9" w14:textId="4120E650" w:rsidR="00D54457" w:rsidRPr="009E373D" w:rsidRDefault="0062284D" w:rsidP="00901CDD">
      <w:pPr>
        <w:spacing w:after="0" w:line="240" w:lineRule="auto"/>
        <w:rPr>
          <w:color w:val="auto"/>
        </w:rPr>
      </w:pPr>
      <w:r w:rsidRPr="00D54E42">
        <w:rPr>
          <w:color w:val="auto"/>
        </w:rPr>
        <w:t>6.01</w:t>
      </w:r>
      <w:r w:rsidRPr="00D54E42">
        <w:tab/>
      </w:r>
      <w:r w:rsidRPr="00D54E42">
        <w:rPr>
          <w:color w:val="auto"/>
        </w:rPr>
        <w:t xml:space="preserve">The </w:t>
      </w:r>
      <w:r w:rsidR="00DC7396" w:rsidRPr="00D54E42">
        <w:rPr>
          <w:color w:val="auto"/>
        </w:rPr>
        <w:t xml:space="preserve">Consultant </w:t>
      </w:r>
      <w:r w:rsidR="00C758EE" w:rsidRPr="00D54E42">
        <w:rPr>
          <w:color w:val="auto"/>
        </w:rPr>
        <w:t xml:space="preserve">will </w:t>
      </w:r>
      <w:r w:rsidR="00F31B63" w:rsidRPr="00D54E42">
        <w:rPr>
          <w:color w:val="auto"/>
        </w:rPr>
        <w:t xml:space="preserve">be recruited </w:t>
      </w:r>
      <w:r w:rsidR="000E11DB" w:rsidRPr="00D54E42">
        <w:rPr>
          <w:color w:val="auto"/>
        </w:rPr>
        <w:t>on a full-time</w:t>
      </w:r>
      <w:r w:rsidR="000C4471" w:rsidRPr="00D54E42">
        <w:rPr>
          <w:color w:val="auto"/>
        </w:rPr>
        <w:t xml:space="preserve"> basis </w:t>
      </w:r>
      <w:r w:rsidR="12317A97" w:rsidRPr="00D54E42">
        <w:rPr>
          <w:color w:val="auto"/>
        </w:rPr>
        <w:t xml:space="preserve">to work </w:t>
      </w:r>
      <w:r w:rsidR="00CC32DA" w:rsidRPr="00D54E42">
        <w:rPr>
          <w:color w:val="auto"/>
        </w:rPr>
        <w:t xml:space="preserve">from CDB Headquarters in Barbados. The initial contract will be </w:t>
      </w:r>
      <w:r w:rsidRPr="00D54E42">
        <w:rPr>
          <w:color w:val="auto"/>
        </w:rPr>
        <w:t xml:space="preserve">for a duration of </w:t>
      </w:r>
      <w:r w:rsidR="00CC32DA" w:rsidRPr="00D54E42">
        <w:rPr>
          <w:color w:val="auto"/>
        </w:rPr>
        <w:t>twe</w:t>
      </w:r>
      <w:r w:rsidR="31D54DF6" w:rsidRPr="00D54E42">
        <w:rPr>
          <w:color w:val="auto"/>
        </w:rPr>
        <w:t>nty-four</w:t>
      </w:r>
      <w:r w:rsidR="00CC32DA" w:rsidRPr="00D54E42">
        <w:rPr>
          <w:color w:val="auto"/>
        </w:rPr>
        <w:t xml:space="preserve"> (</w:t>
      </w:r>
      <w:r w:rsidR="00DC7396" w:rsidRPr="00D54E42">
        <w:rPr>
          <w:color w:val="auto"/>
        </w:rPr>
        <w:t>2</w:t>
      </w:r>
      <w:r w:rsidR="02BEF658" w:rsidRPr="00D54E42">
        <w:rPr>
          <w:color w:val="auto"/>
        </w:rPr>
        <w:t>4</w:t>
      </w:r>
      <w:r w:rsidR="00CC32DA" w:rsidRPr="00D54E42">
        <w:rPr>
          <w:color w:val="auto"/>
        </w:rPr>
        <w:t>)</w:t>
      </w:r>
      <w:r w:rsidR="00DC7396" w:rsidRPr="00D54E42">
        <w:rPr>
          <w:color w:val="auto"/>
        </w:rPr>
        <w:t xml:space="preserve"> </w:t>
      </w:r>
      <w:r w:rsidRPr="00D54E42">
        <w:rPr>
          <w:color w:val="auto"/>
        </w:rPr>
        <w:t>months</w:t>
      </w:r>
      <w:r w:rsidR="00CC32DA" w:rsidRPr="00D54E42">
        <w:rPr>
          <w:color w:val="auto"/>
        </w:rPr>
        <w:t xml:space="preserve"> with a possibility of extension</w:t>
      </w:r>
      <w:r w:rsidR="00A62B92" w:rsidRPr="00D54E42">
        <w:rPr>
          <w:color w:val="auto"/>
        </w:rPr>
        <w:t>.</w:t>
      </w:r>
    </w:p>
    <w:sectPr w:rsidR="00D54457" w:rsidRPr="009E37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D3D4" w14:textId="77777777" w:rsidR="00517D9C" w:rsidRDefault="00517D9C" w:rsidP="0062284D">
      <w:pPr>
        <w:spacing w:after="0" w:line="240" w:lineRule="auto"/>
      </w:pPr>
      <w:r>
        <w:separator/>
      </w:r>
    </w:p>
  </w:endnote>
  <w:endnote w:type="continuationSeparator" w:id="0">
    <w:p w14:paraId="0C846065" w14:textId="77777777" w:rsidR="00517D9C" w:rsidRDefault="00517D9C" w:rsidP="0062284D">
      <w:pPr>
        <w:spacing w:after="0" w:line="240" w:lineRule="auto"/>
      </w:pPr>
      <w:r>
        <w:continuationSeparator/>
      </w:r>
    </w:p>
  </w:endnote>
  <w:endnote w:type="continuationNotice" w:id="1">
    <w:p w14:paraId="42A139DD" w14:textId="77777777" w:rsidR="00517D9C" w:rsidRDefault="00517D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0C676" w14:textId="77777777" w:rsidR="00517D9C" w:rsidRDefault="00517D9C" w:rsidP="0062284D">
      <w:pPr>
        <w:spacing w:after="0" w:line="240" w:lineRule="auto"/>
      </w:pPr>
      <w:r>
        <w:separator/>
      </w:r>
    </w:p>
  </w:footnote>
  <w:footnote w:type="continuationSeparator" w:id="0">
    <w:p w14:paraId="21299E93" w14:textId="77777777" w:rsidR="00517D9C" w:rsidRDefault="00517D9C" w:rsidP="0062284D">
      <w:pPr>
        <w:spacing w:after="0" w:line="240" w:lineRule="auto"/>
      </w:pPr>
      <w:r>
        <w:continuationSeparator/>
      </w:r>
    </w:p>
  </w:footnote>
  <w:footnote w:type="continuationNotice" w:id="1">
    <w:p w14:paraId="47EE390B" w14:textId="77777777" w:rsidR="00517D9C" w:rsidRDefault="00517D9C">
      <w:pPr>
        <w:spacing w:after="0" w:line="240" w:lineRule="auto"/>
      </w:pPr>
    </w:p>
  </w:footnote>
  <w:footnote w:id="2">
    <w:p w14:paraId="6BD7316E" w14:textId="77777777" w:rsidR="009C20C9" w:rsidRPr="0004730F" w:rsidRDefault="009C20C9" w:rsidP="009C20C9">
      <w:pPr>
        <w:pStyle w:val="FootnoteText"/>
        <w:rPr>
          <w:sz w:val="18"/>
          <w:szCs w:val="18"/>
          <w:lang w:val="en-US"/>
        </w:rPr>
      </w:pPr>
      <w:r w:rsidRPr="0004730F">
        <w:rPr>
          <w:rStyle w:val="FootnoteReference"/>
          <w:sz w:val="18"/>
          <w:szCs w:val="18"/>
        </w:rPr>
        <w:footnoteRef/>
      </w:r>
      <w:r w:rsidRPr="0004730F">
        <w:rPr>
          <w:sz w:val="18"/>
          <w:szCs w:val="18"/>
        </w:rPr>
        <w:t xml:space="preserve"> Climate Studies Group Mona (Eds.). 2020. “The State of the Caribbean Climate”. Produced for the Caribbean Development Bank. Accessible here: </w:t>
      </w:r>
      <w:hyperlink r:id="rId1" w:history="1">
        <w:r w:rsidRPr="0004730F">
          <w:rPr>
            <w:rStyle w:val="Hyperlink"/>
            <w:sz w:val="18"/>
            <w:szCs w:val="18"/>
          </w:rPr>
          <w:t>The State of the Caribbean Climate Report.pdf (caribank.org)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0AF4"/>
    <w:multiLevelType w:val="hybridMultilevel"/>
    <w:tmpl w:val="CC185D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370D3"/>
    <w:multiLevelType w:val="multilevel"/>
    <w:tmpl w:val="1C94BAF2"/>
    <w:lvl w:ilvl="0">
      <w:start w:val="1"/>
      <w:numFmt w:val="lowerLetter"/>
      <w:lvlText w:val="%1."/>
      <w:lvlJc w:val="left"/>
      <w:pPr>
        <w:tabs>
          <w:tab w:val="num" w:pos="720"/>
        </w:tabs>
        <w:ind w:left="720" w:hanging="360"/>
      </w:pPr>
      <w:rPr>
        <w:rFonts w:hint="default"/>
        <w:sz w:val="22"/>
        <w:szCs w:val="22"/>
      </w:rPr>
    </w:lvl>
    <w:lvl w:ilvl="1">
      <w:start w:val="1"/>
      <w:numFmt w:val="lowerRoman"/>
      <w:lvlText w:val="%2."/>
      <w:lvlJc w:val="righ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B59FF"/>
    <w:multiLevelType w:val="hybridMultilevel"/>
    <w:tmpl w:val="702CCC2C"/>
    <w:lvl w:ilvl="0" w:tplc="F6BE72B8">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18CF67E1"/>
    <w:multiLevelType w:val="hybridMultilevel"/>
    <w:tmpl w:val="019C3816"/>
    <w:lvl w:ilvl="0" w:tplc="04070001">
      <w:start w:val="1"/>
      <w:numFmt w:val="bullet"/>
      <w:lvlText w:val=""/>
      <w:lvlJc w:val="left"/>
      <w:pPr>
        <w:ind w:left="722" w:hanging="360"/>
      </w:pPr>
      <w:rPr>
        <w:rFonts w:ascii="Symbol" w:hAnsi="Symbol" w:hint="default"/>
      </w:rPr>
    </w:lvl>
    <w:lvl w:ilvl="1" w:tplc="04070003" w:tentative="1">
      <w:start w:val="1"/>
      <w:numFmt w:val="bullet"/>
      <w:lvlText w:val="o"/>
      <w:lvlJc w:val="left"/>
      <w:pPr>
        <w:ind w:left="1442" w:hanging="360"/>
      </w:pPr>
      <w:rPr>
        <w:rFonts w:ascii="Courier New" w:hAnsi="Courier New" w:cs="Courier New" w:hint="default"/>
      </w:rPr>
    </w:lvl>
    <w:lvl w:ilvl="2" w:tplc="04070005" w:tentative="1">
      <w:start w:val="1"/>
      <w:numFmt w:val="bullet"/>
      <w:lvlText w:val=""/>
      <w:lvlJc w:val="left"/>
      <w:pPr>
        <w:ind w:left="2162" w:hanging="360"/>
      </w:pPr>
      <w:rPr>
        <w:rFonts w:ascii="Wingdings" w:hAnsi="Wingdings" w:hint="default"/>
      </w:rPr>
    </w:lvl>
    <w:lvl w:ilvl="3" w:tplc="04070001" w:tentative="1">
      <w:start w:val="1"/>
      <w:numFmt w:val="bullet"/>
      <w:lvlText w:val=""/>
      <w:lvlJc w:val="left"/>
      <w:pPr>
        <w:ind w:left="2882" w:hanging="360"/>
      </w:pPr>
      <w:rPr>
        <w:rFonts w:ascii="Symbol" w:hAnsi="Symbol" w:hint="default"/>
      </w:rPr>
    </w:lvl>
    <w:lvl w:ilvl="4" w:tplc="04070003" w:tentative="1">
      <w:start w:val="1"/>
      <w:numFmt w:val="bullet"/>
      <w:lvlText w:val="o"/>
      <w:lvlJc w:val="left"/>
      <w:pPr>
        <w:ind w:left="3602" w:hanging="360"/>
      </w:pPr>
      <w:rPr>
        <w:rFonts w:ascii="Courier New" w:hAnsi="Courier New" w:cs="Courier New" w:hint="default"/>
      </w:rPr>
    </w:lvl>
    <w:lvl w:ilvl="5" w:tplc="04070005" w:tentative="1">
      <w:start w:val="1"/>
      <w:numFmt w:val="bullet"/>
      <w:lvlText w:val=""/>
      <w:lvlJc w:val="left"/>
      <w:pPr>
        <w:ind w:left="4322" w:hanging="360"/>
      </w:pPr>
      <w:rPr>
        <w:rFonts w:ascii="Wingdings" w:hAnsi="Wingdings" w:hint="default"/>
      </w:rPr>
    </w:lvl>
    <w:lvl w:ilvl="6" w:tplc="04070001" w:tentative="1">
      <w:start w:val="1"/>
      <w:numFmt w:val="bullet"/>
      <w:lvlText w:val=""/>
      <w:lvlJc w:val="left"/>
      <w:pPr>
        <w:ind w:left="5042" w:hanging="360"/>
      </w:pPr>
      <w:rPr>
        <w:rFonts w:ascii="Symbol" w:hAnsi="Symbol" w:hint="default"/>
      </w:rPr>
    </w:lvl>
    <w:lvl w:ilvl="7" w:tplc="04070003" w:tentative="1">
      <w:start w:val="1"/>
      <w:numFmt w:val="bullet"/>
      <w:lvlText w:val="o"/>
      <w:lvlJc w:val="left"/>
      <w:pPr>
        <w:ind w:left="5762" w:hanging="360"/>
      </w:pPr>
      <w:rPr>
        <w:rFonts w:ascii="Courier New" w:hAnsi="Courier New" w:cs="Courier New" w:hint="default"/>
      </w:rPr>
    </w:lvl>
    <w:lvl w:ilvl="8" w:tplc="04070005" w:tentative="1">
      <w:start w:val="1"/>
      <w:numFmt w:val="bullet"/>
      <w:lvlText w:val=""/>
      <w:lvlJc w:val="left"/>
      <w:pPr>
        <w:ind w:left="6482" w:hanging="360"/>
      </w:pPr>
      <w:rPr>
        <w:rFonts w:ascii="Wingdings" w:hAnsi="Wingdings" w:hint="default"/>
      </w:rPr>
    </w:lvl>
  </w:abstractNum>
  <w:abstractNum w:abstractNumId="4" w15:restartNumberingAfterBreak="0">
    <w:nsid w:val="248661A7"/>
    <w:multiLevelType w:val="hybridMultilevel"/>
    <w:tmpl w:val="3342C0DA"/>
    <w:lvl w:ilvl="0" w:tplc="1766031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383B6EA3"/>
    <w:multiLevelType w:val="hybridMultilevel"/>
    <w:tmpl w:val="6ADE3014"/>
    <w:lvl w:ilvl="0" w:tplc="15F6D9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D5B1A"/>
    <w:multiLevelType w:val="hybridMultilevel"/>
    <w:tmpl w:val="6EB826C8"/>
    <w:lvl w:ilvl="0" w:tplc="C988FE54">
      <w:start w:val="1"/>
      <w:numFmt w:val="lowerLetter"/>
      <w:lvlText w:val="(%1)"/>
      <w:lvlJc w:val="left"/>
      <w:pPr>
        <w:ind w:left="730" w:hanging="3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89D160F"/>
    <w:multiLevelType w:val="hybridMultilevel"/>
    <w:tmpl w:val="40D6A758"/>
    <w:lvl w:ilvl="0" w:tplc="7C0C6DD4">
      <w:start w:val="1"/>
      <w:numFmt w:val="decimal"/>
      <w:lvlText w:val="%1."/>
      <w:lvlJc w:val="left"/>
      <w:pPr>
        <w:ind w:left="371" w:hanging="360"/>
      </w:pPr>
      <w:rPr>
        <w:rFonts w:hint="default"/>
        <w:b/>
        <w:bCs/>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8" w15:restartNumberingAfterBreak="0">
    <w:nsid w:val="403333CF"/>
    <w:multiLevelType w:val="hybridMultilevel"/>
    <w:tmpl w:val="6EDC9044"/>
    <w:lvl w:ilvl="0" w:tplc="B644E0D8">
      <w:start w:val="1"/>
      <w:numFmt w:val="lowerLetter"/>
      <w:lvlText w:val="(%1)"/>
      <w:lvlJc w:val="left"/>
      <w:pPr>
        <w:ind w:left="1080" w:hanging="360"/>
      </w:pPr>
      <w:rPr>
        <w:rFonts w:eastAsiaTheme="minorHAns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4E6F3E91"/>
    <w:multiLevelType w:val="hybridMultilevel"/>
    <w:tmpl w:val="09A8C960"/>
    <w:lvl w:ilvl="0" w:tplc="04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E81967"/>
    <w:multiLevelType w:val="hybridMultilevel"/>
    <w:tmpl w:val="0C2EC18C"/>
    <w:lvl w:ilvl="0" w:tplc="08E80B54">
      <w:start w:val="1"/>
      <w:numFmt w:val="decimal"/>
      <w:lvlText w:val="%1."/>
      <w:lvlJc w:val="left"/>
      <w:pPr>
        <w:ind w:left="362" w:hanging="360"/>
      </w:pPr>
      <w:rPr>
        <w:rFonts w:hint="default"/>
        <w:b/>
        <w:u w:val="none"/>
      </w:rPr>
    </w:lvl>
    <w:lvl w:ilvl="1" w:tplc="5C408E36">
      <w:start w:val="1"/>
      <w:numFmt w:val="lowerRoman"/>
      <w:lvlText w:val="%2."/>
      <w:lvlJc w:val="left"/>
      <w:pPr>
        <w:ind w:left="1442" w:hanging="720"/>
      </w:pPr>
      <w:rPr>
        <w:rFonts w:hint="default"/>
      </w:r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1" w15:restartNumberingAfterBreak="0">
    <w:nsid w:val="580D4444"/>
    <w:multiLevelType w:val="hybridMultilevel"/>
    <w:tmpl w:val="4A8415F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2" w15:restartNumberingAfterBreak="0">
    <w:nsid w:val="59FE2A7D"/>
    <w:multiLevelType w:val="multilevel"/>
    <w:tmpl w:val="614C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B3EA0"/>
    <w:multiLevelType w:val="hybridMultilevel"/>
    <w:tmpl w:val="E782F32E"/>
    <w:lvl w:ilvl="0" w:tplc="7DE8D1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C78291F"/>
    <w:multiLevelType w:val="multilevel"/>
    <w:tmpl w:val="1C94BAF2"/>
    <w:lvl w:ilvl="0">
      <w:start w:val="1"/>
      <w:numFmt w:val="lowerLetter"/>
      <w:lvlText w:val="%1."/>
      <w:lvlJc w:val="left"/>
      <w:pPr>
        <w:tabs>
          <w:tab w:val="num" w:pos="720"/>
        </w:tabs>
        <w:ind w:left="720" w:hanging="360"/>
      </w:pPr>
      <w:rPr>
        <w:rFonts w:hint="default"/>
        <w:sz w:val="22"/>
        <w:szCs w:val="22"/>
      </w:rPr>
    </w:lvl>
    <w:lvl w:ilvl="1">
      <w:start w:val="1"/>
      <w:numFmt w:val="lowerRoman"/>
      <w:lvlText w:val="%2."/>
      <w:lvlJc w:val="righ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F82745"/>
    <w:multiLevelType w:val="hybridMultilevel"/>
    <w:tmpl w:val="0EF2C6AA"/>
    <w:lvl w:ilvl="0" w:tplc="92D2EE64">
      <w:start w:val="1"/>
      <w:numFmt w:val="lowerLetter"/>
      <w:lvlText w:val="%1)"/>
      <w:lvlJc w:val="left"/>
      <w:pPr>
        <w:ind w:left="720" w:hanging="360"/>
      </w:pPr>
      <w:rPr>
        <w:rFonts w:hint="default"/>
      </w:rPr>
    </w:lvl>
    <w:lvl w:ilvl="1" w:tplc="090C7696">
      <w:start w:val="1"/>
      <w:numFmt w:val="lowerLetter"/>
      <w:pStyle w:val="ListSub"/>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6104D0"/>
    <w:multiLevelType w:val="hybridMultilevel"/>
    <w:tmpl w:val="6334509C"/>
    <w:lvl w:ilvl="0" w:tplc="3AB0D3F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4C69C8"/>
    <w:multiLevelType w:val="hybridMultilevel"/>
    <w:tmpl w:val="7FA8BD4A"/>
    <w:lvl w:ilvl="0" w:tplc="D72C75D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752015"/>
    <w:multiLevelType w:val="hybridMultilevel"/>
    <w:tmpl w:val="F93409B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9" w15:restartNumberingAfterBreak="0">
    <w:nsid w:val="7EA55135"/>
    <w:multiLevelType w:val="hybridMultilevel"/>
    <w:tmpl w:val="69ECFFA8"/>
    <w:lvl w:ilvl="0" w:tplc="E00CB488">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107965834">
    <w:abstractNumId w:val="10"/>
  </w:num>
  <w:num w:numId="2" w16cid:durableId="123816715">
    <w:abstractNumId w:val="17"/>
  </w:num>
  <w:num w:numId="3" w16cid:durableId="2066830026">
    <w:abstractNumId w:val="16"/>
  </w:num>
  <w:num w:numId="4" w16cid:durableId="1691300482">
    <w:abstractNumId w:val="19"/>
  </w:num>
  <w:num w:numId="5" w16cid:durableId="1264991334">
    <w:abstractNumId w:val="13"/>
  </w:num>
  <w:num w:numId="6" w16cid:durableId="1871213140">
    <w:abstractNumId w:val="7"/>
  </w:num>
  <w:num w:numId="7" w16cid:durableId="212885050">
    <w:abstractNumId w:val="5"/>
  </w:num>
  <w:num w:numId="8" w16cid:durableId="517081372">
    <w:abstractNumId w:val="11"/>
  </w:num>
  <w:num w:numId="9" w16cid:durableId="1015035537">
    <w:abstractNumId w:val="12"/>
  </w:num>
  <w:num w:numId="10" w16cid:durableId="481626920">
    <w:abstractNumId w:val="14"/>
  </w:num>
  <w:num w:numId="11" w16cid:durableId="861942573">
    <w:abstractNumId w:val="0"/>
  </w:num>
  <w:num w:numId="12" w16cid:durableId="474639317">
    <w:abstractNumId w:val="9"/>
  </w:num>
  <w:num w:numId="13" w16cid:durableId="21978748">
    <w:abstractNumId w:val="3"/>
  </w:num>
  <w:num w:numId="14" w16cid:durableId="871262239">
    <w:abstractNumId w:val="18"/>
  </w:num>
  <w:num w:numId="15" w16cid:durableId="779302708">
    <w:abstractNumId w:val="15"/>
  </w:num>
  <w:num w:numId="16" w16cid:durableId="740180963">
    <w:abstractNumId w:val="1"/>
  </w:num>
  <w:num w:numId="17" w16cid:durableId="1207988798">
    <w:abstractNumId w:val="4"/>
  </w:num>
  <w:num w:numId="18" w16cid:durableId="950238398">
    <w:abstractNumId w:val="8"/>
  </w:num>
  <w:num w:numId="19" w16cid:durableId="1271352817">
    <w:abstractNumId w:val="6"/>
  </w:num>
  <w:num w:numId="20" w16cid:durableId="1903638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wMTE0MjIwNzAyszRW0lEKTi0uzszPAykwrAUAIyjmriwAAAA="/>
  </w:docVars>
  <w:rsids>
    <w:rsidRoot w:val="0062284D"/>
    <w:rsid w:val="000020B3"/>
    <w:rsid w:val="00015EE0"/>
    <w:rsid w:val="000228A2"/>
    <w:rsid w:val="00026CA0"/>
    <w:rsid w:val="00040151"/>
    <w:rsid w:val="00051D0D"/>
    <w:rsid w:val="000529E7"/>
    <w:rsid w:val="00052DDD"/>
    <w:rsid w:val="000567AE"/>
    <w:rsid w:val="00063FE8"/>
    <w:rsid w:val="0006544A"/>
    <w:rsid w:val="00065B65"/>
    <w:rsid w:val="00084D83"/>
    <w:rsid w:val="0008672A"/>
    <w:rsid w:val="00094BCC"/>
    <w:rsid w:val="00095570"/>
    <w:rsid w:val="000A1972"/>
    <w:rsid w:val="000A784A"/>
    <w:rsid w:val="000A7A61"/>
    <w:rsid w:val="000B3F46"/>
    <w:rsid w:val="000B62A1"/>
    <w:rsid w:val="000C2E8E"/>
    <w:rsid w:val="000C4471"/>
    <w:rsid w:val="000C70BF"/>
    <w:rsid w:val="000E0CAC"/>
    <w:rsid w:val="000E11DB"/>
    <w:rsid w:val="000F02D2"/>
    <w:rsid w:val="000F036A"/>
    <w:rsid w:val="000F356B"/>
    <w:rsid w:val="00100297"/>
    <w:rsid w:val="001003A5"/>
    <w:rsid w:val="0010323F"/>
    <w:rsid w:val="00105072"/>
    <w:rsid w:val="00113B3A"/>
    <w:rsid w:val="00125E45"/>
    <w:rsid w:val="00127A4B"/>
    <w:rsid w:val="00127F24"/>
    <w:rsid w:val="00130A03"/>
    <w:rsid w:val="00143C15"/>
    <w:rsid w:val="001468BC"/>
    <w:rsid w:val="00146B11"/>
    <w:rsid w:val="00147946"/>
    <w:rsid w:val="00147FB9"/>
    <w:rsid w:val="00161A38"/>
    <w:rsid w:val="001633D0"/>
    <w:rsid w:val="001637AD"/>
    <w:rsid w:val="001648EF"/>
    <w:rsid w:val="001652E5"/>
    <w:rsid w:val="001653FA"/>
    <w:rsid w:val="0016723C"/>
    <w:rsid w:val="00171306"/>
    <w:rsid w:val="00181018"/>
    <w:rsid w:val="00182D4F"/>
    <w:rsid w:val="00191022"/>
    <w:rsid w:val="001913FA"/>
    <w:rsid w:val="001934F7"/>
    <w:rsid w:val="001B05AC"/>
    <w:rsid w:val="001B170D"/>
    <w:rsid w:val="001B7C9C"/>
    <w:rsid w:val="001C38EA"/>
    <w:rsid w:val="001C5E27"/>
    <w:rsid w:val="001C5F76"/>
    <w:rsid w:val="001D3709"/>
    <w:rsid w:val="001D4184"/>
    <w:rsid w:val="001D59BA"/>
    <w:rsid w:val="001D5D59"/>
    <w:rsid w:val="001E1CF5"/>
    <w:rsid w:val="001E352D"/>
    <w:rsid w:val="001E6117"/>
    <w:rsid w:val="001F46A4"/>
    <w:rsid w:val="001F74C8"/>
    <w:rsid w:val="002042F9"/>
    <w:rsid w:val="002043B0"/>
    <w:rsid w:val="0020631D"/>
    <w:rsid w:val="0020657C"/>
    <w:rsid w:val="00206C7F"/>
    <w:rsid w:val="00222C33"/>
    <w:rsid w:val="00222DC5"/>
    <w:rsid w:val="002230D4"/>
    <w:rsid w:val="00223EA1"/>
    <w:rsid w:val="00227C72"/>
    <w:rsid w:val="002410FE"/>
    <w:rsid w:val="00252957"/>
    <w:rsid w:val="0025567A"/>
    <w:rsid w:val="00264A77"/>
    <w:rsid w:val="00266502"/>
    <w:rsid w:val="0026757E"/>
    <w:rsid w:val="00273E18"/>
    <w:rsid w:val="00275F2A"/>
    <w:rsid w:val="00280C70"/>
    <w:rsid w:val="002A37A9"/>
    <w:rsid w:val="002A3946"/>
    <w:rsid w:val="002A4DDF"/>
    <w:rsid w:val="002C10CA"/>
    <w:rsid w:val="002C2F01"/>
    <w:rsid w:val="002D570D"/>
    <w:rsid w:val="002E0CCF"/>
    <w:rsid w:val="002E324C"/>
    <w:rsid w:val="002F0EA0"/>
    <w:rsid w:val="002F1428"/>
    <w:rsid w:val="002F1A13"/>
    <w:rsid w:val="002F6354"/>
    <w:rsid w:val="002F751E"/>
    <w:rsid w:val="00304F0B"/>
    <w:rsid w:val="00310ECA"/>
    <w:rsid w:val="00315962"/>
    <w:rsid w:val="00337E5B"/>
    <w:rsid w:val="00340864"/>
    <w:rsid w:val="00340F68"/>
    <w:rsid w:val="003467B6"/>
    <w:rsid w:val="00346894"/>
    <w:rsid w:val="00346936"/>
    <w:rsid w:val="00350D4E"/>
    <w:rsid w:val="00351DB9"/>
    <w:rsid w:val="003579D3"/>
    <w:rsid w:val="00371134"/>
    <w:rsid w:val="00377C93"/>
    <w:rsid w:val="003826D4"/>
    <w:rsid w:val="00382CD0"/>
    <w:rsid w:val="00386AB4"/>
    <w:rsid w:val="00390939"/>
    <w:rsid w:val="003B4A13"/>
    <w:rsid w:val="003C1629"/>
    <w:rsid w:val="003C4CEF"/>
    <w:rsid w:val="003C5960"/>
    <w:rsid w:val="003C5A58"/>
    <w:rsid w:val="003E096A"/>
    <w:rsid w:val="003E4D1C"/>
    <w:rsid w:val="00400C72"/>
    <w:rsid w:val="0040447E"/>
    <w:rsid w:val="0040476A"/>
    <w:rsid w:val="00424F7E"/>
    <w:rsid w:val="00442B54"/>
    <w:rsid w:val="00444E7B"/>
    <w:rsid w:val="00446B40"/>
    <w:rsid w:val="004473BB"/>
    <w:rsid w:val="0045022F"/>
    <w:rsid w:val="0045156C"/>
    <w:rsid w:val="00462048"/>
    <w:rsid w:val="0046647E"/>
    <w:rsid w:val="0046795C"/>
    <w:rsid w:val="0047252F"/>
    <w:rsid w:val="004769FD"/>
    <w:rsid w:val="00482B99"/>
    <w:rsid w:val="004856D9"/>
    <w:rsid w:val="00487D9F"/>
    <w:rsid w:val="00490FF6"/>
    <w:rsid w:val="0049203C"/>
    <w:rsid w:val="0049205A"/>
    <w:rsid w:val="00496581"/>
    <w:rsid w:val="004A3E2A"/>
    <w:rsid w:val="004A523E"/>
    <w:rsid w:val="004A53CD"/>
    <w:rsid w:val="004B08F8"/>
    <w:rsid w:val="004B33A4"/>
    <w:rsid w:val="004B412B"/>
    <w:rsid w:val="004B5570"/>
    <w:rsid w:val="004C1170"/>
    <w:rsid w:val="004C1E00"/>
    <w:rsid w:val="004C3909"/>
    <w:rsid w:val="004D7EF0"/>
    <w:rsid w:val="004E0810"/>
    <w:rsid w:val="004E1485"/>
    <w:rsid w:val="004E39D2"/>
    <w:rsid w:val="004E660C"/>
    <w:rsid w:val="004F6EC1"/>
    <w:rsid w:val="00507028"/>
    <w:rsid w:val="00513A4E"/>
    <w:rsid w:val="00517D9C"/>
    <w:rsid w:val="00522080"/>
    <w:rsid w:val="00526B82"/>
    <w:rsid w:val="005275E6"/>
    <w:rsid w:val="00527DBC"/>
    <w:rsid w:val="00530CC3"/>
    <w:rsid w:val="0053117E"/>
    <w:rsid w:val="00532EA4"/>
    <w:rsid w:val="00535557"/>
    <w:rsid w:val="00541F3D"/>
    <w:rsid w:val="00547341"/>
    <w:rsid w:val="00550EEE"/>
    <w:rsid w:val="005546D0"/>
    <w:rsid w:val="00560B31"/>
    <w:rsid w:val="00566B6E"/>
    <w:rsid w:val="00566CA3"/>
    <w:rsid w:val="00576431"/>
    <w:rsid w:val="00576DEB"/>
    <w:rsid w:val="00577242"/>
    <w:rsid w:val="0058016D"/>
    <w:rsid w:val="005834CD"/>
    <w:rsid w:val="00585691"/>
    <w:rsid w:val="00591D34"/>
    <w:rsid w:val="005A2C41"/>
    <w:rsid w:val="005B1C54"/>
    <w:rsid w:val="005B2A9F"/>
    <w:rsid w:val="005B301A"/>
    <w:rsid w:val="005B3F49"/>
    <w:rsid w:val="005B4538"/>
    <w:rsid w:val="005C1410"/>
    <w:rsid w:val="005C2B2F"/>
    <w:rsid w:val="005D0F42"/>
    <w:rsid w:val="005D46A0"/>
    <w:rsid w:val="005E1A73"/>
    <w:rsid w:val="005F2005"/>
    <w:rsid w:val="005F2FED"/>
    <w:rsid w:val="005F3B6C"/>
    <w:rsid w:val="005F698D"/>
    <w:rsid w:val="006000C6"/>
    <w:rsid w:val="00603C0C"/>
    <w:rsid w:val="0061134B"/>
    <w:rsid w:val="00617810"/>
    <w:rsid w:val="00617AD7"/>
    <w:rsid w:val="0062284D"/>
    <w:rsid w:val="00624302"/>
    <w:rsid w:val="00625079"/>
    <w:rsid w:val="0063369A"/>
    <w:rsid w:val="00634928"/>
    <w:rsid w:val="006468D7"/>
    <w:rsid w:val="006507B7"/>
    <w:rsid w:val="00652E2E"/>
    <w:rsid w:val="00655C19"/>
    <w:rsid w:val="00663029"/>
    <w:rsid w:val="0066548F"/>
    <w:rsid w:val="006747C1"/>
    <w:rsid w:val="00675ECB"/>
    <w:rsid w:val="00676FC0"/>
    <w:rsid w:val="00684594"/>
    <w:rsid w:val="00687B2C"/>
    <w:rsid w:val="0069726C"/>
    <w:rsid w:val="006974C7"/>
    <w:rsid w:val="006A04C2"/>
    <w:rsid w:val="006A30B1"/>
    <w:rsid w:val="006A4490"/>
    <w:rsid w:val="006B6EE7"/>
    <w:rsid w:val="006C38E1"/>
    <w:rsid w:val="006C61A6"/>
    <w:rsid w:val="006C785E"/>
    <w:rsid w:val="006D4435"/>
    <w:rsid w:val="006D76A7"/>
    <w:rsid w:val="006D7D0B"/>
    <w:rsid w:val="006E1DBF"/>
    <w:rsid w:val="006F6564"/>
    <w:rsid w:val="00700869"/>
    <w:rsid w:val="00700F53"/>
    <w:rsid w:val="007016D1"/>
    <w:rsid w:val="0070495C"/>
    <w:rsid w:val="007065AD"/>
    <w:rsid w:val="00710FD3"/>
    <w:rsid w:val="00721AD9"/>
    <w:rsid w:val="00732A74"/>
    <w:rsid w:val="00736B4D"/>
    <w:rsid w:val="007429A8"/>
    <w:rsid w:val="00742B67"/>
    <w:rsid w:val="007445C4"/>
    <w:rsid w:val="00744AF2"/>
    <w:rsid w:val="00746AFC"/>
    <w:rsid w:val="0075470A"/>
    <w:rsid w:val="00757167"/>
    <w:rsid w:val="00771855"/>
    <w:rsid w:val="00773703"/>
    <w:rsid w:val="00787062"/>
    <w:rsid w:val="007905D8"/>
    <w:rsid w:val="007A0AFF"/>
    <w:rsid w:val="007A4197"/>
    <w:rsid w:val="007A4502"/>
    <w:rsid w:val="007B7180"/>
    <w:rsid w:val="007D2604"/>
    <w:rsid w:val="007D32C9"/>
    <w:rsid w:val="007D38E9"/>
    <w:rsid w:val="007E6072"/>
    <w:rsid w:val="007E7E90"/>
    <w:rsid w:val="007F22B7"/>
    <w:rsid w:val="007F2F32"/>
    <w:rsid w:val="00806643"/>
    <w:rsid w:val="008106F2"/>
    <w:rsid w:val="00823F00"/>
    <w:rsid w:val="008244D6"/>
    <w:rsid w:val="00826A50"/>
    <w:rsid w:val="008332DF"/>
    <w:rsid w:val="00845E74"/>
    <w:rsid w:val="00881DD4"/>
    <w:rsid w:val="008901D4"/>
    <w:rsid w:val="00895EB9"/>
    <w:rsid w:val="008A5F0B"/>
    <w:rsid w:val="008A60DA"/>
    <w:rsid w:val="008A7F88"/>
    <w:rsid w:val="008B42BA"/>
    <w:rsid w:val="008B6704"/>
    <w:rsid w:val="008C44BF"/>
    <w:rsid w:val="008D0BEC"/>
    <w:rsid w:val="008D36BA"/>
    <w:rsid w:val="008D4FA3"/>
    <w:rsid w:val="008E07F7"/>
    <w:rsid w:val="008F3C9D"/>
    <w:rsid w:val="00901CDD"/>
    <w:rsid w:val="00902036"/>
    <w:rsid w:val="00902B2D"/>
    <w:rsid w:val="00906BAF"/>
    <w:rsid w:val="009143AE"/>
    <w:rsid w:val="00931580"/>
    <w:rsid w:val="00933305"/>
    <w:rsid w:val="0093507E"/>
    <w:rsid w:val="00936474"/>
    <w:rsid w:val="00964361"/>
    <w:rsid w:val="0096534F"/>
    <w:rsid w:val="0096697E"/>
    <w:rsid w:val="00973EBF"/>
    <w:rsid w:val="009766BB"/>
    <w:rsid w:val="00980AE8"/>
    <w:rsid w:val="009841A5"/>
    <w:rsid w:val="00984291"/>
    <w:rsid w:val="00985872"/>
    <w:rsid w:val="009910C9"/>
    <w:rsid w:val="009A013B"/>
    <w:rsid w:val="009A7921"/>
    <w:rsid w:val="009A7F64"/>
    <w:rsid w:val="009B2043"/>
    <w:rsid w:val="009C20C9"/>
    <w:rsid w:val="009C2466"/>
    <w:rsid w:val="009CAF23"/>
    <w:rsid w:val="009D0A35"/>
    <w:rsid w:val="009D2022"/>
    <w:rsid w:val="009D20BD"/>
    <w:rsid w:val="009D2F2B"/>
    <w:rsid w:val="009D63E0"/>
    <w:rsid w:val="009E373D"/>
    <w:rsid w:val="009E6FEE"/>
    <w:rsid w:val="009F2F68"/>
    <w:rsid w:val="009F3655"/>
    <w:rsid w:val="009F4518"/>
    <w:rsid w:val="009F67F3"/>
    <w:rsid w:val="00A0223D"/>
    <w:rsid w:val="00A03703"/>
    <w:rsid w:val="00A0567A"/>
    <w:rsid w:val="00A11843"/>
    <w:rsid w:val="00A16723"/>
    <w:rsid w:val="00A21507"/>
    <w:rsid w:val="00A245AB"/>
    <w:rsid w:val="00A2569E"/>
    <w:rsid w:val="00A46450"/>
    <w:rsid w:val="00A467F6"/>
    <w:rsid w:val="00A46E1C"/>
    <w:rsid w:val="00A6032C"/>
    <w:rsid w:val="00A61605"/>
    <w:rsid w:val="00A61B6A"/>
    <w:rsid w:val="00A6243A"/>
    <w:rsid w:val="00A62B92"/>
    <w:rsid w:val="00A644F6"/>
    <w:rsid w:val="00A711D6"/>
    <w:rsid w:val="00A715BA"/>
    <w:rsid w:val="00A911D4"/>
    <w:rsid w:val="00A94933"/>
    <w:rsid w:val="00A97A78"/>
    <w:rsid w:val="00AA4FEF"/>
    <w:rsid w:val="00AB1592"/>
    <w:rsid w:val="00AB6FBC"/>
    <w:rsid w:val="00AC7244"/>
    <w:rsid w:val="00AD0ADD"/>
    <w:rsid w:val="00AD42A5"/>
    <w:rsid w:val="00AE4618"/>
    <w:rsid w:val="00AE710B"/>
    <w:rsid w:val="00AE7609"/>
    <w:rsid w:val="00AF661A"/>
    <w:rsid w:val="00AF6F16"/>
    <w:rsid w:val="00B018F7"/>
    <w:rsid w:val="00B02403"/>
    <w:rsid w:val="00B145C3"/>
    <w:rsid w:val="00B1468C"/>
    <w:rsid w:val="00B15E99"/>
    <w:rsid w:val="00B17456"/>
    <w:rsid w:val="00B17F6D"/>
    <w:rsid w:val="00B26D81"/>
    <w:rsid w:val="00B32C10"/>
    <w:rsid w:val="00B32EBB"/>
    <w:rsid w:val="00B4085E"/>
    <w:rsid w:val="00B465AD"/>
    <w:rsid w:val="00B46C32"/>
    <w:rsid w:val="00B50A9B"/>
    <w:rsid w:val="00B55D99"/>
    <w:rsid w:val="00B56CD8"/>
    <w:rsid w:val="00B62078"/>
    <w:rsid w:val="00B65B18"/>
    <w:rsid w:val="00B66E90"/>
    <w:rsid w:val="00B726E4"/>
    <w:rsid w:val="00B83A0F"/>
    <w:rsid w:val="00B8543E"/>
    <w:rsid w:val="00B863D8"/>
    <w:rsid w:val="00B92DA6"/>
    <w:rsid w:val="00B958BC"/>
    <w:rsid w:val="00BA0A19"/>
    <w:rsid w:val="00BA70D8"/>
    <w:rsid w:val="00BB19CB"/>
    <w:rsid w:val="00BB4472"/>
    <w:rsid w:val="00BC4D86"/>
    <w:rsid w:val="00BC5F73"/>
    <w:rsid w:val="00BC744C"/>
    <w:rsid w:val="00BD203C"/>
    <w:rsid w:val="00BD537C"/>
    <w:rsid w:val="00BE0CD5"/>
    <w:rsid w:val="00BE4D2C"/>
    <w:rsid w:val="00BE6065"/>
    <w:rsid w:val="00BE67E7"/>
    <w:rsid w:val="00BE69DD"/>
    <w:rsid w:val="00BF15B4"/>
    <w:rsid w:val="00C016D9"/>
    <w:rsid w:val="00C04954"/>
    <w:rsid w:val="00C05639"/>
    <w:rsid w:val="00C07B31"/>
    <w:rsid w:val="00C17AEC"/>
    <w:rsid w:val="00C36A24"/>
    <w:rsid w:val="00C431D3"/>
    <w:rsid w:val="00C67529"/>
    <w:rsid w:val="00C7213C"/>
    <w:rsid w:val="00C75884"/>
    <w:rsid w:val="00C758EE"/>
    <w:rsid w:val="00C87B0A"/>
    <w:rsid w:val="00C95923"/>
    <w:rsid w:val="00C97281"/>
    <w:rsid w:val="00CA02B0"/>
    <w:rsid w:val="00CA14B1"/>
    <w:rsid w:val="00CA5A1E"/>
    <w:rsid w:val="00CB0139"/>
    <w:rsid w:val="00CC1EF4"/>
    <w:rsid w:val="00CC32DA"/>
    <w:rsid w:val="00CE67FE"/>
    <w:rsid w:val="00CE73D8"/>
    <w:rsid w:val="00CF03B3"/>
    <w:rsid w:val="00CF2CD6"/>
    <w:rsid w:val="00CF52FB"/>
    <w:rsid w:val="00CF7408"/>
    <w:rsid w:val="00D00D8C"/>
    <w:rsid w:val="00D0300D"/>
    <w:rsid w:val="00D102AD"/>
    <w:rsid w:val="00D1203C"/>
    <w:rsid w:val="00D13774"/>
    <w:rsid w:val="00D14BBE"/>
    <w:rsid w:val="00D17993"/>
    <w:rsid w:val="00D20145"/>
    <w:rsid w:val="00D22015"/>
    <w:rsid w:val="00D233EB"/>
    <w:rsid w:val="00D234CC"/>
    <w:rsid w:val="00D24800"/>
    <w:rsid w:val="00D264BC"/>
    <w:rsid w:val="00D272DF"/>
    <w:rsid w:val="00D30FE5"/>
    <w:rsid w:val="00D31736"/>
    <w:rsid w:val="00D31C4F"/>
    <w:rsid w:val="00D43690"/>
    <w:rsid w:val="00D46046"/>
    <w:rsid w:val="00D50CA6"/>
    <w:rsid w:val="00D535E9"/>
    <w:rsid w:val="00D54457"/>
    <w:rsid w:val="00D54E42"/>
    <w:rsid w:val="00D704CD"/>
    <w:rsid w:val="00D72C57"/>
    <w:rsid w:val="00D751B4"/>
    <w:rsid w:val="00D82505"/>
    <w:rsid w:val="00D87B8F"/>
    <w:rsid w:val="00D9107D"/>
    <w:rsid w:val="00DA3E36"/>
    <w:rsid w:val="00DA498F"/>
    <w:rsid w:val="00DC33C3"/>
    <w:rsid w:val="00DC4EA4"/>
    <w:rsid w:val="00DC7396"/>
    <w:rsid w:val="00DD642D"/>
    <w:rsid w:val="00DE6941"/>
    <w:rsid w:val="00DF318B"/>
    <w:rsid w:val="00DF52CD"/>
    <w:rsid w:val="00DF7297"/>
    <w:rsid w:val="00E05B39"/>
    <w:rsid w:val="00E07FEB"/>
    <w:rsid w:val="00E1285A"/>
    <w:rsid w:val="00E15F30"/>
    <w:rsid w:val="00E24F75"/>
    <w:rsid w:val="00E423C7"/>
    <w:rsid w:val="00E53F1D"/>
    <w:rsid w:val="00E5554F"/>
    <w:rsid w:val="00E56443"/>
    <w:rsid w:val="00E63E4F"/>
    <w:rsid w:val="00E642BA"/>
    <w:rsid w:val="00E66C99"/>
    <w:rsid w:val="00E67410"/>
    <w:rsid w:val="00E67AE0"/>
    <w:rsid w:val="00E73ACB"/>
    <w:rsid w:val="00E90F7C"/>
    <w:rsid w:val="00EA1483"/>
    <w:rsid w:val="00EA2BDA"/>
    <w:rsid w:val="00EA3254"/>
    <w:rsid w:val="00EB51BF"/>
    <w:rsid w:val="00EB64C9"/>
    <w:rsid w:val="00EC081E"/>
    <w:rsid w:val="00ED073F"/>
    <w:rsid w:val="00ED3889"/>
    <w:rsid w:val="00ED56B1"/>
    <w:rsid w:val="00ED78A9"/>
    <w:rsid w:val="00EE1E8C"/>
    <w:rsid w:val="00EE57D1"/>
    <w:rsid w:val="00F0183C"/>
    <w:rsid w:val="00F13F86"/>
    <w:rsid w:val="00F14683"/>
    <w:rsid w:val="00F22093"/>
    <w:rsid w:val="00F27AFA"/>
    <w:rsid w:val="00F27B81"/>
    <w:rsid w:val="00F31B63"/>
    <w:rsid w:val="00F348A2"/>
    <w:rsid w:val="00F45660"/>
    <w:rsid w:val="00F60D76"/>
    <w:rsid w:val="00F62124"/>
    <w:rsid w:val="00F63E54"/>
    <w:rsid w:val="00F64AED"/>
    <w:rsid w:val="00F87295"/>
    <w:rsid w:val="00F926AC"/>
    <w:rsid w:val="00F95764"/>
    <w:rsid w:val="00FB0C73"/>
    <w:rsid w:val="00FC1C84"/>
    <w:rsid w:val="00FC2A3B"/>
    <w:rsid w:val="00FC3BAE"/>
    <w:rsid w:val="00FC4F94"/>
    <w:rsid w:val="00FD41CD"/>
    <w:rsid w:val="00FF03DB"/>
    <w:rsid w:val="00FF2AC8"/>
    <w:rsid w:val="02BEF658"/>
    <w:rsid w:val="030DCC6B"/>
    <w:rsid w:val="031A924D"/>
    <w:rsid w:val="064ED8FC"/>
    <w:rsid w:val="08193B58"/>
    <w:rsid w:val="08C4C481"/>
    <w:rsid w:val="08CFE8CC"/>
    <w:rsid w:val="098128B1"/>
    <w:rsid w:val="0EFD6CB7"/>
    <w:rsid w:val="11C39959"/>
    <w:rsid w:val="12317A97"/>
    <w:rsid w:val="127BE2C7"/>
    <w:rsid w:val="135F69BA"/>
    <w:rsid w:val="158E1F87"/>
    <w:rsid w:val="1D6171D7"/>
    <w:rsid w:val="1E62BD36"/>
    <w:rsid w:val="2112369E"/>
    <w:rsid w:val="21394FEC"/>
    <w:rsid w:val="2562AD52"/>
    <w:rsid w:val="2566B277"/>
    <w:rsid w:val="282BE651"/>
    <w:rsid w:val="289FAFAE"/>
    <w:rsid w:val="29C6E64A"/>
    <w:rsid w:val="2EA70554"/>
    <w:rsid w:val="2ED22563"/>
    <w:rsid w:val="30AC8D2B"/>
    <w:rsid w:val="31D54DF6"/>
    <w:rsid w:val="32E274F0"/>
    <w:rsid w:val="351646D8"/>
    <w:rsid w:val="3690DD79"/>
    <w:rsid w:val="37951863"/>
    <w:rsid w:val="38AD67D3"/>
    <w:rsid w:val="39E9B7FB"/>
    <w:rsid w:val="3A9326ED"/>
    <w:rsid w:val="3B85885C"/>
    <w:rsid w:val="3C08DEBE"/>
    <w:rsid w:val="3EE7F9C6"/>
    <w:rsid w:val="4B691E0F"/>
    <w:rsid w:val="51D01CB0"/>
    <w:rsid w:val="536BED11"/>
    <w:rsid w:val="5482F56D"/>
    <w:rsid w:val="55F825AB"/>
    <w:rsid w:val="575388C7"/>
    <w:rsid w:val="593D67CF"/>
    <w:rsid w:val="5E30286D"/>
    <w:rsid w:val="5F6F0872"/>
    <w:rsid w:val="60C6BF06"/>
    <w:rsid w:val="61884333"/>
    <w:rsid w:val="6517BB87"/>
    <w:rsid w:val="663B3A52"/>
    <w:rsid w:val="68D39B49"/>
    <w:rsid w:val="69756AF1"/>
    <w:rsid w:val="6C16AB76"/>
    <w:rsid w:val="6E17B5AC"/>
    <w:rsid w:val="6E400683"/>
    <w:rsid w:val="71C08E42"/>
    <w:rsid w:val="71F0674A"/>
    <w:rsid w:val="73601536"/>
    <w:rsid w:val="77BCA42B"/>
    <w:rsid w:val="7DB52FCE"/>
    <w:rsid w:val="7E88A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B6C7"/>
  <w15:chartTrackingRefBased/>
  <w15:docId w15:val="{390D403B-A095-4DFD-A7F5-37A001E6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84D"/>
    <w:pPr>
      <w:spacing w:after="3" w:line="247" w:lineRule="auto"/>
      <w:ind w:left="11" w:right="51" w:hanging="9"/>
      <w:jc w:val="both"/>
    </w:pPr>
    <w:rPr>
      <w:rFonts w:ascii="Times New Roman" w:eastAsia="Times New Roman" w:hAnsi="Times New Roman" w:cs="Times New Roman"/>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84D"/>
    <w:rPr>
      <w:rFonts w:ascii="Segoe UI" w:hAnsi="Segoe UI" w:cs="Segoe UI"/>
      <w:sz w:val="18"/>
      <w:szCs w:val="18"/>
    </w:rPr>
  </w:style>
  <w:style w:type="paragraph" w:customStyle="1" w:styleId="Default">
    <w:name w:val="Default"/>
    <w:rsid w:val="0062284D"/>
    <w:pPr>
      <w:autoSpaceDE w:val="0"/>
      <w:autoSpaceDN w:val="0"/>
      <w:adjustRightInd w:val="0"/>
      <w:spacing w:after="0" w:line="240" w:lineRule="auto"/>
    </w:pPr>
    <w:rPr>
      <w:rFonts w:ascii="Times New Roman" w:eastAsiaTheme="minorEastAsia" w:hAnsi="Times New Roman" w:cs="Times New Roman"/>
      <w:color w:val="000000"/>
      <w:sz w:val="24"/>
      <w:szCs w:val="24"/>
      <w:lang w:val="en-GB" w:eastAsia="en-GB"/>
    </w:rPr>
  </w:style>
  <w:style w:type="paragraph" w:styleId="ListParagraph">
    <w:name w:val="List Paragraph"/>
    <w:aliases w:val="List Paragraph (numbered (a)),123 List Paragraph,List Paragraph1,text,Table/Figure Heading,En tête 1,titre 3,corp de texte,Highlight,Citation List,Resume Title,List_Paragraph,Multilevel para_II,References,Bullets,Numbered Paragraph"/>
    <w:basedOn w:val="Normal"/>
    <w:link w:val="ListParagraphChar"/>
    <w:uiPriority w:val="1"/>
    <w:qFormat/>
    <w:rsid w:val="0062284D"/>
    <w:pPr>
      <w:spacing w:after="160" w:line="259" w:lineRule="auto"/>
      <w:ind w:left="720" w:right="0" w:firstLine="0"/>
      <w:contextualSpacing/>
      <w:jc w:val="left"/>
    </w:pPr>
    <w:rPr>
      <w:rFonts w:asciiTheme="minorHAnsi" w:eastAsiaTheme="minorHAnsi" w:hAnsiTheme="minorHAnsi" w:cstheme="minorBidi"/>
      <w:color w:val="auto"/>
      <w:lang w:eastAsia="en-US"/>
    </w:rPr>
  </w:style>
  <w:style w:type="paragraph" w:styleId="NormalWeb">
    <w:name w:val="Normal (Web)"/>
    <w:basedOn w:val="Normal"/>
    <w:uiPriority w:val="99"/>
    <w:unhideWhenUsed/>
    <w:rsid w:val="0062284D"/>
    <w:pPr>
      <w:spacing w:before="100" w:beforeAutospacing="1" w:after="100" w:afterAutospacing="1" w:line="240" w:lineRule="auto"/>
      <w:ind w:left="0" w:right="0" w:firstLine="0"/>
      <w:jc w:val="left"/>
    </w:pPr>
    <w:rPr>
      <w:color w:val="auto"/>
      <w:sz w:val="24"/>
      <w:szCs w:val="24"/>
    </w:rPr>
  </w:style>
  <w:style w:type="paragraph" w:styleId="FootnoteText">
    <w:name w:val="footnote text"/>
    <w:aliases w:val="Geneva 9,Font: Geneva 9,Boston 10,f,Footnote Text Char1,Footnote Text Char Char,Footnote Text Char1 Char Char,Footnote Text Char Char Char Char,Char Char Char Char Char,Char Char Char,single space,footnote text, Char Char Char Char Char,fn"/>
    <w:basedOn w:val="Normal"/>
    <w:link w:val="FootnoteTextChar"/>
    <w:uiPriority w:val="99"/>
    <w:unhideWhenUsed/>
    <w:qFormat/>
    <w:rsid w:val="0062284D"/>
    <w:pPr>
      <w:spacing w:after="0" w:line="240" w:lineRule="auto"/>
    </w:pPr>
    <w:rPr>
      <w:sz w:val="20"/>
      <w:szCs w:val="20"/>
    </w:rPr>
  </w:style>
  <w:style w:type="character" w:customStyle="1" w:styleId="FootnoteTextChar">
    <w:name w:val="Footnote Text Char"/>
    <w:aliases w:val="Geneva 9 Char,Font: Geneva 9 Char,Boston 10 Char,f Char,Footnote Text Char1 Char,Footnote Text Char Char Char,Footnote Text Char1 Char Char Char,Footnote Text Char Char Char Char Char,Char Char Char Char Char Char,Char Char Char Char"/>
    <w:basedOn w:val="DefaultParagraphFont"/>
    <w:link w:val="FootnoteText"/>
    <w:uiPriority w:val="99"/>
    <w:rsid w:val="0062284D"/>
    <w:rPr>
      <w:rFonts w:ascii="Times New Roman" w:eastAsia="Times New Roman" w:hAnsi="Times New Roman" w:cs="Times New Roman"/>
      <w:color w:val="000000"/>
      <w:sz w:val="20"/>
      <w:szCs w:val="20"/>
      <w:lang w:val="en-GB" w:eastAsia="en-GB"/>
    </w:rPr>
  </w:style>
  <w:style w:type="character" w:styleId="FootnoteReference">
    <w:name w:val="footnote reference"/>
    <w:aliases w:val="16 Point,Superscript 6 Point,referencia nota al pie,Texto nota al pie,Footnote Reference.SES,Ref. de nota al pie.,Ref,de nota al pie,(Ref. de nota al pie),ftref,Footnote Reference Number,Footnote Reference_LVL6"/>
    <w:basedOn w:val="DefaultParagraphFont"/>
    <w:link w:val="ftrefChar1"/>
    <w:uiPriority w:val="99"/>
    <w:unhideWhenUsed/>
    <w:qFormat/>
    <w:rsid w:val="0062284D"/>
    <w:rPr>
      <w:vertAlign w:val="superscript"/>
    </w:rPr>
  </w:style>
  <w:style w:type="character" w:customStyle="1" w:styleId="ListParagraphChar">
    <w:name w:val="List Paragraph Char"/>
    <w:aliases w:val="List Paragraph (numbered (a)) Char,123 List Paragraph Char,List Paragraph1 Char,text Char,Table/Figure Heading Char,En tête 1 Char,titre 3 Char,corp de texte Char,Highlight Char,Citation List Char,Resume Title Char,References Char"/>
    <w:link w:val="ListParagraph"/>
    <w:uiPriority w:val="34"/>
    <w:qFormat/>
    <w:rsid w:val="0062284D"/>
    <w:rPr>
      <w:lang w:val="en-GB"/>
    </w:rPr>
  </w:style>
  <w:style w:type="character" w:styleId="CommentReference">
    <w:name w:val="annotation reference"/>
    <w:basedOn w:val="DefaultParagraphFont"/>
    <w:uiPriority w:val="99"/>
    <w:unhideWhenUsed/>
    <w:rsid w:val="0062284D"/>
    <w:rPr>
      <w:sz w:val="16"/>
      <w:szCs w:val="16"/>
    </w:rPr>
  </w:style>
  <w:style w:type="paragraph" w:styleId="CommentText">
    <w:name w:val="annotation text"/>
    <w:basedOn w:val="Normal"/>
    <w:link w:val="CommentTextChar"/>
    <w:uiPriority w:val="99"/>
    <w:unhideWhenUsed/>
    <w:rsid w:val="0062284D"/>
    <w:pPr>
      <w:spacing w:line="240" w:lineRule="auto"/>
    </w:pPr>
    <w:rPr>
      <w:sz w:val="20"/>
      <w:szCs w:val="20"/>
    </w:rPr>
  </w:style>
  <w:style w:type="character" w:customStyle="1" w:styleId="CommentTextChar">
    <w:name w:val="Comment Text Char"/>
    <w:basedOn w:val="DefaultParagraphFont"/>
    <w:link w:val="CommentText"/>
    <w:uiPriority w:val="99"/>
    <w:rsid w:val="0062284D"/>
    <w:rPr>
      <w:rFonts w:ascii="Times New Roman" w:eastAsia="Times New Roman" w:hAnsi="Times New Roman" w:cs="Times New Roman"/>
      <w:color w:val="000000"/>
      <w:sz w:val="20"/>
      <w:szCs w:val="20"/>
      <w:lang w:val="en-GB" w:eastAsia="en-GB"/>
    </w:rPr>
  </w:style>
  <w:style w:type="paragraph" w:styleId="CommentSubject">
    <w:name w:val="annotation subject"/>
    <w:basedOn w:val="CommentText"/>
    <w:next w:val="CommentText"/>
    <w:link w:val="CommentSubjectChar"/>
    <w:uiPriority w:val="99"/>
    <w:semiHidden/>
    <w:unhideWhenUsed/>
    <w:rsid w:val="0062284D"/>
    <w:rPr>
      <w:b/>
      <w:bCs/>
    </w:rPr>
  </w:style>
  <w:style w:type="character" w:customStyle="1" w:styleId="CommentSubjectChar">
    <w:name w:val="Comment Subject Char"/>
    <w:basedOn w:val="CommentTextChar"/>
    <w:link w:val="CommentSubject"/>
    <w:uiPriority w:val="99"/>
    <w:semiHidden/>
    <w:rsid w:val="0062284D"/>
    <w:rPr>
      <w:rFonts w:ascii="Times New Roman" w:eastAsia="Times New Roman" w:hAnsi="Times New Roman" w:cs="Times New Roman"/>
      <w:b/>
      <w:bCs/>
      <w:color w:val="000000"/>
      <w:sz w:val="20"/>
      <w:szCs w:val="20"/>
      <w:lang w:val="en-GB" w:eastAsia="en-GB"/>
    </w:rPr>
  </w:style>
  <w:style w:type="table" w:styleId="TableGrid">
    <w:name w:val="Table Grid"/>
    <w:basedOn w:val="TableNormal"/>
    <w:uiPriority w:val="39"/>
    <w:rsid w:val="0062284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2284D"/>
    <w:pPr>
      <w:spacing w:after="0" w:line="240" w:lineRule="auto"/>
    </w:pPr>
    <w:rPr>
      <w:rFonts w:eastAsiaTheme="minorEastAsia"/>
      <w:lang w:val="en-GB" w:eastAsia="en-GB"/>
    </w:rPr>
    <w:tblPr>
      <w:tblCellMar>
        <w:top w:w="0" w:type="dxa"/>
        <w:left w:w="0" w:type="dxa"/>
        <w:bottom w:w="0" w:type="dxa"/>
        <w:right w:w="0" w:type="dxa"/>
      </w:tblCellMar>
    </w:tblPr>
  </w:style>
  <w:style w:type="paragraph" w:styleId="Revision">
    <w:name w:val="Revision"/>
    <w:hidden/>
    <w:uiPriority w:val="99"/>
    <w:semiHidden/>
    <w:rsid w:val="00A46450"/>
    <w:pPr>
      <w:spacing w:after="0" w:line="240" w:lineRule="auto"/>
    </w:pPr>
    <w:rPr>
      <w:rFonts w:ascii="Times New Roman" w:eastAsia="Times New Roman" w:hAnsi="Times New Roman" w:cs="Times New Roman"/>
      <w:color w:val="000000"/>
      <w:lang w:val="en-GB" w:eastAsia="en-GB"/>
    </w:rPr>
  </w:style>
  <w:style w:type="character" w:styleId="Hyperlink">
    <w:name w:val="Hyperlink"/>
    <w:basedOn w:val="DefaultParagraphFont"/>
    <w:uiPriority w:val="99"/>
    <w:unhideWhenUsed/>
    <w:rsid w:val="00DF7297"/>
    <w:rPr>
      <w:color w:val="0000FF"/>
      <w:u w:val="single"/>
    </w:rPr>
  </w:style>
  <w:style w:type="paragraph" w:styleId="NoSpacing">
    <w:name w:val="No Spacing"/>
    <w:uiPriority w:val="1"/>
    <w:qFormat/>
    <w:rsid w:val="00591D34"/>
    <w:pPr>
      <w:spacing w:after="0" w:line="240" w:lineRule="auto"/>
      <w:ind w:left="11" w:right="51" w:hanging="9"/>
      <w:jc w:val="both"/>
    </w:pPr>
    <w:rPr>
      <w:rFonts w:ascii="Times New Roman" w:eastAsia="Times New Roman" w:hAnsi="Times New Roman" w:cs="Times New Roman"/>
      <w:color w:val="000000"/>
      <w:lang w:val="en-GB" w:eastAsia="en-GB"/>
    </w:rPr>
  </w:style>
  <w:style w:type="paragraph" w:customStyle="1" w:styleId="ListSub">
    <w:name w:val="List_Sub"/>
    <w:basedOn w:val="ListParagraph"/>
    <w:autoRedefine/>
    <w:qFormat/>
    <w:rsid w:val="001E6117"/>
    <w:pPr>
      <w:widowControl w:val="0"/>
      <w:numPr>
        <w:ilvl w:val="1"/>
        <w:numId w:val="15"/>
      </w:numPr>
      <w:autoSpaceDE w:val="0"/>
      <w:autoSpaceDN w:val="0"/>
      <w:spacing w:before="120" w:after="120" w:line="240" w:lineRule="auto"/>
      <w:jc w:val="both"/>
    </w:pPr>
    <w:rPr>
      <w:rFonts w:ascii="Times New Roman" w:hAnsi="Times New Roman"/>
      <w:bCs/>
      <w:color w:val="000000" w:themeColor="text1"/>
      <w:szCs w:val="32"/>
      <w:lang w:val="en-US"/>
    </w:rPr>
  </w:style>
  <w:style w:type="character" w:styleId="UnresolvedMention">
    <w:name w:val="Unresolved Mention"/>
    <w:basedOn w:val="DefaultParagraphFont"/>
    <w:uiPriority w:val="99"/>
    <w:semiHidden/>
    <w:unhideWhenUsed/>
    <w:rsid w:val="00B17F6D"/>
    <w:rPr>
      <w:color w:val="605E5C"/>
      <w:shd w:val="clear" w:color="auto" w:fill="E1DFDD"/>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Ref Ch"/>
    <w:basedOn w:val="Normal"/>
    <w:link w:val="FootnoteReference"/>
    <w:uiPriority w:val="99"/>
    <w:qFormat/>
    <w:rsid w:val="009C20C9"/>
    <w:pPr>
      <w:spacing w:after="160" w:line="240" w:lineRule="exact"/>
      <w:ind w:left="0" w:right="0" w:firstLine="0"/>
      <w:contextualSpacing/>
      <w:jc w:val="left"/>
    </w:pPr>
    <w:rPr>
      <w:rFonts w:asciiTheme="minorHAnsi" w:eastAsiaTheme="minorHAnsi" w:hAnsiTheme="minorHAnsi" w:cstheme="minorBidi"/>
      <w:color w:val="auto"/>
      <w:vertAlign w:val="superscript"/>
      <w:lang w:val="en-US" w:eastAsia="en-US"/>
    </w:rPr>
  </w:style>
  <w:style w:type="paragraph" w:styleId="Header">
    <w:name w:val="header"/>
    <w:basedOn w:val="Normal"/>
    <w:link w:val="HeaderChar"/>
    <w:uiPriority w:val="99"/>
    <w:semiHidden/>
    <w:unhideWhenUsed/>
    <w:rsid w:val="00F926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76A7"/>
    <w:rPr>
      <w:rFonts w:ascii="Times New Roman" w:eastAsia="Times New Roman" w:hAnsi="Times New Roman" w:cs="Times New Roman"/>
      <w:color w:val="000000"/>
      <w:lang w:val="en-GB" w:eastAsia="en-GB"/>
    </w:rPr>
  </w:style>
  <w:style w:type="paragraph" w:styleId="Footer">
    <w:name w:val="footer"/>
    <w:basedOn w:val="Normal"/>
    <w:link w:val="FooterChar"/>
    <w:uiPriority w:val="99"/>
    <w:semiHidden/>
    <w:unhideWhenUsed/>
    <w:rsid w:val="00F926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76A7"/>
    <w:rPr>
      <w:rFonts w:ascii="Times New Roman" w:eastAsia="Times New Roman" w:hAnsi="Times New Roman" w:cs="Times New Roman"/>
      <w:color w:val="000000"/>
      <w:lang w:val="en-GB" w:eastAsia="en-GB"/>
    </w:rPr>
  </w:style>
  <w:style w:type="paragraph" w:customStyle="1" w:styleId="paragraph">
    <w:name w:val="paragraph"/>
    <w:basedOn w:val="Normal"/>
    <w:rsid w:val="00985872"/>
    <w:pPr>
      <w:spacing w:before="100" w:beforeAutospacing="1" w:after="100" w:afterAutospacing="1" w:line="240" w:lineRule="auto"/>
      <w:ind w:left="0" w:right="0" w:firstLine="0"/>
      <w:jc w:val="left"/>
    </w:pPr>
    <w:rPr>
      <w:color w:val="auto"/>
      <w:sz w:val="24"/>
      <w:szCs w:val="24"/>
    </w:rPr>
  </w:style>
  <w:style w:type="character" w:customStyle="1" w:styleId="normaltextrun">
    <w:name w:val="normaltextrun"/>
    <w:basedOn w:val="DefaultParagraphFont"/>
    <w:rsid w:val="00985872"/>
  </w:style>
  <w:style w:type="character" w:customStyle="1" w:styleId="eop">
    <w:name w:val="eop"/>
    <w:basedOn w:val="DefaultParagraphFont"/>
    <w:rsid w:val="00985872"/>
  </w:style>
  <w:style w:type="character" w:customStyle="1" w:styleId="tabchar">
    <w:name w:val="tabchar"/>
    <w:basedOn w:val="DefaultParagraphFont"/>
    <w:rsid w:val="00985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2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shua.Jones@caribank.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ph.Williams@caribank.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The%20State%20of%20the%20Caribbean%20Climate%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bf9a7b41-66fc-4f0a-af04-f69b725cfacf">
      <Terms xmlns="http://schemas.microsoft.com/office/infopath/2007/PartnerControls"/>
    </lcf76f155ced4ddcb4097134ff3c332f>
    <MediaLengthInSeconds xmlns="bf9a7b41-66fc-4f0a-af04-f69b725cfacf" xsi:nil="true"/>
    <SharedWithUsers xmlns="11456756-6932-433e-892b-4dd5c2fa262b">
      <UserInfo>
        <DisplayName>Joshua Jones</DisplayName>
        <AccountId>828</AccountId>
        <AccountType/>
      </UserInfo>
      <UserInfo>
        <DisplayName>Alice Castro</DisplayName>
        <AccountId>574</AccountId>
        <AccountType/>
      </UserInfo>
      <UserInfo>
        <DisplayName>Joseph Williams</DisplayName>
        <AccountId>615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DC020D9BC666043860697C68203A258" ma:contentTypeVersion="20" ma:contentTypeDescription="Create a new document." ma:contentTypeScope="" ma:versionID="696446278a5ff5542aa7a0da301eba78">
  <xsd:schema xmlns:xsd="http://www.w3.org/2001/XMLSchema" xmlns:xs="http://www.w3.org/2001/XMLSchema" xmlns:p="http://schemas.microsoft.com/office/2006/metadata/properties" xmlns:ns2="bf9a7b41-66fc-4f0a-af04-f69b725cfacf" xmlns:ns3="11456756-6932-433e-892b-4dd5c2fa262b" xmlns:ns4="7bda40a8-3df1-4ee4-b5e5-4c50c43a0126" targetNamespace="http://schemas.microsoft.com/office/2006/metadata/properties" ma:root="true" ma:fieldsID="f67f7ad9768920dd78e588826a5fb2b1" ns2:_="" ns3:_="" ns4:_="">
    <xsd:import namespace="bf9a7b41-66fc-4f0a-af04-f69b725cfacf"/>
    <xsd:import namespace="11456756-6932-433e-892b-4dd5c2fa262b"/>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a7b41-66fc-4f0a-af04-f69b725cf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456756-6932-433e-892b-4dd5c2fa26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0ab224d-fa28-4903-b13c-e6a6748f2675}" ma:internalName="TaxCatchAll" ma:showField="CatchAllData" ma:web="11456756-6932-433e-892b-4dd5c2fa2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48801-9782-476B-ADD6-74A3A5A53DB0}">
  <ds:schemaRefs>
    <ds:schemaRef ds:uri="http://schemas.microsoft.com/office/2006/metadata/properties"/>
    <ds:schemaRef ds:uri="http://schemas.microsoft.com/office/infopath/2007/PartnerControls"/>
    <ds:schemaRef ds:uri="7bda40a8-3df1-4ee4-b5e5-4c50c43a0126"/>
    <ds:schemaRef ds:uri="0b6b2a37-597e-4378-a1ab-7ee1c7204f6d"/>
    <ds:schemaRef ds:uri="c8d73d9f-9976-412b-8055-93b2cd4d0a25"/>
  </ds:schemaRefs>
</ds:datastoreItem>
</file>

<file path=customXml/itemProps2.xml><?xml version="1.0" encoding="utf-8"?>
<ds:datastoreItem xmlns:ds="http://schemas.openxmlformats.org/officeDocument/2006/customXml" ds:itemID="{8DE1A959-2F63-43E4-B895-361F6C96FE1F}">
  <ds:schemaRefs>
    <ds:schemaRef ds:uri="http://schemas.microsoft.com/sharepoint/v3/contenttype/forms"/>
  </ds:schemaRefs>
</ds:datastoreItem>
</file>

<file path=customXml/itemProps3.xml><?xml version="1.0" encoding="utf-8"?>
<ds:datastoreItem xmlns:ds="http://schemas.openxmlformats.org/officeDocument/2006/customXml" ds:itemID="{CB00C297-6C95-4C52-B0B4-4F3537BE028D}">
  <ds:schemaRefs>
    <ds:schemaRef ds:uri="http://schemas.openxmlformats.org/officeDocument/2006/bibliography"/>
  </ds:schemaRefs>
</ds:datastoreItem>
</file>

<file path=customXml/itemProps4.xml><?xml version="1.0" encoding="utf-8"?>
<ds:datastoreItem xmlns:ds="http://schemas.openxmlformats.org/officeDocument/2006/customXml" ds:itemID="{33DAA707-16FC-4B43-BDE1-E647D2F7F4A4}"/>
</file>

<file path=docProps/app.xml><?xml version="1.0" encoding="utf-8"?>
<Properties xmlns="http://schemas.openxmlformats.org/officeDocument/2006/extended-properties" xmlns:vt="http://schemas.openxmlformats.org/officeDocument/2006/docPropsVTypes">
  <Template>Normal</Template>
  <TotalTime>3</TotalTime>
  <Pages>5</Pages>
  <Words>1828</Words>
  <Characters>10423</Characters>
  <Application>Microsoft Office Word</Application>
  <DocSecurity>0</DocSecurity>
  <Lines>86</Lines>
  <Paragraphs>24</Paragraphs>
  <ScaleCrop>false</ScaleCrop>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Gibbs</dc:creator>
  <cp:keywords/>
  <dc:description/>
  <cp:lastModifiedBy>Joshua Jones</cp:lastModifiedBy>
  <cp:revision>3</cp:revision>
  <dcterms:created xsi:type="dcterms:W3CDTF">2024-03-25T12:51:00Z</dcterms:created>
  <dcterms:modified xsi:type="dcterms:W3CDTF">2024-03-25T12:52:00Z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0x0101004DC020D9BC666043860697C68203A258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activity">
    <vt:lpwstr>{"FileActivityType":"9","FileActivityTimeStamp":"2024-03-12T15:33:58.440Z","FileActivityUsersOnPage":[{"DisplayName":"Alice Castro","Id":"u3309@caribank.org"}],"FileActivityNavigationId":null}</vt:lpwstr>
  </property>
  <property fmtid="{D5CDD505-2E9C-101B-9397-08002B2CF9AE}" pid="7" name="MediaServiceImageTags">
    <vt:lpwstr/>
  </property>
</Properties>
</file>