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7D70D" w14:textId="052FA521" w:rsidR="004F6839" w:rsidRPr="002B4E2A" w:rsidRDefault="004F6839" w:rsidP="009001ED">
      <w:pPr>
        <w:pStyle w:val="Heading1"/>
        <w:rPr>
          <w:sz w:val="22"/>
          <w:szCs w:val="22"/>
        </w:rPr>
      </w:pPr>
      <w:r w:rsidRPr="002B4E2A">
        <w:rPr>
          <w:sz w:val="22"/>
          <w:szCs w:val="22"/>
        </w:rPr>
        <w:t xml:space="preserve">DRAFT TERMS OF REFERENCE </w:t>
      </w:r>
    </w:p>
    <w:p w14:paraId="320A7744" w14:textId="6E2B228C" w:rsidR="004F6839" w:rsidRPr="002B4E2A" w:rsidRDefault="00103033" w:rsidP="009001ED">
      <w:pPr>
        <w:pStyle w:val="Heading1"/>
        <w:rPr>
          <w:sz w:val="22"/>
          <w:szCs w:val="22"/>
        </w:rPr>
      </w:pPr>
      <w:r w:rsidRPr="002B4E2A">
        <w:rPr>
          <w:sz w:val="22"/>
          <w:szCs w:val="22"/>
        </w:rPr>
        <w:t>CONSULTANCY SERVICES FOR ESTABLISHING A CARIBBEAN E-MOBILITY FUND</w:t>
      </w:r>
    </w:p>
    <w:p w14:paraId="568E3D4D" w14:textId="77777777" w:rsidR="004F6839" w:rsidRPr="002B4E2A" w:rsidRDefault="004F6839" w:rsidP="004F6839">
      <w:pPr>
        <w:pStyle w:val="NoSpacing"/>
        <w:jc w:val="both"/>
        <w:rPr>
          <w:rFonts w:ascii="Times New Roman" w:hAnsi="Times New Roman"/>
          <w:sz w:val="22"/>
          <w:szCs w:val="22"/>
          <w:u w:val="single"/>
          <w:lang w:val="en-GB"/>
        </w:rPr>
      </w:pPr>
    </w:p>
    <w:p w14:paraId="29D29C66" w14:textId="77777777" w:rsidR="004F6839" w:rsidRPr="002B4E2A" w:rsidRDefault="004F6839" w:rsidP="00A95AA7">
      <w:pPr>
        <w:pStyle w:val="Heading2"/>
      </w:pPr>
      <w:r w:rsidRPr="002B4E2A">
        <w:t>BAC</w:t>
      </w:r>
      <w:r w:rsidRPr="002B4E2A">
        <w:rPr>
          <w:rStyle w:val="Heading2Char"/>
          <w:b/>
        </w:rPr>
        <w:t>KGROUND</w:t>
      </w:r>
    </w:p>
    <w:p w14:paraId="0FC6BE56" w14:textId="77777777" w:rsidR="004F6839" w:rsidRPr="002B4E2A" w:rsidRDefault="004F6839" w:rsidP="004F6839">
      <w:pPr>
        <w:jc w:val="both"/>
        <w:rPr>
          <w:rFonts w:ascii="Times New Roman" w:hAnsi="Times New Roman"/>
          <w:sz w:val="22"/>
          <w:szCs w:val="22"/>
          <w:u w:val="single"/>
        </w:rPr>
      </w:pPr>
    </w:p>
    <w:p w14:paraId="2CF2DDA3" w14:textId="519DF4B5" w:rsidR="00B12CB3" w:rsidRPr="002B4E2A" w:rsidRDefault="002B65A2" w:rsidP="00EC45C2">
      <w:pPr>
        <w:spacing w:line="259" w:lineRule="auto"/>
        <w:jc w:val="both"/>
        <w:rPr>
          <w:rFonts w:ascii="Times New Roman" w:hAnsi="Times New Roman"/>
          <w:sz w:val="22"/>
          <w:szCs w:val="22"/>
        </w:rPr>
      </w:pPr>
      <w:r w:rsidRPr="002B4E2A">
        <w:rPr>
          <w:rFonts w:ascii="Times New Roman" w:hAnsi="Times New Roman"/>
          <w:sz w:val="22"/>
          <w:szCs w:val="22"/>
        </w:rPr>
        <w:t>1.01</w:t>
      </w:r>
      <w:r w:rsidR="00BF0361">
        <w:rPr>
          <w:rFonts w:ascii="Times New Roman" w:hAnsi="Times New Roman"/>
          <w:sz w:val="22"/>
          <w:szCs w:val="22"/>
        </w:rPr>
        <w:tab/>
      </w:r>
      <w:r w:rsidR="00B12CB3" w:rsidRPr="002B4E2A">
        <w:rPr>
          <w:rFonts w:ascii="Times New Roman" w:hAnsi="Times New Roman"/>
          <w:sz w:val="22"/>
          <w:szCs w:val="22"/>
        </w:rPr>
        <w:t xml:space="preserve">Caribbean countries remain heavily reliant on imported fossil fuels, exposing them to volatile energy markets and threatening energy security. In response, all Borrowing Member Countries (BMCs) have adopted national strategies to promote </w:t>
      </w:r>
      <w:r w:rsidR="00E36BD7" w:rsidRPr="002B4E2A">
        <w:rPr>
          <w:rFonts w:ascii="Times New Roman" w:hAnsi="Times New Roman"/>
          <w:sz w:val="22"/>
          <w:szCs w:val="22"/>
        </w:rPr>
        <w:t xml:space="preserve">Sustainable Energy </w:t>
      </w:r>
      <w:r w:rsidR="00B12CB3" w:rsidRPr="002B4E2A">
        <w:rPr>
          <w:rFonts w:ascii="Times New Roman" w:hAnsi="Times New Roman"/>
          <w:sz w:val="22"/>
          <w:szCs w:val="22"/>
        </w:rPr>
        <w:t>(SE) and strengthen climate resilience, with targets aligned to their Nationally Determined Contributions (NDCs) under the Paris Agreement.</w:t>
      </w:r>
    </w:p>
    <w:p w14:paraId="6ED33BA0" w14:textId="77777777" w:rsidR="002B65A2" w:rsidRPr="002B4E2A" w:rsidRDefault="002B65A2" w:rsidP="00EC45C2">
      <w:pPr>
        <w:spacing w:line="259" w:lineRule="auto"/>
        <w:jc w:val="both"/>
        <w:rPr>
          <w:rFonts w:ascii="Times New Roman" w:hAnsi="Times New Roman"/>
          <w:sz w:val="22"/>
          <w:szCs w:val="22"/>
        </w:rPr>
      </w:pPr>
    </w:p>
    <w:p w14:paraId="7C2D70CE" w14:textId="24017653" w:rsidR="00B12CB3" w:rsidRPr="002B4E2A" w:rsidRDefault="002B65A2" w:rsidP="00EC45C2">
      <w:pPr>
        <w:spacing w:line="259" w:lineRule="auto"/>
        <w:jc w:val="both"/>
        <w:rPr>
          <w:rFonts w:ascii="Times New Roman" w:hAnsi="Times New Roman"/>
          <w:sz w:val="22"/>
          <w:szCs w:val="22"/>
        </w:rPr>
      </w:pPr>
      <w:r w:rsidRPr="002B4E2A">
        <w:rPr>
          <w:rFonts w:ascii="Times New Roman" w:hAnsi="Times New Roman"/>
          <w:sz w:val="22"/>
          <w:szCs w:val="22"/>
        </w:rPr>
        <w:t>1.02</w:t>
      </w:r>
      <w:r w:rsidR="00BF0361">
        <w:rPr>
          <w:rFonts w:ascii="Times New Roman" w:hAnsi="Times New Roman"/>
          <w:sz w:val="22"/>
          <w:szCs w:val="22"/>
        </w:rPr>
        <w:tab/>
      </w:r>
      <w:r w:rsidR="00B12CB3" w:rsidRPr="002B4E2A">
        <w:rPr>
          <w:rFonts w:ascii="Times New Roman" w:hAnsi="Times New Roman"/>
          <w:sz w:val="22"/>
          <w:szCs w:val="22"/>
        </w:rPr>
        <w:t xml:space="preserve">Despite growing commitments, progress in </w:t>
      </w:r>
      <w:r w:rsidR="00E36BD7" w:rsidRPr="002B4E2A">
        <w:rPr>
          <w:rFonts w:ascii="Times New Roman" w:hAnsi="Times New Roman"/>
          <w:sz w:val="22"/>
          <w:szCs w:val="22"/>
        </w:rPr>
        <w:t xml:space="preserve">Renewable Energy </w:t>
      </w:r>
      <w:r w:rsidR="00B12CB3" w:rsidRPr="002B4E2A">
        <w:rPr>
          <w:rFonts w:ascii="Times New Roman" w:hAnsi="Times New Roman"/>
          <w:sz w:val="22"/>
          <w:szCs w:val="22"/>
        </w:rPr>
        <w:t>(RE</w:t>
      </w:r>
      <w:r w:rsidR="00FD6941" w:rsidRPr="002B4E2A">
        <w:rPr>
          <w:rFonts w:ascii="Times New Roman" w:hAnsi="Times New Roman"/>
          <w:sz w:val="22"/>
          <w:szCs w:val="22"/>
        </w:rPr>
        <w:t>)</w:t>
      </w:r>
      <w:r w:rsidR="00B12CB3" w:rsidRPr="002B4E2A">
        <w:rPr>
          <w:rFonts w:ascii="Times New Roman" w:hAnsi="Times New Roman"/>
          <w:sz w:val="22"/>
          <w:szCs w:val="22"/>
        </w:rPr>
        <w:t xml:space="preserve"> has lagged, and regional RE penetration remains well below CARICOM’s 2027 milestone. The Caribbean Development Bank (CDB) has therefore launched the Accelerated Sustainable Energy and Resilience Transition 2030 (ASERT-2030) framework under its Energy Sector Policy and Strategy (2022), to help BMCs fast-track </w:t>
      </w:r>
      <w:r w:rsidR="00E36BD7" w:rsidRPr="002B4E2A">
        <w:rPr>
          <w:rFonts w:ascii="Times New Roman" w:hAnsi="Times New Roman"/>
          <w:sz w:val="22"/>
          <w:szCs w:val="22"/>
        </w:rPr>
        <w:t>RE</w:t>
      </w:r>
      <w:r w:rsidR="00B12CB3" w:rsidRPr="002B4E2A">
        <w:rPr>
          <w:rFonts w:ascii="Times New Roman" w:hAnsi="Times New Roman"/>
          <w:sz w:val="22"/>
          <w:szCs w:val="22"/>
        </w:rPr>
        <w:t xml:space="preserve"> investments through collective action and strategic partnerships.</w:t>
      </w:r>
    </w:p>
    <w:p w14:paraId="6D8B8A06" w14:textId="77777777" w:rsidR="002B65A2" w:rsidRPr="002B4E2A" w:rsidRDefault="002B65A2" w:rsidP="00EC45C2">
      <w:pPr>
        <w:spacing w:line="259" w:lineRule="auto"/>
        <w:jc w:val="both"/>
        <w:rPr>
          <w:rFonts w:ascii="Times New Roman" w:hAnsi="Times New Roman"/>
          <w:sz w:val="22"/>
          <w:szCs w:val="22"/>
        </w:rPr>
      </w:pPr>
    </w:p>
    <w:p w14:paraId="764D90AF" w14:textId="03BAE914" w:rsidR="00B12CB3" w:rsidRPr="002B4E2A" w:rsidRDefault="002B65A2" w:rsidP="00EC45C2">
      <w:pPr>
        <w:spacing w:line="259" w:lineRule="auto"/>
        <w:jc w:val="both"/>
        <w:rPr>
          <w:rFonts w:ascii="Times New Roman" w:hAnsi="Times New Roman"/>
          <w:sz w:val="22"/>
          <w:szCs w:val="22"/>
        </w:rPr>
      </w:pPr>
      <w:r w:rsidRPr="002B4E2A">
        <w:rPr>
          <w:rFonts w:ascii="Times New Roman" w:hAnsi="Times New Roman"/>
          <w:sz w:val="22"/>
          <w:szCs w:val="22"/>
        </w:rPr>
        <w:t>1.03</w:t>
      </w:r>
      <w:r w:rsidR="00614E9B">
        <w:rPr>
          <w:rFonts w:ascii="Times New Roman" w:hAnsi="Times New Roman"/>
          <w:sz w:val="22"/>
          <w:szCs w:val="22"/>
        </w:rPr>
        <w:tab/>
      </w:r>
      <w:r w:rsidR="00B12CB3" w:rsidRPr="002B4E2A">
        <w:rPr>
          <w:rFonts w:ascii="Times New Roman" w:hAnsi="Times New Roman"/>
          <w:sz w:val="22"/>
          <w:szCs w:val="22"/>
        </w:rPr>
        <w:t>A key pillar of this transition is electric mobility, which offers a transformative opportunity to reduce GHG emissions, enhance energy access, and deliver socioeconomic co-benefits—such as job creation, cost savings, and gender-responsive opportunities in the energy and transport sectors. Transport currently accounts for nearly 40% of fuel use in CARICOM states and 10% of GDP in some economies, making it a high-impact area for climate investment.</w:t>
      </w:r>
    </w:p>
    <w:p w14:paraId="7C6A0D2C" w14:textId="77777777" w:rsidR="002B65A2" w:rsidRPr="002B4E2A" w:rsidRDefault="002B65A2" w:rsidP="00EC45C2">
      <w:pPr>
        <w:spacing w:line="259" w:lineRule="auto"/>
        <w:jc w:val="both"/>
        <w:rPr>
          <w:rFonts w:ascii="Times New Roman" w:hAnsi="Times New Roman"/>
          <w:sz w:val="22"/>
          <w:szCs w:val="22"/>
        </w:rPr>
      </w:pPr>
    </w:p>
    <w:p w14:paraId="18B4818A" w14:textId="062BCFEA" w:rsidR="00B12CB3" w:rsidRPr="002B4E2A" w:rsidRDefault="002B65A2" w:rsidP="00EC45C2">
      <w:pPr>
        <w:spacing w:line="259" w:lineRule="auto"/>
        <w:jc w:val="both"/>
        <w:rPr>
          <w:rFonts w:ascii="Times New Roman" w:hAnsi="Times New Roman"/>
          <w:sz w:val="22"/>
          <w:szCs w:val="22"/>
        </w:rPr>
      </w:pPr>
      <w:r w:rsidRPr="002B4E2A">
        <w:rPr>
          <w:rFonts w:ascii="Times New Roman" w:hAnsi="Times New Roman"/>
          <w:sz w:val="22"/>
          <w:szCs w:val="22"/>
        </w:rPr>
        <w:t>1.04</w:t>
      </w:r>
      <w:r w:rsidR="00614E9B">
        <w:rPr>
          <w:rFonts w:ascii="Times New Roman" w:hAnsi="Times New Roman"/>
          <w:sz w:val="22"/>
          <w:szCs w:val="22"/>
        </w:rPr>
        <w:tab/>
      </w:r>
      <w:r w:rsidR="00B12CB3" w:rsidRPr="002B4E2A">
        <w:rPr>
          <w:rFonts w:ascii="Times New Roman" w:hAnsi="Times New Roman"/>
          <w:sz w:val="22"/>
          <w:szCs w:val="22"/>
        </w:rPr>
        <w:t>To guide regional efforts, the CARICOM Regional Electric Vehicle Strategy (REVS) was endorsed by Energy Ministers in 2023. Countries such as Barbados, Jamaica, Saint Lucia, and Antigua and Barbuda have begun implementing national EV strategies, supported by policy incentives and pilot initiatives.</w:t>
      </w:r>
    </w:p>
    <w:p w14:paraId="4E456F96" w14:textId="77777777" w:rsidR="002B65A2" w:rsidRPr="002B4E2A" w:rsidRDefault="002B65A2" w:rsidP="00EC45C2">
      <w:pPr>
        <w:spacing w:line="259" w:lineRule="auto"/>
        <w:jc w:val="both"/>
        <w:rPr>
          <w:rFonts w:ascii="Times New Roman" w:hAnsi="Times New Roman"/>
          <w:sz w:val="22"/>
          <w:szCs w:val="22"/>
        </w:rPr>
      </w:pPr>
    </w:p>
    <w:p w14:paraId="51870504" w14:textId="3684A24B" w:rsidR="00B12CB3" w:rsidRPr="002B4E2A" w:rsidRDefault="002B65A2" w:rsidP="006256F6">
      <w:pPr>
        <w:jc w:val="both"/>
        <w:rPr>
          <w:rFonts w:ascii="Times New Roman" w:hAnsi="Times New Roman"/>
          <w:sz w:val="22"/>
          <w:szCs w:val="22"/>
        </w:rPr>
      </w:pPr>
      <w:r w:rsidRPr="002B4E2A">
        <w:rPr>
          <w:rFonts w:ascii="Times New Roman" w:hAnsi="Times New Roman"/>
          <w:sz w:val="22"/>
          <w:szCs w:val="22"/>
        </w:rPr>
        <w:t>1.05</w:t>
      </w:r>
      <w:r w:rsidR="00614E9B">
        <w:rPr>
          <w:rFonts w:ascii="Times New Roman" w:hAnsi="Times New Roman"/>
          <w:sz w:val="22"/>
          <w:szCs w:val="22"/>
        </w:rPr>
        <w:tab/>
      </w:r>
      <w:proofErr w:type="spellStart"/>
      <w:r w:rsidR="00B12CB3" w:rsidRPr="002B4E2A">
        <w:rPr>
          <w:rFonts w:ascii="Times New Roman" w:hAnsi="Times New Roman"/>
          <w:sz w:val="22"/>
          <w:szCs w:val="22"/>
        </w:rPr>
        <w:t>Recognising</w:t>
      </w:r>
      <w:proofErr w:type="spellEnd"/>
      <w:r w:rsidR="00B12CB3" w:rsidRPr="002B4E2A">
        <w:rPr>
          <w:rFonts w:ascii="Times New Roman" w:hAnsi="Times New Roman"/>
          <w:sz w:val="22"/>
          <w:szCs w:val="22"/>
        </w:rPr>
        <w:t xml:space="preserve"> the need to accelerate investment and overcome </w:t>
      </w:r>
      <w:r w:rsidR="00FD6941" w:rsidRPr="002B4E2A">
        <w:rPr>
          <w:rFonts w:ascii="Times New Roman" w:hAnsi="Times New Roman"/>
          <w:sz w:val="22"/>
          <w:szCs w:val="22"/>
        </w:rPr>
        <w:t xml:space="preserve">barriers, </w:t>
      </w:r>
      <w:r w:rsidR="00B12CB3" w:rsidRPr="002B4E2A">
        <w:rPr>
          <w:rFonts w:ascii="Times New Roman" w:hAnsi="Times New Roman"/>
          <w:sz w:val="22"/>
          <w:szCs w:val="22"/>
        </w:rPr>
        <w:t xml:space="preserve">including high upfront costs, limited infrastructure, and constrained public financing—CDB proposes the establishment of a Caribbean E-Mobility Fund. This multi-donor facility will offer technical assistance and blended finance to support policy development, institutional strengthening, private sector participation, and infrastructure deployment for EV </w:t>
      </w:r>
      <w:proofErr w:type="gramStart"/>
      <w:r w:rsidR="00B12CB3" w:rsidRPr="002B4E2A">
        <w:rPr>
          <w:rFonts w:ascii="Times New Roman" w:hAnsi="Times New Roman"/>
          <w:sz w:val="22"/>
          <w:szCs w:val="22"/>
        </w:rPr>
        <w:t>adoption—</w:t>
      </w:r>
      <w:proofErr w:type="gramEnd"/>
      <w:r w:rsidR="00B12CB3" w:rsidRPr="002B4E2A">
        <w:rPr>
          <w:rFonts w:ascii="Times New Roman" w:hAnsi="Times New Roman"/>
          <w:sz w:val="22"/>
          <w:szCs w:val="22"/>
        </w:rPr>
        <w:t>including marine and riverine transport solutions.</w:t>
      </w:r>
      <w:r w:rsidR="00EC45C2" w:rsidRPr="002B4E2A">
        <w:rPr>
          <w:rFonts w:ascii="Times New Roman" w:hAnsi="Times New Roman"/>
          <w:sz w:val="22"/>
          <w:szCs w:val="22"/>
        </w:rPr>
        <w:t xml:space="preserve"> </w:t>
      </w:r>
      <w:r w:rsidR="00B12CB3" w:rsidRPr="002B4E2A">
        <w:rPr>
          <w:rFonts w:ascii="Times New Roman" w:hAnsi="Times New Roman"/>
          <w:sz w:val="22"/>
          <w:szCs w:val="22"/>
        </w:rPr>
        <w:t xml:space="preserve">The Fund will be anchored in CDB’s Strategic Plan, the ASERT-2030 framework, the REVS, the Climate Resilience Strategy, and the SDF 11 Programme. A related discussion paper is attached </w:t>
      </w:r>
      <w:proofErr w:type="gramStart"/>
      <w:r w:rsidR="00B12CB3" w:rsidRPr="002B4E2A">
        <w:rPr>
          <w:rFonts w:ascii="Times New Roman" w:hAnsi="Times New Roman"/>
          <w:sz w:val="22"/>
          <w:szCs w:val="22"/>
        </w:rPr>
        <w:t>at</w:t>
      </w:r>
      <w:proofErr w:type="gramEnd"/>
      <w:r w:rsidR="00B12CB3" w:rsidRPr="002B4E2A">
        <w:rPr>
          <w:rFonts w:ascii="Times New Roman" w:hAnsi="Times New Roman"/>
          <w:sz w:val="22"/>
          <w:szCs w:val="22"/>
        </w:rPr>
        <w:t xml:space="preserve"> Appendix A.</w:t>
      </w:r>
    </w:p>
    <w:p w14:paraId="0D58ABA2" w14:textId="77777777" w:rsidR="002E5834" w:rsidRPr="002B4E2A" w:rsidRDefault="002E5834" w:rsidP="006256F6">
      <w:pPr>
        <w:rPr>
          <w:rFonts w:ascii="Times New Roman" w:hAnsi="Times New Roman"/>
          <w:sz w:val="22"/>
          <w:szCs w:val="22"/>
        </w:rPr>
      </w:pPr>
    </w:p>
    <w:p w14:paraId="091C7C0C" w14:textId="77777777" w:rsidR="004F6839" w:rsidRPr="002B4E2A" w:rsidRDefault="004F6839" w:rsidP="006256F6">
      <w:pPr>
        <w:pStyle w:val="Heading2"/>
        <w:rPr>
          <w:lang w:val="en-GB"/>
        </w:rPr>
      </w:pPr>
      <w:r w:rsidRPr="002B4E2A">
        <w:rPr>
          <w:lang w:val="en-GB"/>
        </w:rPr>
        <w:t>OBJECTIVE</w:t>
      </w:r>
    </w:p>
    <w:p w14:paraId="24CF920E" w14:textId="77777777" w:rsidR="004F6839" w:rsidRPr="002B4E2A" w:rsidRDefault="004F6839" w:rsidP="006256F6">
      <w:pPr>
        <w:pStyle w:val="ListParagraph"/>
        <w:jc w:val="both"/>
        <w:rPr>
          <w:b/>
          <w:bCs/>
          <w:sz w:val="22"/>
          <w:szCs w:val="22"/>
          <w:lang w:val="en-GB"/>
        </w:rPr>
      </w:pPr>
    </w:p>
    <w:p w14:paraId="0B3A3856" w14:textId="7F399022" w:rsidR="00442F0E" w:rsidRPr="006256F6" w:rsidRDefault="00442F0E" w:rsidP="006256F6">
      <w:pPr>
        <w:pStyle w:val="ListParagraph"/>
        <w:numPr>
          <w:ilvl w:val="1"/>
          <w:numId w:val="1"/>
        </w:numPr>
        <w:ind w:left="0" w:firstLine="0"/>
        <w:jc w:val="both"/>
        <w:rPr>
          <w:sz w:val="22"/>
          <w:szCs w:val="22"/>
        </w:rPr>
      </w:pPr>
      <w:r w:rsidRPr="006256F6">
        <w:rPr>
          <w:sz w:val="22"/>
          <w:szCs w:val="22"/>
        </w:rPr>
        <w:t xml:space="preserve">The primary objective of this consultancy is to support the Caribbean Development Bank (CDB) in the design, establishment, and </w:t>
      </w:r>
      <w:proofErr w:type="spellStart"/>
      <w:r w:rsidRPr="006256F6">
        <w:rPr>
          <w:sz w:val="22"/>
          <w:szCs w:val="22"/>
        </w:rPr>
        <w:t>capitalisation</w:t>
      </w:r>
      <w:proofErr w:type="spellEnd"/>
      <w:r w:rsidRPr="006256F6">
        <w:rPr>
          <w:sz w:val="22"/>
          <w:szCs w:val="22"/>
        </w:rPr>
        <w:t xml:space="preserve"> of a Caribbean E-Mobility Fund. This includes the development of a viable, regionally responsive financing mechanism to </w:t>
      </w:r>
      <w:proofErr w:type="spellStart"/>
      <w:r w:rsidRPr="006256F6">
        <w:rPr>
          <w:sz w:val="22"/>
          <w:szCs w:val="22"/>
        </w:rPr>
        <w:t>catalyse</w:t>
      </w:r>
      <w:proofErr w:type="spellEnd"/>
      <w:r w:rsidRPr="006256F6">
        <w:rPr>
          <w:sz w:val="22"/>
          <w:szCs w:val="22"/>
        </w:rPr>
        <w:t xml:space="preserve"> investments in low-carbon transport across Borrowing Member Countries (BMCs). Specifically, the consultan</w:t>
      </w:r>
      <w:r w:rsidR="769E70E4" w:rsidRPr="006256F6">
        <w:rPr>
          <w:sz w:val="22"/>
          <w:szCs w:val="22"/>
        </w:rPr>
        <w:t>t</w:t>
      </w:r>
      <w:r w:rsidRPr="006256F6">
        <w:rPr>
          <w:sz w:val="22"/>
          <w:szCs w:val="22"/>
        </w:rPr>
        <w:t xml:space="preserve"> </w:t>
      </w:r>
      <w:r w:rsidR="00B0213C" w:rsidRPr="006256F6">
        <w:rPr>
          <w:sz w:val="22"/>
          <w:szCs w:val="22"/>
        </w:rPr>
        <w:t xml:space="preserve">firm </w:t>
      </w:r>
      <w:r w:rsidRPr="006256F6">
        <w:rPr>
          <w:sz w:val="22"/>
          <w:szCs w:val="22"/>
        </w:rPr>
        <w:t>will:</w:t>
      </w:r>
    </w:p>
    <w:p w14:paraId="223FA8C0" w14:textId="77777777" w:rsidR="006256F6" w:rsidRPr="006256F6" w:rsidRDefault="006256F6" w:rsidP="006256F6">
      <w:pPr>
        <w:pStyle w:val="ListParagraph"/>
        <w:ind w:left="1080"/>
        <w:jc w:val="both"/>
        <w:rPr>
          <w:sz w:val="22"/>
          <w:szCs w:val="22"/>
        </w:rPr>
      </w:pPr>
    </w:p>
    <w:p w14:paraId="538FF084" w14:textId="41E0BCF9" w:rsidR="00442F0E" w:rsidRDefault="00442F0E" w:rsidP="006256F6">
      <w:pPr>
        <w:widowControl/>
        <w:numPr>
          <w:ilvl w:val="0"/>
          <w:numId w:val="13"/>
        </w:numPr>
        <w:tabs>
          <w:tab w:val="clear" w:pos="720"/>
          <w:tab w:val="num" w:pos="1440"/>
        </w:tabs>
        <w:autoSpaceDE/>
        <w:autoSpaceDN/>
        <w:adjustRightInd/>
        <w:ind w:left="1440" w:hanging="720"/>
        <w:jc w:val="both"/>
        <w:rPr>
          <w:rFonts w:ascii="Times New Roman" w:hAnsi="Times New Roman"/>
          <w:sz w:val="22"/>
          <w:szCs w:val="22"/>
        </w:rPr>
      </w:pPr>
      <w:r w:rsidRPr="002B4E2A">
        <w:rPr>
          <w:rFonts w:ascii="Times New Roman" w:hAnsi="Times New Roman"/>
          <w:sz w:val="22"/>
          <w:szCs w:val="22"/>
        </w:rPr>
        <w:t>Conduct a market assessment and pre-feasibility study to evaluate the current state, opportunities, and barriers for e-mobility deployment in the Caribbean.</w:t>
      </w:r>
    </w:p>
    <w:p w14:paraId="43E5D588" w14:textId="77777777" w:rsidR="00433835" w:rsidRDefault="00433835" w:rsidP="00433835">
      <w:pPr>
        <w:widowControl/>
        <w:autoSpaceDE/>
        <w:autoSpaceDN/>
        <w:adjustRightInd/>
        <w:ind w:left="1440"/>
        <w:jc w:val="both"/>
        <w:rPr>
          <w:rFonts w:ascii="Times New Roman" w:hAnsi="Times New Roman"/>
          <w:sz w:val="22"/>
          <w:szCs w:val="22"/>
        </w:rPr>
      </w:pPr>
    </w:p>
    <w:p w14:paraId="4D279713" w14:textId="2AEE4C33" w:rsidR="00FD6B28" w:rsidRDefault="00FD6B28" w:rsidP="006256F6">
      <w:pPr>
        <w:widowControl/>
        <w:numPr>
          <w:ilvl w:val="0"/>
          <w:numId w:val="13"/>
        </w:numPr>
        <w:tabs>
          <w:tab w:val="clear" w:pos="720"/>
          <w:tab w:val="num" w:pos="1440"/>
        </w:tabs>
        <w:autoSpaceDE/>
        <w:autoSpaceDN/>
        <w:adjustRightInd/>
        <w:ind w:left="1440" w:hanging="720"/>
        <w:jc w:val="both"/>
        <w:rPr>
          <w:rFonts w:ascii="Times New Roman" w:hAnsi="Times New Roman"/>
          <w:sz w:val="22"/>
          <w:szCs w:val="22"/>
        </w:rPr>
      </w:pPr>
      <w:r w:rsidRPr="002B4E2A">
        <w:rPr>
          <w:rFonts w:ascii="Times New Roman" w:hAnsi="Times New Roman"/>
          <w:sz w:val="22"/>
          <w:szCs w:val="22"/>
        </w:rPr>
        <w:t xml:space="preserve">Prepare a Green Climate Fund </w:t>
      </w:r>
      <w:r w:rsidR="00431EE1" w:rsidRPr="002B4E2A">
        <w:rPr>
          <w:rFonts w:ascii="Times New Roman" w:hAnsi="Times New Roman"/>
          <w:sz w:val="22"/>
          <w:szCs w:val="22"/>
        </w:rPr>
        <w:t xml:space="preserve">E-Mobility </w:t>
      </w:r>
      <w:r w:rsidRPr="002B4E2A">
        <w:rPr>
          <w:rFonts w:ascii="Times New Roman" w:hAnsi="Times New Roman"/>
          <w:sz w:val="22"/>
          <w:szCs w:val="22"/>
        </w:rPr>
        <w:t>Concept Note</w:t>
      </w:r>
      <w:r w:rsidR="009076D2" w:rsidRPr="002B4E2A">
        <w:rPr>
          <w:rFonts w:ascii="Times New Roman" w:hAnsi="Times New Roman"/>
          <w:sz w:val="22"/>
          <w:szCs w:val="22"/>
        </w:rPr>
        <w:t xml:space="preserve"> (</w:t>
      </w:r>
      <w:r w:rsidR="2435846C" w:rsidRPr="002B4E2A">
        <w:rPr>
          <w:rFonts w:ascii="Times New Roman" w:hAnsi="Times New Roman"/>
          <w:sz w:val="22"/>
          <w:szCs w:val="22"/>
        </w:rPr>
        <w:t xml:space="preserve">using the template provided at </w:t>
      </w:r>
      <w:r w:rsidR="009076D2" w:rsidRPr="002B4E2A">
        <w:rPr>
          <w:rFonts w:ascii="Times New Roman" w:hAnsi="Times New Roman"/>
          <w:sz w:val="22"/>
          <w:szCs w:val="22"/>
        </w:rPr>
        <w:t>Appendix C)</w:t>
      </w:r>
      <w:r w:rsidR="00431EE1" w:rsidRPr="002B4E2A">
        <w:rPr>
          <w:rFonts w:ascii="Times New Roman" w:hAnsi="Times New Roman"/>
          <w:sz w:val="22"/>
          <w:szCs w:val="22"/>
        </w:rPr>
        <w:t xml:space="preserve"> that is aligned with national climate strategies</w:t>
      </w:r>
      <w:r w:rsidR="0041755A" w:rsidRPr="002B4E2A">
        <w:rPr>
          <w:rFonts w:ascii="Times New Roman" w:hAnsi="Times New Roman"/>
          <w:sz w:val="22"/>
          <w:szCs w:val="22"/>
        </w:rPr>
        <w:t xml:space="preserve"> of BMCs</w:t>
      </w:r>
      <w:r w:rsidR="00F95DAF" w:rsidRPr="002B4E2A">
        <w:rPr>
          <w:rFonts w:ascii="Times New Roman" w:hAnsi="Times New Roman"/>
          <w:sz w:val="22"/>
          <w:szCs w:val="22"/>
        </w:rPr>
        <w:t xml:space="preserve"> </w:t>
      </w:r>
      <w:r w:rsidR="00431EE1" w:rsidRPr="002B4E2A">
        <w:rPr>
          <w:rFonts w:ascii="Times New Roman" w:hAnsi="Times New Roman"/>
          <w:sz w:val="22"/>
          <w:szCs w:val="22"/>
        </w:rPr>
        <w:t xml:space="preserve">and </w:t>
      </w:r>
      <w:r w:rsidR="51353231" w:rsidRPr="002B4E2A">
        <w:rPr>
          <w:rFonts w:ascii="Times New Roman" w:hAnsi="Times New Roman"/>
          <w:sz w:val="22"/>
          <w:szCs w:val="22"/>
        </w:rPr>
        <w:t>justifies</w:t>
      </w:r>
      <w:r w:rsidR="00431EE1" w:rsidRPr="002B4E2A">
        <w:rPr>
          <w:rFonts w:ascii="Times New Roman" w:hAnsi="Times New Roman"/>
          <w:sz w:val="22"/>
          <w:szCs w:val="22"/>
        </w:rPr>
        <w:t xml:space="preserve"> the need for GCF </w:t>
      </w:r>
      <w:r w:rsidR="0089158E" w:rsidRPr="002B4E2A">
        <w:rPr>
          <w:rFonts w:ascii="Times New Roman" w:hAnsi="Times New Roman"/>
          <w:sz w:val="22"/>
          <w:szCs w:val="22"/>
        </w:rPr>
        <w:t>financing</w:t>
      </w:r>
      <w:r w:rsidR="00427CA6" w:rsidRPr="002B4E2A">
        <w:rPr>
          <w:rFonts w:ascii="Times New Roman" w:hAnsi="Times New Roman"/>
          <w:sz w:val="22"/>
          <w:szCs w:val="22"/>
        </w:rPr>
        <w:t xml:space="preserve"> to </w:t>
      </w:r>
      <w:r w:rsidR="00456F7C" w:rsidRPr="002B4E2A">
        <w:rPr>
          <w:rFonts w:ascii="Times New Roman" w:hAnsi="Times New Roman"/>
          <w:sz w:val="22"/>
          <w:szCs w:val="22"/>
        </w:rPr>
        <w:t xml:space="preserve">scale </w:t>
      </w:r>
      <w:r w:rsidR="00222E17" w:rsidRPr="002B4E2A">
        <w:rPr>
          <w:rFonts w:ascii="Times New Roman" w:hAnsi="Times New Roman"/>
          <w:sz w:val="22"/>
          <w:szCs w:val="22"/>
        </w:rPr>
        <w:t>size of the</w:t>
      </w:r>
      <w:r w:rsidR="4FA41C97" w:rsidRPr="002B4E2A">
        <w:rPr>
          <w:rFonts w:ascii="Times New Roman" w:hAnsi="Times New Roman"/>
          <w:sz w:val="22"/>
          <w:szCs w:val="22"/>
        </w:rPr>
        <w:t xml:space="preserve"> E-mobility Fund.</w:t>
      </w:r>
      <w:r w:rsidR="00222E17" w:rsidRPr="002B4E2A">
        <w:rPr>
          <w:rFonts w:ascii="Times New Roman" w:hAnsi="Times New Roman"/>
          <w:sz w:val="22"/>
          <w:szCs w:val="22"/>
        </w:rPr>
        <w:t xml:space="preserve"> </w:t>
      </w:r>
    </w:p>
    <w:p w14:paraId="540AD769" w14:textId="1914C71E" w:rsidR="00442F0E" w:rsidRDefault="00442F0E" w:rsidP="006256F6">
      <w:pPr>
        <w:widowControl/>
        <w:numPr>
          <w:ilvl w:val="0"/>
          <w:numId w:val="13"/>
        </w:numPr>
        <w:tabs>
          <w:tab w:val="clear" w:pos="720"/>
          <w:tab w:val="num" w:pos="1440"/>
        </w:tabs>
        <w:autoSpaceDE/>
        <w:autoSpaceDN/>
        <w:adjustRightInd/>
        <w:ind w:left="1440" w:hanging="720"/>
        <w:jc w:val="both"/>
        <w:rPr>
          <w:rFonts w:ascii="Times New Roman" w:hAnsi="Times New Roman"/>
          <w:sz w:val="22"/>
          <w:szCs w:val="22"/>
        </w:rPr>
      </w:pPr>
      <w:r w:rsidRPr="002B4E2A">
        <w:rPr>
          <w:rFonts w:ascii="Times New Roman" w:hAnsi="Times New Roman"/>
          <w:sz w:val="22"/>
          <w:szCs w:val="22"/>
        </w:rPr>
        <w:lastRenderedPageBreak/>
        <w:t>Design a comprehensive fund structure, including operational modalities, eligibility criteria, financing instruments, and governance arrangements.</w:t>
      </w:r>
    </w:p>
    <w:p w14:paraId="049FCC33" w14:textId="77777777" w:rsidR="006256F6" w:rsidRDefault="006256F6" w:rsidP="006256F6">
      <w:pPr>
        <w:pStyle w:val="ListParagraph"/>
        <w:rPr>
          <w:sz w:val="22"/>
          <w:szCs w:val="22"/>
        </w:rPr>
      </w:pPr>
    </w:p>
    <w:p w14:paraId="3EF6C0B8" w14:textId="7DB0A123" w:rsidR="00442F0E" w:rsidRDefault="700A1448" w:rsidP="006256F6">
      <w:pPr>
        <w:widowControl/>
        <w:numPr>
          <w:ilvl w:val="0"/>
          <w:numId w:val="13"/>
        </w:numPr>
        <w:tabs>
          <w:tab w:val="clear" w:pos="720"/>
          <w:tab w:val="num" w:pos="1440"/>
        </w:tabs>
        <w:autoSpaceDE/>
        <w:autoSpaceDN/>
        <w:adjustRightInd/>
        <w:ind w:left="1440" w:hanging="720"/>
        <w:jc w:val="both"/>
        <w:rPr>
          <w:rFonts w:ascii="Times New Roman" w:hAnsi="Times New Roman"/>
          <w:sz w:val="22"/>
          <w:szCs w:val="22"/>
        </w:rPr>
      </w:pPr>
      <w:r w:rsidRPr="002B4E2A">
        <w:rPr>
          <w:rFonts w:ascii="Times New Roman" w:hAnsi="Times New Roman"/>
          <w:sz w:val="22"/>
          <w:szCs w:val="22"/>
        </w:rPr>
        <w:t>Conduct</w:t>
      </w:r>
      <w:r w:rsidR="00442F0E" w:rsidRPr="002B4E2A">
        <w:rPr>
          <w:rFonts w:ascii="Times New Roman" w:hAnsi="Times New Roman"/>
          <w:sz w:val="22"/>
          <w:szCs w:val="22"/>
        </w:rPr>
        <w:t xml:space="preserve"> stakeholder consultations and regional outreach to inform fund design and build consensus among public and private sector actors.</w:t>
      </w:r>
    </w:p>
    <w:p w14:paraId="36B006DC" w14:textId="77777777" w:rsidR="006256F6" w:rsidRDefault="006256F6" w:rsidP="006256F6">
      <w:pPr>
        <w:pStyle w:val="ListParagraph"/>
        <w:rPr>
          <w:sz w:val="22"/>
          <w:szCs w:val="22"/>
        </w:rPr>
      </w:pPr>
    </w:p>
    <w:p w14:paraId="1B4C2A10" w14:textId="77777777" w:rsidR="00442F0E" w:rsidRDefault="00442F0E" w:rsidP="006256F6">
      <w:pPr>
        <w:widowControl/>
        <w:numPr>
          <w:ilvl w:val="0"/>
          <w:numId w:val="13"/>
        </w:numPr>
        <w:tabs>
          <w:tab w:val="clear" w:pos="720"/>
          <w:tab w:val="num" w:pos="1440"/>
        </w:tabs>
        <w:autoSpaceDE/>
        <w:autoSpaceDN/>
        <w:adjustRightInd/>
        <w:ind w:left="1440" w:hanging="720"/>
        <w:jc w:val="both"/>
        <w:rPr>
          <w:rFonts w:ascii="Times New Roman" w:hAnsi="Times New Roman"/>
          <w:sz w:val="22"/>
          <w:szCs w:val="22"/>
        </w:rPr>
      </w:pPr>
      <w:r w:rsidRPr="002B4E2A">
        <w:rPr>
          <w:rFonts w:ascii="Times New Roman" w:hAnsi="Times New Roman"/>
          <w:sz w:val="22"/>
          <w:szCs w:val="22"/>
        </w:rPr>
        <w:t>Recommend appropriate institutional and fiduciary arrangements for fund management and oversight, including alignment with CDB systems and international standards; and</w:t>
      </w:r>
    </w:p>
    <w:p w14:paraId="30708531" w14:textId="77777777" w:rsidR="006256F6" w:rsidRDefault="006256F6" w:rsidP="006256F6">
      <w:pPr>
        <w:pStyle w:val="ListParagraph"/>
        <w:rPr>
          <w:sz w:val="22"/>
          <w:szCs w:val="22"/>
        </w:rPr>
      </w:pPr>
    </w:p>
    <w:p w14:paraId="53F66BC6" w14:textId="77777777" w:rsidR="00442F0E" w:rsidRPr="002B4E2A" w:rsidRDefault="00442F0E" w:rsidP="006256F6">
      <w:pPr>
        <w:widowControl/>
        <w:numPr>
          <w:ilvl w:val="0"/>
          <w:numId w:val="13"/>
        </w:numPr>
        <w:tabs>
          <w:tab w:val="clear" w:pos="720"/>
          <w:tab w:val="num" w:pos="1440"/>
        </w:tabs>
        <w:autoSpaceDE/>
        <w:autoSpaceDN/>
        <w:adjustRightInd/>
        <w:ind w:left="1440" w:hanging="720"/>
        <w:jc w:val="both"/>
        <w:rPr>
          <w:rFonts w:ascii="Times New Roman" w:hAnsi="Times New Roman"/>
          <w:sz w:val="22"/>
          <w:szCs w:val="22"/>
        </w:rPr>
      </w:pPr>
      <w:r w:rsidRPr="002B4E2A">
        <w:rPr>
          <w:rFonts w:ascii="Times New Roman" w:hAnsi="Times New Roman"/>
          <w:sz w:val="22"/>
          <w:szCs w:val="22"/>
        </w:rPr>
        <w:t xml:space="preserve">Identify and engage potential donors and development partners (e.g., Green Climate Fund, DFIs, bilateral donors) to support fund </w:t>
      </w:r>
      <w:proofErr w:type="spellStart"/>
      <w:r w:rsidRPr="002B4E2A">
        <w:rPr>
          <w:rFonts w:ascii="Times New Roman" w:hAnsi="Times New Roman"/>
          <w:sz w:val="22"/>
          <w:szCs w:val="22"/>
        </w:rPr>
        <w:t>capitalisation</w:t>
      </w:r>
      <w:proofErr w:type="spellEnd"/>
      <w:r w:rsidRPr="002B4E2A">
        <w:rPr>
          <w:rFonts w:ascii="Times New Roman" w:hAnsi="Times New Roman"/>
          <w:sz w:val="22"/>
          <w:szCs w:val="22"/>
        </w:rPr>
        <w:t>.</w:t>
      </w:r>
    </w:p>
    <w:p w14:paraId="79B303EA" w14:textId="0D83B48F" w:rsidR="00041448" w:rsidRPr="002B4E2A" w:rsidRDefault="00041448" w:rsidP="006256F6">
      <w:pPr>
        <w:widowControl/>
        <w:autoSpaceDE/>
        <w:autoSpaceDN/>
        <w:adjustRightInd/>
        <w:rPr>
          <w:rFonts w:ascii="Times New Roman" w:hAnsi="Times New Roman"/>
          <w:sz w:val="22"/>
          <w:szCs w:val="22"/>
          <w:lang w:val="en-GB"/>
        </w:rPr>
      </w:pPr>
    </w:p>
    <w:p w14:paraId="36253D2C" w14:textId="1DEAE645" w:rsidR="004F6839" w:rsidRDefault="00D316FA" w:rsidP="006256F6">
      <w:pPr>
        <w:pStyle w:val="Heading2"/>
        <w:rPr>
          <w:lang w:val="en-GB"/>
        </w:rPr>
      </w:pPr>
      <w:r w:rsidRPr="002B4E2A">
        <w:rPr>
          <w:lang w:val="en-GB"/>
        </w:rPr>
        <w:t>SCOPE OF SERVICES</w:t>
      </w:r>
    </w:p>
    <w:p w14:paraId="24181B28" w14:textId="77777777" w:rsidR="009C63AE" w:rsidRPr="009C63AE" w:rsidRDefault="009C63AE" w:rsidP="009C63AE">
      <w:pPr>
        <w:rPr>
          <w:lang w:val="en-GB"/>
        </w:rPr>
      </w:pPr>
    </w:p>
    <w:p w14:paraId="53C4E8FB" w14:textId="6F731F03" w:rsidR="00CE0FA0" w:rsidRPr="00D566CE" w:rsidRDefault="009C63AE" w:rsidP="006256F6">
      <w:pPr>
        <w:pStyle w:val="NormalWeb"/>
        <w:spacing w:before="0" w:beforeAutospacing="0" w:after="0" w:afterAutospacing="0"/>
        <w:jc w:val="both"/>
        <w:rPr>
          <w:sz w:val="22"/>
          <w:szCs w:val="22"/>
        </w:rPr>
      </w:pPr>
      <w:r>
        <w:rPr>
          <w:sz w:val="22"/>
          <w:szCs w:val="22"/>
        </w:rPr>
        <w:t>3.01</w:t>
      </w:r>
      <w:r>
        <w:rPr>
          <w:sz w:val="22"/>
          <w:szCs w:val="22"/>
        </w:rPr>
        <w:tab/>
      </w:r>
      <w:r w:rsidR="00CE0FA0" w:rsidRPr="002B4E2A">
        <w:rPr>
          <w:sz w:val="22"/>
          <w:szCs w:val="22"/>
        </w:rPr>
        <w:t xml:space="preserve">The </w:t>
      </w:r>
      <w:r w:rsidR="008D555A" w:rsidRPr="002B4E2A">
        <w:rPr>
          <w:sz w:val="22"/>
          <w:szCs w:val="22"/>
        </w:rPr>
        <w:t>Consulting Firm</w:t>
      </w:r>
      <w:r w:rsidR="0016601A" w:rsidRPr="002B4E2A">
        <w:rPr>
          <w:sz w:val="22"/>
          <w:szCs w:val="22"/>
        </w:rPr>
        <w:t xml:space="preserve"> </w:t>
      </w:r>
      <w:r w:rsidR="00CE0FA0" w:rsidRPr="002B4E2A">
        <w:rPr>
          <w:sz w:val="22"/>
          <w:szCs w:val="22"/>
        </w:rPr>
        <w:t xml:space="preserve">will be required to deliver a comprehensive set of technical, institutional, and strategic inputs to support the </w:t>
      </w:r>
      <w:r w:rsidR="00CE0FA0" w:rsidRPr="00D566CE">
        <w:rPr>
          <w:sz w:val="22"/>
          <w:szCs w:val="22"/>
        </w:rPr>
        <w:t>establishment of the Caribbean E-Mobility Fund. The scope of services shall include, but not be limited to, the following:</w:t>
      </w:r>
    </w:p>
    <w:p w14:paraId="03A0A78B" w14:textId="77777777" w:rsidR="009C63AE" w:rsidRPr="00D566CE" w:rsidRDefault="009C63AE" w:rsidP="006256F6">
      <w:pPr>
        <w:pStyle w:val="NormalWeb"/>
        <w:spacing w:before="0" w:beforeAutospacing="0" w:after="0" w:afterAutospacing="0"/>
        <w:jc w:val="both"/>
        <w:rPr>
          <w:sz w:val="22"/>
          <w:szCs w:val="22"/>
        </w:rPr>
      </w:pPr>
    </w:p>
    <w:p w14:paraId="7D56F1F2" w14:textId="77777777" w:rsidR="009C63AE" w:rsidRPr="00D566CE" w:rsidRDefault="009B78E1" w:rsidP="001339EF">
      <w:pPr>
        <w:pStyle w:val="NormalWeb"/>
        <w:numPr>
          <w:ilvl w:val="0"/>
          <w:numId w:val="15"/>
        </w:numPr>
        <w:spacing w:before="0" w:beforeAutospacing="0" w:after="0" w:afterAutospacing="0"/>
        <w:ind w:firstLine="0"/>
        <w:rPr>
          <w:rStyle w:val="Strong"/>
          <w:b w:val="0"/>
          <w:bCs w:val="0"/>
          <w:sz w:val="22"/>
          <w:szCs w:val="22"/>
        </w:rPr>
      </w:pPr>
      <w:r w:rsidRPr="00D566CE">
        <w:rPr>
          <w:rStyle w:val="Strong"/>
          <w:sz w:val="22"/>
          <w:szCs w:val="22"/>
        </w:rPr>
        <w:t>E-Mobility Market Assessment and Pre-Feasibility Study</w:t>
      </w:r>
    </w:p>
    <w:p w14:paraId="46223F61" w14:textId="77777777" w:rsidR="009C63AE" w:rsidRPr="00D566CE" w:rsidRDefault="009C63AE" w:rsidP="009C63AE">
      <w:pPr>
        <w:pStyle w:val="NormalWeb"/>
        <w:spacing w:before="0" w:beforeAutospacing="0" w:after="0" w:afterAutospacing="0"/>
        <w:ind w:left="720"/>
        <w:rPr>
          <w:sz w:val="22"/>
          <w:szCs w:val="22"/>
        </w:rPr>
      </w:pPr>
    </w:p>
    <w:p w14:paraId="13B21C8B" w14:textId="3339A957" w:rsidR="009B78E1" w:rsidRPr="00D566CE" w:rsidRDefault="009B78E1" w:rsidP="001339EF">
      <w:pPr>
        <w:pStyle w:val="NormalWeb"/>
        <w:spacing w:before="0" w:beforeAutospacing="0" w:after="0" w:afterAutospacing="0"/>
        <w:ind w:left="1440"/>
        <w:rPr>
          <w:sz w:val="22"/>
          <w:szCs w:val="22"/>
        </w:rPr>
      </w:pPr>
      <w:r w:rsidRPr="00D566CE">
        <w:rPr>
          <w:sz w:val="22"/>
          <w:szCs w:val="22"/>
        </w:rPr>
        <w:t>Conduct a comprehensive regional analysis to inform the Fund’s structure and priorities. This will include:</w:t>
      </w:r>
    </w:p>
    <w:p w14:paraId="2FC40796" w14:textId="77777777" w:rsidR="008842B8" w:rsidRPr="00D566CE" w:rsidRDefault="008842B8" w:rsidP="009C63AE">
      <w:pPr>
        <w:pStyle w:val="NormalWeb"/>
        <w:spacing w:before="0" w:beforeAutospacing="0" w:after="0" w:afterAutospacing="0"/>
        <w:ind w:left="720"/>
        <w:rPr>
          <w:sz w:val="22"/>
          <w:szCs w:val="22"/>
        </w:rPr>
      </w:pPr>
    </w:p>
    <w:p w14:paraId="32FDAA4F" w14:textId="220FC55E" w:rsidR="009B78E1" w:rsidRPr="00D566CE" w:rsidRDefault="009B78E1" w:rsidP="001339EF">
      <w:pPr>
        <w:pStyle w:val="NormalWeb"/>
        <w:numPr>
          <w:ilvl w:val="1"/>
          <w:numId w:val="16"/>
        </w:numPr>
        <w:spacing w:before="0" w:beforeAutospacing="0" w:after="0" w:afterAutospacing="0"/>
        <w:ind w:left="2160" w:hanging="720"/>
        <w:jc w:val="both"/>
        <w:rPr>
          <w:sz w:val="22"/>
          <w:szCs w:val="22"/>
        </w:rPr>
      </w:pPr>
      <w:r w:rsidRPr="00D566CE">
        <w:rPr>
          <w:sz w:val="22"/>
          <w:szCs w:val="22"/>
        </w:rPr>
        <w:t>Segmentation of the market by vehicle type, application (e.g., public transit, private use, tourism), and customer type.</w:t>
      </w:r>
    </w:p>
    <w:p w14:paraId="487B59D0" w14:textId="41774C41" w:rsidR="009B78E1" w:rsidRPr="00D566CE" w:rsidRDefault="009B78E1" w:rsidP="001339EF">
      <w:pPr>
        <w:pStyle w:val="NormalWeb"/>
        <w:numPr>
          <w:ilvl w:val="1"/>
          <w:numId w:val="16"/>
        </w:numPr>
        <w:spacing w:before="0" w:beforeAutospacing="0" w:after="0" w:afterAutospacing="0"/>
        <w:ind w:left="2160" w:hanging="720"/>
        <w:jc w:val="both"/>
        <w:rPr>
          <w:sz w:val="22"/>
          <w:szCs w:val="22"/>
        </w:rPr>
      </w:pPr>
      <w:r w:rsidRPr="00D566CE">
        <w:rPr>
          <w:sz w:val="22"/>
          <w:szCs w:val="22"/>
        </w:rPr>
        <w:t xml:space="preserve">Assessment of current </w:t>
      </w:r>
      <w:r w:rsidR="00B9799C" w:rsidRPr="00D566CE">
        <w:rPr>
          <w:sz w:val="22"/>
          <w:szCs w:val="22"/>
        </w:rPr>
        <w:t>Electric Vehicle (</w:t>
      </w:r>
      <w:r w:rsidRPr="00D566CE">
        <w:rPr>
          <w:sz w:val="22"/>
          <w:szCs w:val="22"/>
        </w:rPr>
        <w:t>EV</w:t>
      </w:r>
      <w:r w:rsidR="00B9799C" w:rsidRPr="00D566CE">
        <w:rPr>
          <w:sz w:val="22"/>
          <w:szCs w:val="22"/>
        </w:rPr>
        <w:t>)</w:t>
      </w:r>
      <w:r w:rsidRPr="00D566CE">
        <w:rPr>
          <w:sz w:val="22"/>
          <w:szCs w:val="22"/>
        </w:rPr>
        <w:t xml:space="preserve"> penetration levels and infrastructure across BMCs.</w:t>
      </w:r>
    </w:p>
    <w:p w14:paraId="3F31547C" w14:textId="77777777" w:rsidR="009B78E1" w:rsidRPr="00D566CE" w:rsidRDefault="009B78E1" w:rsidP="001339EF">
      <w:pPr>
        <w:pStyle w:val="NormalWeb"/>
        <w:numPr>
          <w:ilvl w:val="1"/>
          <w:numId w:val="16"/>
        </w:numPr>
        <w:spacing w:before="0" w:beforeAutospacing="0" w:after="0" w:afterAutospacing="0"/>
        <w:ind w:left="2160" w:hanging="720"/>
        <w:jc w:val="both"/>
        <w:rPr>
          <w:sz w:val="22"/>
          <w:szCs w:val="22"/>
        </w:rPr>
      </w:pPr>
      <w:r w:rsidRPr="00D566CE">
        <w:rPr>
          <w:sz w:val="22"/>
          <w:szCs w:val="22"/>
        </w:rPr>
        <w:t xml:space="preserve">Identification of key public and private sector actors and market shares </w:t>
      </w:r>
      <w:proofErr w:type="gramStart"/>
      <w:r w:rsidRPr="00D566CE">
        <w:rPr>
          <w:sz w:val="22"/>
          <w:szCs w:val="22"/>
        </w:rPr>
        <w:t>where</w:t>
      </w:r>
      <w:proofErr w:type="gramEnd"/>
      <w:r w:rsidRPr="00D566CE">
        <w:rPr>
          <w:sz w:val="22"/>
          <w:szCs w:val="22"/>
        </w:rPr>
        <w:t xml:space="preserve"> available.</w:t>
      </w:r>
    </w:p>
    <w:p w14:paraId="6282DD4E" w14:textId="77777777" w:rsidR="009B78E1" w:rsidRPr="00D566CE" w:rsidRDefault="009B78E1" w:rsidP="001339EF">
      <w:pPr>
        <w:pStyle w:val="NormalWeb"/>
        <w:numPr>
          <w:ilvl w:val="1"/>
          <w:numId w:val="16"/>
        </w:numPr>
        <w:spacing w:before="0" w:beforeAutospacing="0" w:after="0" w:afterAutospacing="0"/>
        <w:ind w:left="2160" w:hanging="720"/>
        <w:jc w:val="both"/>
        <w:rPr>
          <w:sz w:val="22"/>
          <w:szCs w:val="22"/>
        </w:rPr>
      </w:pPr>
      <w:r w:rsidRPr="00D566CE">
        <w:rPr>
          <w:sz w:val="22"/>
          <w:szCs w:val="22"/>
        </w:rPr>
        <w:t>Evaluation of charging infrastructure coverage and electric grid capacity, including rural and remote locations.</w:t>
      </w:r>
    </w:p>
    <w:p w14:paraId="5170E562" w14:textId="77777777" w:rsidR="009B78E1" w:rsidRPr="00D566CE" w:rsidRDefault="009B78E1" w:rsidP="001339EF">
      <w:pPr>
        <w:pStyle w:val="NormalWeb"/>
        <w:numPr>
          <w:ilvl w:val="1"/>
          <w:numId w:val="16"/>
        </w:numPr>
        <w:spacing w:before="0" w:beforeAutospacing="0" w:after="0" w:afterAutospacing="0"/>
        <w:ind w:left="2160" w:hanging="720"/>
        <w:jc w:val="both"/>
        <w:rPr>
          <w:sz w:val="22"/>
          <w:szCs w:val="22"/>
        </w:rPr>
      </w:pPr>
      <w:r w:rsidRPr="00D566CE">
        <w:rPr>
          <w:sz w:val="22"/>
          <w:szCs w:val="22"/>
        </w:rPr>
        <w:t>Estimation of CO₂ emissions reduction potential from transport electrification.</w:t>
      </w:r>
    </w:p>
    <w:p w14:paraId="6EFB18E7" w14:textId="77777777" w:rsidR="009B78E1" w:rsidRPr="00D566CE" w:rsidRDefault="009B78E1" w:rsidP="009B78E1">
      <w:pPr>
        <w:pStyle w:val="NormalWeb"/>
        <w:spacing w:before="0" w:beforeAutospacing="0" w:after="0" w:afterAutospacing="0"/>
        <w:ind w:left="1440"/>
        <w:rPr>
          <w:sz w:val="22"/>
          <w:szCs w:val="22"/>
        </w:rPr>
      </w:pPr>
    </w:p>
    <w:p w14:paraId="4C20BBD5" w14:textId="77777777" w:rsidR="001339EF" w:rsidRPr="00D566CE" w:rsidRDefault="009B78E1" w:rsidP="001339EF">
      <w:pPr>
        <w:pStyle w:val="NormalWeb"/>
        <w:numPr>
          <w:ilvl w:val="0"/>
          <w:numId w:val="15"/>
        </w:numPr>
        <w:spacing w:before="0" w:beforeAutospacing="0" w:after="0" w:afterAutospacing="0"/>
        <w:ind w:firstLine="0"/>
        <w:rPr>
          <w:rStyle w:val="Strong"/>
          <w:b w:val="0"/>
          <w:bCs w:val="0"/>
          <w:sz w:val="22"/>
          <w:szCs w:val="22"/>
        </w:rPr>
      </w:pPr>
      <w:r w:rsidRPr="00D566CE">
        <w:rPr>
          <w:rStyle w:val="Strong"/>
          <w:sz w:val="22"/>
          <w:szCs w:val="22"/>
        </w:rPr>
        <w:t>Comparative Fund Design Review</w:t>
      </w:r>
    </w:p>
    <w:p w14:paraId="216E6124" w14:textId="77777777" w:rsidR="001339EF" w:rsidRPr="00D566CE" w:rsidRDefault="001339EF" w:rsidP="001339EF">
      <w:pPr>
        <w:pStyle w:val="NormalWeb"/>
        <w:spacing w:before="0" w:beforeAutospacing="0" w:after="0" w:afterAutospacing="0"/>
        <w:ind w:left="720"/>
        <w:rPr>
          <w:rStyle w:val="Strong"/>
          <w:b w:val="0"/>
          <w:bCs w:val="0"/>
          <w:sz w:val="22"/>
          <w:szCs w:val="22"/>
        </w:rPr>
      </w:pPr>
    </w:p>
    <w:p w14:paraId="731CB797" w14:textId="2496E6CB" w:rsidR="009B78E1" w:rsidRPr="00D566CE" w:rsidRDefault="009B78E1" w:rsidP="00AE011C">
      <w:pPr>
        <w:pStyle w:val="NormalWeb"/>
        <w:spacing w:before="0" w:beforeAutospacing="0" w:after="0" w:afterAutospacing="0"/>
        <w:ind w:left="1440"/>
        <w:jc w:val="both"/>
        <w:rPr>
          <w:sz w:val="22"/>
          <w:szCs w:val="22"/>
        </w:rPr>
      </w:pPr>
      <w:r w:rsidRPr="00D566CE">
        <w:rPr>
          <w:sz w:val="22"/>
          <w:szCs w:val="22"/>
        </w:rPr>
        <w:t>Review international and regional climate/e-mobility fund models implemented by MDBs, DFIs, and other partners. Identify:</w:t>
      </w:r>
    </w:p>
    <w:p w14:paraId="2080BB7F" w14:textId="77777777" w:rsidR="001339EF" w:rsidRPr="00D566CE" w:rsidRDefault="001339EF" w:rsidP="001339EF">
      <w:pPr>
        <w:pStyle w:val="NormalWeb"/>
        <w:spacing w:before="0" w:beforeAutospacing="0" w:after="0" w:afterAutospacing="0"/>
        <w:ind w:left="720"/>
        <w:rPr>
          <w:sz w:val="22"/>
          <w:szCs w:val="22"/>
        </w:rPr>
      </w:pPr>
    </w:p>
    <w:p w14:paraId="2FBC17A3" w14:textId="0ADB5492" w:rsidR="009B78E1" w:rsidRPr="00D566CE" w:rsidRDefault="009B78E1" w:rsidP="00AE011C">
      <w:pPr>
        <w:pStyle w:val="NormalWeb"/>
        <w:numPr>
          <w:ilvl w:val="1"/>
          <w:numId w:val="17"/>
        </w:numPr>
        <w:spacing w:before="0" w:beforeAutospacing="0" w:after="0" w:afterAutospacing="0"/>
        <w:ind w:left="2160" w:hanging="720"/>
        <w:rPr>
          <w:sz w:val="22"/>
          <w:szCs w:val="22"/>
        </w:rPr>
      </w:pPr>
      <w:r w:rsidRPr="00D566CE">
        <w:rPr>
          <w:sz w:val="22"/>
          <w:szCs w:val="22"/>
        </w:rPr>
        <w:t>Best practices in governance, operations, eligibility, and financial instruments.</w:t>
      </w:r>
    </w:p>
    <w:p w14:paraId="5DE3A4C0" w14:textId="77777777" w:rsidR="009B78E1" w:rsidRPr="00D566CE" w:rsidRDefault="009B78E1" w:rsidP="00AE011C">
      <w:pPr>
        <w:pStyle w:val="NormalWeb"/>
        <w:numPr>
          <w:ilvl w:val="1"/>
          <w:numId w:val="17"/>
        </w:numPr>
        <w:spacing w:before="0" w:beforeAutospacing="0" w:after="0" w:afterAutospacing="0"/>
        <w:ind w:left="2160" w:hanging="720"/>
        <w:rPr>
          <w:sz w:val="22"/>
          <w:szCs w:val="22"/>
        </w:rPr>
      </w:pPr>
      <w:r w:rsidRPr="00D566CE">
        <w:rPr>
          <w:sz w:val="22"/>
          <w:szCs w:val="22"/>
        </w:rPr>
        <w:t>Lessons learned and their applicability to the Caribbean context.</w:t>
      </w:r>
    </w:p>
    <w:p w14:paraId="74AAA34E" w14:textId="77777777" w:rsidR="009B78E1" w:rsidRPr="00D566CE" w:rsidRDefault="009B78E1" w:rsidP="009B78E1">
      <w:pPr>
        <w:pStyle w:val="NormalWeb"/>
        <w:spacing w:before="0" w:beforeAutospacing="0" w:after="0" w:afterAutospacing="0"/>
        <w:ind w:left="1440"/>
        <w:rPr>
          <w:sz w:val="22"/>
          <w:szCs w:val="22"/>
        </w:rPr>
      </w:pPr>
    </w:p>
    <w:p w14:paraId="27779950" w14:textId="3E037C67" w:rsidR="1107A4FC" w:rsidRPr="00D566CE" w:rsidRDefault="6890749B" w:rsidP="008513B6">
      <w:pPr>
        <w:pStyle w:val="NormalWeb"/>
        <w:numPr>
          <w:ilvl w:val="0"/>
          <w:numId w:val="15"/>
        </w:numPr>
        <w:spacing w:before="0" w:beforeAutospacing="0" w:after="0" w:afterAutospacing="0"/>
        <w:ind w:firstLine="0"/>
        <w:rPr>
          <w:b/>
          <w:sz w:val="22"/>
          <w:szCs w:val="22"/>
        </w:rPr>
      </w:pPr>
      <w:r w:rsidRPr="00D566CE">
        <w:rPr>
          <w:b/>
          <w:sz w:val="22"/>
          <w:szCs w:val="22"/>
        </w:rPr>
        <w:t>G</w:t>
      </w:r>
      <w:r w:rsidR="00CD9E87" w:rsidRPr="00D566CE">
        <w:rPr>
          <w:b/>
          <w:sz w:val="22"/>
          <w:szCs w:val="22"/>
        </w:rPr>
        <w:t xml:space="preserve">reen </w:t>
      </w:r>
      <w:r w:rsidRPr="00D566CE">
        <w:rPr>
          <w:b/>
          <w:sz w:val="22"/>
          <w:szCs w:val="22"/>
        </w:rPr>
        <w:t>C</w:t>
      </w:r>
      <w:r w:rsidR="21EE8267" w:rsidRPr="00D566CE">
        <w:rPr>
          <w:b/>
          <w:sz w:val="22"/>
          <w:szCs w:val="22"/>
        </w:rPr>
        <w:t xml:space="preserve">limate </w:t>
      </w:r>
      <w:r w:rsidRPr="00D566CE">
        <w:rPr>
          <w:b/>
          <w:sz w:val="22"/>
          <w:szCs w:val="22"/>
        </w:rPr>
        <w:t>F</w:t>
      </w:r>
      <w:r w:rsidR="1360D999" w:rsidRPr="00D566CE">
        <w:rPr>
          <w:b/>
          <w:sz w:val="22"/>
          <w:szCs w:val="22"/>
        </w:rPr>
        <w:t>und (GCF)</w:t>
      </w:r>
      <w:r w:rsidRPr="00D566CE">
        <w:rPr>
          <w:b/>
          <w:sz w:val="22"/>
          <w:szCs w:val="22"/>
        </w:rPr>
        <w:t xml:space="preserve"> </w:t>
      </w:r>
      <w:r w:rsidR="22DBFEA7" w:rsidRPr="00D566CE">
        <w:rPr>
          <w:b/>
          <w:sz w:val="22"/>
          <w:szCs w:val="22"/>
        </w:rPr>
        <w:t>C</w:t>
      </w:r>
      <w:r w:rsidRPr="00D566CE">
        <w:rPr>
          <w:b/>
          <w:sz w:val="22"/>
          <w:szCs w:val="22"/>
        </w:rPr>
        <w:t xml:space="preserve">oncept </w:t>
      </w:r>
      <w:r w:rsidR="40BB3349" w:rsidRPr="00D566CE">
        <w:rPr>
          <w:b/>
          <w:sz w:val="22"/>
          <w:szCs w:val="22"/>
        </w:rPr>
        <w:t>N</w:t>
      </w:r>
      <w:r w:rsidRPr="00D566CE">
        <w:rPr>
          <w:b/>
          <w:sz w:val="22"/>
          <w:szCs w:val="22"/>
        </w:rPr>
        <w:t>ote</w:t>
      </w:r>
    </w:p>
    <w:p w14:paraId="320D7FC3" w14:textId="77777777" w:rsidR="008513B6" w:rsidRPr="00D566CE" w:rsidRDefault="008513B6" w:rsidP="008513B6">
      <w:pPr>
        <w:pStyle w:val="NormalWeb"/>
        <w:spacing w:before="0" w:beforeAutospacing="0" w:after="0" w:afterAutospacing="0"/>
        <w:ind w:left="720"/>
        <w:rPr>
          <w:b/>
          <w:sz w:val="22"/>
          <w:szCs w:val="22"/>
        </w:rPr>
      </w:pPr>
    </w:p>
    <w:p w14:paraId="25809D6F" w14:textId="300C6B0F" w:rsidR="644ADE83" w:rsidRPr="00D566CE" w:rsidRDefault="644ADE83" w:rsidP="008513B6">
      <w:pPr>
        <w:pStyle w:val="NormalWeb"/>
        <w:spacing w:before="0" w:beforeAutospacing="0" w:after="0" w:afterAutospacing="0"/>
        <w:ind w:left="1440"/>
        <w:jc w:val="both"/>
        <w:rPr>
          <w:sz w:val="22"/>
          <w:szCs w:val="22"/>
        </w:rPr>
      </w:pPr>
      <w:r w:rsidRPr="00D566CE">
        <w:rPr>
          <w:sz w:val="22"/>
          <w:szCs w:val="22"/>
        </w:rPr>
        <w:t xml:space="preserve">Using the </w:t>
      </w:r>
      <w:r w:rsidR="65C7CE9E" w:rsidRPr="00D566CE">
        <w:rPr>
          <w:sz w:val="22"/>
          <w:szCs w:val="22"/>
        </w:rPr>
        <w:t>findings</w:t>
      </w:r>
      <w:r w:rsidR="56DD8B6E" w:rsidRPr="00D566CE">
        <w:rPr>
          <w:sz w:val="22"/>
          <w:szCs w:val="22"/>
        </w:rPr>
        <w:t xml:space="preserve"> of the market assessment and pre-feasibility study</w:t>
      </w:r>
      <w:r w:rsidR="3AFC4A9A" w:rsidRPr="00D566CE">
        <w:rPr>
          <w:sz w:val="22"/>
          <w:szCs w:val="22"/>
        </w:rPr>
        <w:t xml:space="preserve">, develop an E-mobility GCF Concept Note. The GCF Concept Note should be in accordance with the GCF </w:t>
      </w:r>
      <w:r w:rsidR="7FF42F72" w:rsidRPr="00D566CE">
        <w:rPr>
          <w:sz w:val="22"/>
          <w:szCs w:val="22"/>
        </w:rPr>
        <w:t xml:space="preserve">template and </w:t>
      </w:r>
      <w:r w:rsidR="3AFC4A9A" w:rsidRPr="00D566CE">
        <w:rPr>
          <w:sz w:val="22"/>
          <w:szCs w:val="22"/>
        </w:rPr>
        <w:t>requirements</w:t>
      </w:r>
      <w:r w:rsidR="6B780247" w:rsidRPr="00D566CE">
        <w:rPr>
          <w:sz w:val="22"/>
          <w:szCs w:val="22"/>
        </w:rPr>
        <w:t xml:space="preserve">, including: </w:t>
      </w:r>
    </w:p>
    <w:p w14:paraId="52056D26" w14:textId="77777777" w:rsidR="008513B6" w:rsidRPr="00D566CE" w:rsidRDefault="008513B6" w:rsidP="3CB1D3C7">
      <w:pPr>
        <w:pStyle w:val="NormalWeb"/>
        <w:spacing w:before="0" w:beforeAutospacing="0" w:after="0" w:afterAutospacing="0"/>
        <w:ind w:left="720"/>
        <w:rPr>
          <w:sz w:val="22"/>
          <w:szCs w:val="22"/>
        </w:rPr>
      </w:pPr>
    </w:p>
    <w:p w14:paraId="21F0E378" w14:textId="4D0C0EC7" w:rsidR="00FD6B28" w:rsidRPr="00D566CE" w:rsidRDefault="561A5BD2" w:rsidP="00307348">
      <w:pPr>
        <w:pStyle w:val="NormalWeb"/>
        <w:numPr>
          <w:ilvl w:val="0"/>
          <w:numId w:val="31"/>
        </w:numPr>
        <w:spacing w:before="0" w:beforeAutospacing="0" w:after="0" w:afterAutospacing="0"/>
        <w:ind w:left="2160" w:hanging="720"/>
        <w:jc w:val="both"/>
        <w:rPr>
          <w:sz w:val="22"/>
          <w:szCs w:val="22"/>
        </w:rPr>
      </w:pPr>
      <w:proofErr w:type="gramStart"/>
      <w:r w:rsidRPr="00D566CE">
        <w:rPr>
          <w:sz w:val="22"/>
          <w:szCs w:val="22"/>
        </w:rPr>
        <w:t>A justification</w:t>
      </w:r>
      <w:proofErr w:type="gramEnd"/>
      <w:r w:rsidRPr="00D566CE">
        <w:rPr>
          <w:sz w:val="22"/>
          <w:szCs w:val="22"/>
        </w:rPr>
        <w:t xml:space="preserve"> for </w:t>
      </w:r>
      <w:r w:rsidR="77067DCE" w:rsidRPr="00D566CE">
        <w:rPr>
          <w:sz w:val="22"/>
          <w:szCs w:val="22"/>
        </w:rPr>
        <w:t xml:space="preserve">transitioning to electric mobility </w:t>
      </w:r>
      <w:r w:rsidR="7D39FE72" w:rsidRPr="00D566CE">
        <w:rPr>
          <w:sz w:val="22"/>
          <w:szCs w:val="22"/>
        </w:rPr>
        <w:t>and its contribution to r</w:t>
      </w:r>
      <w:r w:rsidR="77067DCE" w:rsidRPr="00D566CE">
        <w:rPr>
          <w:sz w:val="22"/>
          <w:szCs w:val="22"/>
        </w:rPr>
        <w:t>educ</w:t>
      </w:r>
      <w:r w:rsidR="773979DC" w:rsidRPr="00D566CE">
        <w:rPr>
          <w:sz w:val="22"/>
          <w:szCs w:val="22"/>
        </w:rPr>
        <w:t>ing</w:t>
      </w:r>
      <w:r w:rsidR="77067DCE" w:rsidRPr="00D566CE">
        <w:rPr>
          <w:sz w:val="22"/>
          <w:szCs w:val="22"/>
        </w:rPr>
        <w:t xml:space="preserve"> greenhouse gas emissions.</w:t>
      </w:r>
    </w:p>
    <w:p w14:paraId="34709543" w14:textId="2DEC0490" w:rsidR="00FD6B28" w:rsidRPr="00D566CE" w:rsidRDefault="6BB5989C" w:rsidP="00307348">
      <w:pPr>
        <w:pStyle w:val="NormalWeb"/>
        <w:numPr>
          <w:ilvl w:val="0"/>
          <w:numId w:val="31"/>
        </w:numPr>
        <w:spacing w:before="0" w:beforeAutospacing="0" w:after="0" w:afterAutospacing="0"/>
        <w:ind w:left="2160" w:hanging="720"/>
        <w:jc w:val="both"/>
        <w:rPr>
          <w:sz w:val="22"/>
          <w:szCs w:val="22"/>
        </w:rPr>
      </w:pPr>
      <w:r w:rsidRPr="00D566CE">
        <w:rPr>
          <w:sz w:val="22"/>
          <w:szCs w:val="22"/>
        </w:rPr>
        <w:t>T</w:t>
      </w:r>
      <w:r w:rsidR="77067DCE" w:rsidRPr="00D566CE">
        <w:rPr>
          <w:sz w:val="22"/>
          <w:szCs w:val="22"/>
        </w:rPr>
        <w:t xml:space="preserve">he challenges and barriers in the current transport </w:t>
      </w:r>
      <w:r w:rsidR="3896378F" w:rsidRPr="00D566CE">
        <w:rPr>
          <w:sz w:val="22"/>
          <w:szCs w:val="22"/>
        </w:rPr>
        <w:t>system</w:t>
      </w:r>
      <w:r w:rsidR="77067DCE" w:rsidRPr="00D566CE">
        <w:rPr>
          <w:sz w:val="22"/>
          <w:szCs w:val="22"/>
        </w:rPr>
        <w:t xml:space="preserve"> </w:t>
      </w:r>
      <w:r w:rsidR="1FEF71C3" w:rsidRPr="00D566CE">
        <w:rPr>
          <w:sz w:val="22"/>
          <w:szCs w:val="22"/>
        </w:rPr>
        <w:t xml:space="preserve">and identify </w:t>
      </w:r>
      <w:r w:rsidR="77067DCE" w:rsidRPr="00D566CE">
        <w:rPr>
          <w:sz w:val="22"/>
          <w:szCs w:val="22"/>
        </w:rPr>
        <w:t>how e-mobility offers a sustainable, low-carbon solution.</w:t>
      </w:r>
    </w:p>
    <w:p w14:paraId="402D2D8F" w14:textId="77777777" w:rsidR="00FD6B28" w:rsidRPr="00D566CE" w:rsidRDefault="74FFDF3E" w:rsidP="00307348">
      <w:pPr>
        <w:pStyle w:val="NormalWeb"/>
        <w:numPr>
          <w:ilvl w:val="0"/>
          <w:numId w:val="31"/>
        </w:numPr>
        <w:spacing w:before="0" w:beforeAutospacing="0" w:after="0" w:afterAutospacing="0"/>
        <w:ind w:left="2160" w:hanging="720"/>
        <w:jc w:val="both"/>
        <w:rPr>
          <w:sz w:val="22"/>
          <w:szCs w:val="22"/>
        </w:rPr>
      </w:pPr>
      <w:r w:rsidRPr="00D566CE">
        <w:rPr>
          <w:sz w:val="22"/>
          <w:szCs w:val="22"/>
        </w:rPr>
        <w:lastRenderedPageBreak/>
        <w:t>A set of actions that deliver m</w:t>
      </w:r>
      <w:r w:rsidR="77067DCE" w:rsidRPr="00D566CE">
        <w:rPr>
          <w:sz w:val="22"/>
          <w:szCs w:val="22"/>
        </w:rPr>
        <w:t xml:space="preserve">easurable </w:t>
      </w:r>
      <w:r w:rsidR="0CD647F5" w:rsidRPr="00D566CE">
        <w:rPr>
          <w:sz w:val="22"/>
          <w:szCs w:val="22"/>
        </w:rPr>
        <w:t xml:space="preserve">outputs and </w:t>
      </w:r>
      <w:r w:rsidR="77067DCE" w:rsidRPr="00D566CE">
        <w:rPr>
          <w:sz w:val="22"/>
          <w:szCs w:val="22"/>
        </w:rPr>
        <w:t>outcomes such as reduced emissions, increased adoption of electric vehicles, and improved urban mobility.</w:t>
      </w:r>
    </w:p>
    <w:p w14:paraId="76B19767" w14:textId="63B55FE8" w:rsidR="3E6D00D3" w:rsidRPr="00D566CE" w:rsidRDefault="3E6D00D3" w:rsidP="00307348">
      <w:pPr>
        <w:pStyle w:val="NormalWeb"/>
        <w:numPr>
          <w:ilvl w:val="0"/>
          <w:numId w:val="31"/>
        </w:numPr>
        <w:spacing w:before="0" w:beforeAutospacing="0" w:after="0" w:afterAutospacing="0"/>
        <w:ind w:left="2160" w:hanging="720"/>
        <w:jc w:val="both"/>
        <w:rPr>
          <w:sz w:val="22"/>
          <w:szCs w:val="22"/>
        </w:rPr>
      </w:pPr>
      <w:r w:rsidRPr="00D566CE">
        <w:rPr>
          <w:sz w:val="22"/>
          <w:szCs w:val="22"/>
        </w:rPr>
        <w:t>P</w:t>
      </w:r>
      <w:r w:rsidR="77067DCE" w:rsidRPr="00D566CE">
        <w:rPr>
          <w:sz w:val="22"/>
          <w:szCs w:val="22"/>
        </w:rPr>
        <w:t>roposed funding structure (e.g., grants, loans), implementation timeline, and strategies to manage technical, financial, and operational risks.</w:t>
      </w:r>
    </w:p>
    <w:p w14:paraId="3EDBE444" w14:textId="328CFC1E" w:rsidR="02BEFDA5" w:rsidRPr="00D566CE" w:rsidRDefault="02BEFDA5" w:rsidP="00AF1EDD">
      <w:pPr>
        <w:pStyle w:val="NormalWeb"/>
        <w:spacing w:before="0" w:beforeAutospacing="0" w:after="0" w:afterAutospacing="0"/>
        <w:rPr>
          <w:sz w:val="22"/>
          <w:szCs w:val="22"/>
        </w:rPr>
      </w:pPr>
    </w:p>
    <w:p w14:paraId="098B18BB" w14:textId="77777777" w:rsidR="00307348" w:rsidRPr="00D566CE" w:rsidRDefault="009B78E1" w:rsidP="00141178">
      <w:pPr>
        <w:pStyle w:val="NormalWeb"/>
        <w:numPr>
          <w:ilvl w:val="0"/>
          <w:numId w:val="15"/>
        </w:numPr>
        <w:tabs>
          <w:tab w:val="clear" w:pos="720"/>
          <w:tab w:val="num" w:pos="1440"/>
        </w:tabs>
        <w:spacing w:before="0" w:beforeAutospacing="0" w:after="0" w:afterAutospacing="0"/>
        <w:ind w:left="1440" w:hanging="720"/>
        <w:rPr>
          <w:rStyle w:val="Strong"/>
          <w:b w:val="0"/>
          <w:bCs w:val="0"/>
          <w:sz w:val="22"/>
          <w:szCs w:val="22"/>
        </w:rPr>
      </w:pPr>
      <w:r w:rsidRPr="00D566CE">
        <w:rPr>
          <w:rStyle w:val="Strong"/>
          <w:sz w:val="22"/>
          <w:szCs w:val="22"/>
        </w:rPr>
        <w:t>Design of the Caribbean E-Mobility Fund</w:t>
      </w:r>
    </w:p>
    <w:p w14:paraId="1A4046D9" w14:textId="77777777" w:rsidR="00307348" w:rsidRPr="00D566CE" w:rsidRDefault="00307348" w:rsidP="00307348">
      <w:pPr>
        <w:pStyle w:val="NormalWeb"/>
        <w:spacing w:before="0" w:beforeAutospacing="0" w:after="0" w:afterAutospacing="0"/>
        <w:ind w:left="720"/>
        <w:rPr>
          <w:rStyle w:val="Strong"/>
          <w:b w:val="0"/>
          <w:bCs w:val="0"/>
          <w:sz w:val="22"/>
          <w:szCs w:val="22"/>
        </w:rPr>
      </w:pPr>
    </w:p>
    <w:p w14:paraId="0134401B" w14:textId="4C3E352F" w:rsidR="009B78E1" w:rsidRPr="00D566CE" w:rsidRDefault="009B78E1" w:rsidP="00141178">
      <w:pPr>
        <w:pStyle w:val="NormalWeb"/>
        <w:spacing w:before="0" w:beforeAutospacing="0" w:after="0" w:afterAutospacing="0"/>
        <w:ind w:left="1440"/>
        <w:rPr>
          <w:sz w:val="22"/>
          <w:szCs w:val="22"/>
        </w:rPr>
      </w:pPr>
      <w:r w:rsidRPr="00D566CE">
        <w:rPr>
          <w:sz w:val="22"/>
          <w:szCs w:val="22"/>
        </w:rPr>
        <w:t>Develop the full structure and scope of the proposed Fund, including:</w:t>
      </w:r>
    </w:p>
    <w:p w14:paraId="7550650B" w14:textId="77777777" w:rsidR="00141178" w:rsidRPr="00D566CE" w:rsidRDefault="00141178" w:rsidP="00307348">
      <w:pPr>
        <w:pStyle w:val="NormalWeb"/>
        <w:spacing w:before="0" w:beforeAutospacing="0" w:after="0" w:afterAutospacing="0"/>
        <w:ind w:left="720"/>
        <w:rPr>
          <w:sz w:val="22"/>
          <w:szCs w:val="22"/>
        </w:rPr>
      </w:pPr>
    </w:p>
    <w:p w14:paraId="4C8C03EE" w14:textId="7B653D1C" w:rsidR="009B78E1" w:rsidRPr="00D566CE" w:rsidRDefault="009B78E1" w:rsidP="0041527F">
      <w:pPr>
        <w:pStyle w:val="NormalWeb"/>
        <w:numPr>
          <w:ilvl w:val="1"/>
          <w:numId w:val="18"/>
        </w:numPr>
        <w:spacing w:before="0" w:beforeAutospacing="0" w:after="0" w:afterAutospacing="0"/>
        <w:ind w:firstLine="0"/>
        <w:rPr>
          <w:sz w:val="22"/>
          <w:szCs w:val="22"/>
        </w:rPr>
      </w:pPr>
      <w:r w:rsidRPr="00D566CE">
        <w:rPr>
          <w:sz w:val="22"/>
          <w:szCs w:val="22"/>
        </w:rPr>
        <w:t>Governance arrangements, institutional roles, and fiduciary options.</w:t>
      </w:r>
    </w:p>
    <w:p w14:paraId="327F9D2D" w14:textId="42446579" w:rsidR="009B78E1" w:rsidRPr="00D566CE" w:rsidRDefault="009B78E1" w:rsidP="0041527F">
      <w:pPr>
        <w:pStyle w:val="NormalWeb"/>
        <w:numPr>
          <w:ilvl w:val="1"/>
          <w:numId w:val="18"/>
        </w:numPr>
        <w:spacing w:before="0" w:beforeAutospacing="0" w:after="0" w:afterAutospacing="0"/>
        <w:ind w:firstLine="0"/>
        <w:rPr>
          <w:sz w:val="22"/>
          <w:szCs w:val="22"/>
        </w:rPr>
      </w:pPr>
      <w:r w:rsidRPr="00D566CE">
        <w:rPr>
          <w:sz w:val="22"/>
          <w:szCs w:val="22"/>
        </w:rPr>
        <w:t>Eligibility criteria, fund access modalities, and workflow.</w:t>
      </w:r>
    </w:p>
    <w:p w14:paraId="64BD92E0" w14:textId="32B0DEDB" w:rsidR="009B78E1" w:rsidRPr="00D566CE" w:rsidRDefault="009B78E1" w:rsidP="0041527F">
      <w:pPr>
        <w:pStyle w:val="NormalWeb"/>
        <w:numPr>
          <w:ilvl w:val="1"/>
          <w:numId w:val="18"/>
        </w:numPr>
        <w:spacing w:before="0" w:beforeAutospacing="0" w:after="0" w:afterAutospacing="0"/>
        <w:ind w:firstLine="0"/>
        <w:rPr>
          <w:sz w:val="22"/>
          <w:szCs w:val="22"/>
        </w:rPr>
      </w:pPr>
      <w:r w:rsidRPr="00D566CE">
        <w:rPr>
          <w:sz w:val="22"/>
          <w:szCs w:val="22"/>
        </w:rPr>
        <w:t>Gender-responsive and socially inclusive design elements.</w:t>
      </w:r>
    </w:p>
    <w:p w14:paraId="57B878CF" w14:textId="77777777" w:rsidR="009B78E1" w:rsidRPr="00D566CE" w:rsidRDefault="009B78E1" w:rsidP="0041527F">
      <w:pPr>
        <w:pStyle w:val="NormalWeb"/>
        <w:numPr>
          <w:ilvl w:val="1"/>
          <w:numId w:val="18"/>
        </w:numPr>
        <w:spacing w:before="0" w:beforeAutospacing="0" w:after="0" w:afterAutospacing="0"/>
        <w:ind w:firstLine="0"/>
        <w:rPr>
          <w:sz w:val="22"/>
          <w:szCs w:val="22"/>
        </w:rPr>
      </w:pPr>
      <w:r w:rsidRPr="00D566CE">
        <w:rPr>
          <w:sz w:val="22"/>
          <w:szCs w:val="22"/>
        </w:rPr>
        <w:t>Monitoring and evaluation (M&amp;E) framework.</w:t>
      </w:r>
    </w:p>
    <w:p w14:paraId="4C656381" w14:textId="77777777" w:rsidR="009B78E1" w:rsidRPr="00D566CE" w:rsidRDefault="009B78E1" w:rsidP="009B78E1">
      <w:pPr>
        <w:pStyle w:val="NormalWeb"/>
        <w:spacing w:before="0" w:beforeAutospacing="0" w:after="0" w:afterAutospacing="0"/>
        <w:ind w:left="1440"/>
        <w:rPr>
          <w:sz w:val="22"/>
          <w:szCs w:val="22"/>
        </w:rPr>
      </w:pPr>
    </w:p>
    <w:p w14:paraId="0CEE2B5A" w14:textId="77777777" w:rsidR="0041527F" w:rsidRPr="00D566CE" w:rsidRDefault="009B78E1" w:rsidP="0041527F">
      <w:pPr>
        <w:pStyle w:val="NormalWeb"/>
        <w:numPr>
          <w:ilvl w:val="0"/>
          <w:numId w:val="15"/>
        </w:numPr>
        <w:tabs>
          <w:tab w:val="clear" w:pos="720"/>
          <w:tab w:val="num" w:pos="1440"/>
        </w:tabs>
        <w:spacing w:before="0" w:beforeAutospacing="0" w:after="0" w:afterAutospacing="0"/>
        <w:ind w:left="1440" w:hanging="720"/>
        <w:rPr>
          <w:rStyle w:val="Strong"/>
          <w:b w:val="0"/>
          <w:bCs w:val="0"/>
          <w:sz w:val="22"/>
          <w:szCs w:val="22"/>
        </w:rPr>
      </w:pPr>
      <w:r w:rsidRPr="00D566CE">
        <w:rPr>
          <w:rStyle w:val="Strong"/>
          <w:sz w:val="22"/>
          <w:szCs w:val="22"/>
        </w:rPr>
        <w:t>Design of Financial Instruments and De-risking Mechanisms</w:t>
      </w:r>
    </w:p>
    <w:p w14:paraId="4E3EED52" w14:textId="77777777" w:rsidR="0041527F" w:rsidRPr="00D566CE" w:rsidRDefault="0041527F" w:rsidP="0041527F">
      <w:pPr>
        <w:pStyle w:val="NormalWeb"/>
        <w:spacing w:before="0" w:beforeAutospacing="0" w:after="0" w:afterAutospacing="0"/>
        <w:ind w:left="1440"/>
        <w:rPr>
          <w:rStyle w:val="Strong"/>
          <w:b w:val="0"/>
          <w:bCs w:val="0"/>
          <w:sz w:val="22"/>
          <w:szCs w:val="22"/>
        </w:rPr>
      </w:pPr>
    </w:p>
    <w:p w14:paraId="5AFF8A71" w14:textId="62630CC7" w:rsidR="009B78E1" w:rsidRPr="00D566CE" w:rsidRDefault="009B78E1" w:rsidP="0041527F">
      <w:pPr>
        <w:pStyle w:val="NormalWeb"/>
        <w:spacing w:before="0" w:beforeAutospacing="0" w:after="0" w:afterAutospacing="0"/>
        <w:ind w:left="1440"/>
        <w:rPr>
          <w:sz w:val="22"/>
          <w:szCs w:val="22"/>
        </w:rPr>
      </w:pPr>
      <w:r w:rsidRPr="00D566CE">
        <w:rPr>
          <w:sz w:val="22"/>
          <w:szCs w:val="22"/>
        </w:rPr>
        <w:t>Recommend appropriate financing tools tailored to the Caribbean market, including:</w:t>
      </w:r>
    </w:p>
    <w:p w14:paraId="5CF80493" w14:textId="77777777" w:rsidR="0041527F" w:rsidRPr="00D566CE" w:rsidRDefault="0041527F" w:rsidP="0041527F">
      <w:pPr>
        <w:pStyle w:val="NormalWeb"/>
        <w:spacing w:before="0" w:beforeAutospacing="0" w:after="0" w:afterAutospacing="0"/>
        <w:ind w:left="1440"/>
        <w:rPr>
          <w:sz w:val="22"/>
          <w:szCs w:val="22"/>
        </w:rPr>
      </w:pPr>
    </w:p>
    <w:p w14:paraId="186F0AD0" w14:textId="31500296" w:rsidR="009B78E1" w:rsidRPr="00D566CE" w:rsidRDefault="009B78E1" w:rsidP="006243D2">
      <w:pPr>
        <w:pStyle w:val="NormalWeb"/>
        <w:numPr>
          <w:ilvl w:val="1"/>
          <w:numId w:val="19"/>
        </w:numPr>
        <w:spacing w:before="0" w:beforeAutospacing="0" w:after="0" w:afterAutospacing="0"/>
        <w:ind w:firstLine="0"/>
        <w:rPr>
          <w:sz w:val="22"/>
          <w:szCs w:val="22"/>
        </w:rPr>
      </w:pPr>
      <w:r w:rsidRPr="00D566CE">
        <w:rPr>
          <w:sz w:val="22"/>
          <w:szCs w:val="22"/>
        </w:rPr>
        <w:t>Credit guarantees, matching grants.</w:t>
      </w:r>
    </w:p>
    <w:p w14:paraId="76FE8767" w14:textId="32D43693" w:rsidR="009B78E1" w:rsidRPr="00D566CE" w:rsidRDefault="009B78E1" w:rsidP="006243D2">
      <w:pPr>
        <w:pStyle w:val="NormalWeb"/>
        <w:numPr>
          <w:ilvl w:val="1"/>
          <w:numId w:val="19"/>
        </w:numPr>
        <w:spacing w:before="0" w:beforeAutospacing="0" w:after="0" w:afterAutospacing="0"/>
        <w:ind w:firstLine="0"/>
        <w:rPr>
          <w:sz w:val="22"/>
          <w:szCs w:val="22"/>
        </w:rPr>
      </w:pPr>
      <w:r w:rsidRPr="00D566CE">
        <w:rPr>
          <w:sz w:val="22"/>
          <w:szCs w:val="22"/>
        </w:rPr>
        <w:t>Blended finance options and incentives to crowd in private capital.</w:t>
      </w:r>
    </w:p>
    <w:p w14:paraId="1D9D8350" w14:textId="77777777" w:rsidR="009B78E1" w:rsidRPr="00D566CE" w:rsidRDefault="009B78E1" w:rsidP="006243D2">
      <w:pPr>
        <w:pStyle w:val="NormalWeb"/>
        <w:numPr>
          <w:ilvl w:val="1"/>
          <w:numId w:val="19"/>
        </w:numPr>
        <w:spacing w:before="0" w:beforeAutospacing="0" w:after="0" w:afterAutospacing="0"/>
        <w:ind w:firstLine="0"/>
        <w:rPr>
          <w:sz w:val="22"/>
          <w:szCs w:val="22"/>
        </w:rPr>
      </w:pPr>
      <w:r w:rsidRPr="00D566CE">
        <w:rPr>
          <w:sz w:val="22"/>
          <w:szCs w:val="22"/>
        </w:rPr>
        <w:t>De-risking tools for early-stage projects and underserved segments.</w:t>
      </w:r>
    </w:p>
    <w:p w14:paraId="7246BA90" w14:textId="77777777" w:rsidR="009B78E1" w:rsidRPr="00D566CE" w:rsidRDefault="009B78E1" w:rsidP="009B78E1">
      <w:pPr>
        <w:pStyle w:val="NormalWeb"/>
        <w:spacing w:before="0" w:beforeAutospacing="0" w:after="0" w:afterAutospacing="0"/>
        <w:ind w:left="1440"/>
        <w:rPr>
          <w:sz w:val="22"/>
          <w:szCs w:val="22"/>
        </w:rPr>
      </w:pPr>
    </w:p>
    <w:p w14:paraId="3D786AC5" w14:textId="77777777" w:rsidR="006243D2" w:rsidRPr="00D566CE" w:rsidRDefault="009B78E1" w:rsidP="006243D2">
      <w:pPr>
        <w:pStyle w:val="NormalWeb"/>
        <w:numPr>
          <w:ilvl w:val="0"/>
          <w:numId w:val="15"/>
        </w:numPr>
        <w:tabs>
          <w:tab w:val="clear" w:pos="720"/>
          <w:tab w:val="num" w:pos="1440"/>
        </w:tabs>
        <w:spacing w:before="0" w:beforeAutospacing="0" w:after="0" w:afterAutospacing="0"/>
        <w:ind w:left="1440" w:hanging="720"/>
        <w:rPr>
          <w:rStyle w:val="Strong"/>
          <w:b w:val="0"/>
          <w:bCs w:val="0"/>
          <w:sz w:val="22"/>
          <w:szCs w:val="22"/>
        </w:rPr>
      </w:pPr>
      <w:r w:rsidRPr="00D566CE">
        <w:rPr>
          <w:rStyle w:val="Strong"/>
          <w:sz w:val="22"/>
          <w:szCs w:val="22"/>
        </w:rPr>
        <w:t>Development of Implementation Toolkit</w:t>
      </w:r>
    </w:p>
    <w:p w14:paraId="7FF5AC27" w14:textId="77777777" w:rsidR="006243D2" w:rsidRPr="00D566CE" w:rsidRDefault="006243D2" w:rsidP="006243D2">
      <w:pPr>
        <w:pStyle w:val="NormalWeb"/>
        <w:spacing w:before="0" w:beforeAutospacing="0" w:after="0" w:afterAutospacing="0"/>
        <w:ind w:left="720"/>
        <w:rPr>
          <w:rStyle w:val="Strong"/>
          <w:b w:val="0"/>
          <w:bCs w:val="0"/>
          <w:sz w:val="22"/>
          <w:szCs w:val="22"/>
        </w:rPr>
      </w:pPr>
    </w:p>
    <w:p w14:paraId="3EC36882" w14:textId="25CCD0F1" w:rsidR="009B78E1" w:rsidRPr="00D566CE" w:rsidRDefault="009B78E1" w:rsidP="006243D2">
      <w:pPr>
        <w:pStyle w:val="NormalWeb"/>
        <w:spacing w:before="0" w:beforeAutospacing="0" w:after="0" w:afterAutospacing="0"/>
        <w:ind w:left="720" w:firstLine="720"/>
        <w:rPr>
          <w:sz w:val="22"/>
          <w:szCs w:val="22"/>
        </w:rPr>
      </w:pPr>
      <w:r w:rsidRPr="00D566CE">
        <w:rPr>
          <w:sz w:val="22"/>
          <w:szCs w:val="22"/>
        </w:rPr>
        <w:t xml:space="preserve">Prepare supporting tools and materials for Fund </w:t>
      </w:r>
      <w:proofErr w:type="spellStart"/>
      <w:r w:rsidRPr="00D566CE">
        <w:rPr>
          <w:sz w:val="22"/>
          <w:szCs w:val="22"/>
        </w:rPr>
        <w:t>operationalisation</w:t>
      </w:r>
      <w:proofErr w:type="spellEnd"/>
      <w:r w:rsidRPr="00D566CE">
        <w:rPr>
          <w:sz w:val="22"/>
          <w:szCs w:val="22"/>
        </w:rPr>
        <w:t>:</w:t>
      </w:r>
    </w:p>
    <w:p w14:paraId="30D1AB88" w14:textId="77777777" w:rsidR="006243D2" w:rsidRPr="00D566CE" w:rsidRDefault="006243D2" w:rsidP="006243D2">
      <w:pPr>
        <w:pStyle w:val="NormalWeb"/>
        <w:spacing w:before="0" w:beforeAutospacing="0" w:after="0" w:afterAutospacing="0"/>
        <w:ind w:left="720"/>
        <w:rPr>
          <w:sz w:val="22"/>
          <w:szCs w:val="22"/>
        </w:rPr>
      </w:pPr>
    </w:p>
    <w:p w14:paraId="698D11E6" w14:textId="686CB1FF" w:rsidR="009B78E1" w:rsidRPr="00D566CE" w:rsidRDefault="009B78E1" w:rsidP="00FA13E1">
      <w:pPr>
        <w:pStyle w:val="NormalWeb"/>
        <w:numPr>
          <w:ilvl w:val="1"/>
          <w:numId w:val="20"/>
        </w:numPr>
        <w:spacing w:before="0" w:beforeAutospacing="0" w:after="0" w:afterAutospacing="0"/>
        <w:ind w:firstLine="0"/>
        <w:rPr>
          <w:sz w:val="22"/>
          <w:szCs w:val="22"/>
        </w:rPr>
      </w:pPr>
      <w:r w:rsidRPr="00D566CE">
        <w:rPr>
          <w:sz w:val="22"/>
          <w:szCs w:val="22"/>
        </w:rPr>
        <w:t>Detailed implementation plan with timelines and responsibilities.</w:t>
      </w:r>
    </w:p>
    <w:p w14:paraId="63F49A1E" w14:textId="0C2F40E7" w:rsidR="009B78E1" w:rsidRPr="00D566CE" w:rsidRDefault="009B78E1" w:rsidP="009B4160">
      <w:pPr>
        <w:pStyle w:val="NormalWeb"/>
        <w:numPr>
          <w:ilvl w:val="1"/>
          <w:numId w:val="20"/>
        </w:numPr>
        <w:spacing w:before="0" w:beforeAutospacing="0" w:after="0" w:afterAutospacing="0"/>
        <w:ind w:firstLine="0"/>
        <w:rPr>
          <w:sz w:val="22"/>
          <w:szCs w:val="22"/>
        </w:rPr>
      </w:pPr>
      <w:r w:rsidRPr="00D566CE">
        <w:rPr>
          <w:sz w:val="22"/>
          <w:szCs w:val="22"/>
        </w:rPr>
        <w:t>Operational Manual (including fund flowcharts and decision protocols).</w:t>
      </w:r>
    </w:p>
    <w:p w14:paraId="39C94A83" w14:textId="65F0A5AD" w:rsidR="009B78E1" w:rsidRPr="00D566CE" w:rsidRDefault="009B78E1" w:rsidP="009B4160">
      <w:pPr>
        <w:pStyle w:val="NormalWeb"/>
        <w:numPr>
          <w:ilvl w:val="1"/>
          <w:numId w:val="20"/>
        </w:numPr>
        <w:spacing w:before="0" w:beforeAutospacing="0" w:after="0" w:afterAutospacing="0"/>
        <w:ind w:firstLine="0"/>
        <w:rPr>
          <w:sz w:val="22"/>
          <w:szCs w:val="22"/>
        </w:rPr>
      </w:pPr>
      <w:r w:rsidRPr="00D566CE">
        <w:rPr>
          <w:sz w:val="22"/>
          <w:szCs w:val="22"/>
        </w:rPr>
        <w:t>Monitoring and evaluation framework.</w:t>
      </w:r>
    </w:p>
    <w:p w14:paraId="7A3C66B7" w14:textId="77777777" w:rsidR="009B78E1" w:rsidRPr="00D566CE" w:rsidRDefault="009B78E1" w:rsidP="009B4160">
      <w:pPr>
        <w:pStyle w:val="NormalWeb"/>
        <w:numPr>
          <w:ilvl w:val="1"/>
          <w:numId w:val="20"/>
        </w:numPr>
        <w:spacing w:before="0" w:beforeAutospacing="0" w:after="0" w:afterAutospacing="0"/>
        <w:ind w:firstLine="0"/>
        <w:rPr>
          <w:sz w:val="22"/>
          <w:szCs w:val="22"/>
        </w:rPr>
      </w:pPr>
      <w:r w:rsidRPr="00D566CE">
        <w:rPr>
          <w:sz w:val="22"/>
          <w:szCs w:val="22"/>
        </w:rPr>
        <w:t xml:space="preserve">Resource </w:t>
      </w:r>
      <w:proofErr w:type="spellStart"/>
      <w:r w:rsidRPr="00D566CE">
        <w:rPr>
          <w:sz w:val="22"/>
          <w:szCs w:val="22"/>
        </w:rPr>
        <w:t>mobilisation</w:t>
      </w:r>
      <w:proofErr w:type="spellEnd"/>
      <w:r w:rsidRPr="00D566CE">
        <w:rPr>
          <w:sz w:val="22"/>
          <w:szCs w:val="22"/>
        </w:rPr>
        <w:t xml:space="preserve"> strategy and donor engagement roadmap.</w:t>
      </w:r>
    </w:p>
    <w:p w14:paraId="5076BCA2" w14:textId="77777777" w:rsidR="009B78E1" w:rsidRPr="00D566CE" w:rsidRDefault="009B78E1" w:rsidP="009B4160">
      <w:pPr>
        <w:pStyle w:val="NormalWeb"/>
        <w:spacing w:before="0" w:beforeAutospacing="0" w:after="0" w:afterAutospacing="0"/>
        <w:ind w:left="1440"/>
        <w:rPr>
          <w:sz w:val="22"/>
          <w:szCs w:val="22"/>
        </w:rPr>
      </w:pPr>
    </w:p>
    <w:p w14:paraId="1C0C91EF" w14:textId="77777777" w:rsidR="00FA13E1" w:rsidRPr="00D566CE" w:rsidRDefault="009B78E1" w:rsidP="009B4160">
      <w:pPr>
        <w:pStyle w:val="NormalWeb"/>
        <w:numPr>
          <w:ilvl w:val="0"/>
          <w:numId w:val="15"/>
        </w:numPr>
        <w:tabs>
          <w:tab w:val="clear" w:pos="720"/>
          <w:tab w:val="num" w:pos="1440"/>
        </w:tabs>
        <w:spacing w:before="0" w:beforeAutospacing="0" w:after="0" w:afterAutospacing="0"/>
        <w:ind w:left="1440" w:hanging="720"/>
        <w:rPr>
          <w:rStyle w:val="Strong"/>
          <w:b w:val="0"/>
          <w:bCs w:val="0"/>
          <w:sz w:val="22"/>
          <w:szCs w:val="22"/>
        </w:rPr>
      </w:pPr>
      <w:r w:rsidRPr="00D566CE">
        <w:rPr>
          <w:rStyle w:val="Strong"/>
          <w:sz w:val="22"/>
          <w:szCs w:val="22"/>
        </w:rPr>
        <w:t>Stakeholder Engagement and Donor Outreach</w:t>
      </w:r>
    </w:p>
    <w:p w14:paraId="6C11A785" w14:textId="77777777" w:rsidR="00FA13E1" w:rsidRPr="00D566CE" w:rsidRDefault="00FA13E1" w:rsidP="009B4160">
      <w:pPr>
        <w:pStyle w:val="NormalWeb"/>
        <w:spacing w:before="0" w:beforeAutospacing="0" w:after="0" w:afterAutospacing="0"/>
        <w:ind w:left="1440"/>
        <w:rPr>
          <w:rStyle w:val="Strong"/>
          <w:b w:val="0"/>
          <w:bCs w:val="0"/>
          <w:sz w:val="22"/>
          <w:szCs w:val="22"/>
        </w:rPr>
      </w:pPr>
    </w:p>
    <w:p w14:paraId="7A3D8698" w14:textId="1D8F4311" w:rsidR="009B78E1" w:rsidRPr="00D566CE" w:rsidRDefault="009B78E1" w:rsidP="009B4160">
      <w:pPr>
        <w:pStyle w:val="NormalWeb"/>
        <w:spacing w:before="0" w:beforeAutospacing="0" w:after="0" w:afterAutospacing="0"/>
        <w:ind w:left="1440"/>
        <w:rPr>
          <w:sz w:val="22"/>
          <w:szCs w:val="22"/>
        </w:rPr>
      </w:pPr>
      <w:r w:rsidRPr="00D566CE">
        <w:rPr>
          <w:sz w:val="22"/>
          <w:szCs w:val="22"/>
        </w:rPr>
        <w:t xml:space="preserve">Lead </w:t>
      </w:r>
      <w:r w:rsidR="00FD6875" w:rsidRPr="00D566CE">
        <w:rPr>
          <w:sz w:val="22"/>
          <w:szCs w:val="22"/>
        </w:rPr>
        <w:t>and</w:t>
      </w:r>
      <w:r w:rsidRPr="00D566CE">
        <w:rPr>
          <w:sz w:val="22"/>
          <w:szCs w:val="22"/>
        </w:rPr>
        <w:t xml:space="preserve"> support stakeholder engagement activities to validate fund design and build broad-based support:</w:t>
      </w:r>
    </w:p>
    <w:p w14:paraId="33DC84B0" w14:textId="77777777" w:rsidR="00FA13E1" w:rsidRPr="00D566CE" w:rsidRDefault="00FA13E1" w:rsidP="009B4160">
      <w:pPr>
        <w:pStyle w:val="NormalWeb"/>
        <w:spacing w:before="0" w:beforeAutospacing="0" w:after="0" w:afterAutospacing="0"/>
        <w:ind w:left="1440"/>
        <w:rPr>
          <w:sz w:val="22"/>
          <w:szCs w:val="22"/>
        </w:rPr>
      </w:pPr>
    </w:p>
    <w:p w14:paraId="256168D6" w14:textId="7E6912AC" w:rsidR="009B78E1" w:rsidRPr="00D566CE" w:rsidRDefault="009B78E1" w:rsidP="009B4160">
      <w:pPr>
        <w:pStyle w:val="NormalWeb"/>
        <w:numPr>
          <w:ilvl w:val="1"/>
          <w:numId w:val="21"/>
        </w:numPr>
        <w:spacing w:before="0" w:beforeAutospacing="0" w:after="0" w:afterAutospacing="0"/>
        <w:ind w:left="2160" w:hanging="720"/>
        <w:jc w:val="both"/>
        <w:rPr>
          <w:sz w:val="22"/>
          <w:szCs w:val="22"/>
        </w:rPr>
      </w:pPr>
      <w:r w:rsidRPr="00D566CE">
        <w:rPr>
          <w:sz w:val="22"/>
          <w:szCs w:val="22"/>
        </w:rPr>
        <w:t>Conduct consultations with national governments, regulators, utilities, private investors, and civil society.</w:t>
      </w:r>
    </w:p>
    <w:p w14:paraId="24FF97B6" w14:textId="77777777" w:rsidR="009B78E1" w:rsidRPr="00D566CE" w:rsidRDefault="009B78E1" w:rsidP="009B4160">
      <w:pPr>
        <w:pStyle w:val="NormalWeb"/>
        <w:numPr>
          <w:ilvl w:val="1"/>
          <w:numId w:val="21"/>
        </w:numPr>
        <w:spacing w:before="0" w:beforeAutospacing="0" w:after="0" w:afterAutospacing="0"/>
        <w:ind w:left="2160" w:hanging="720"/>
        <w:jc w:val="both"/>
        <w:rPr>
          <w:sz w:val="22"/>
          <w:szCs w:val="22"/>
        </w:rPr>
      </w:pPr>
      <w:r w:rsidRPr="00D566CE">
        <w:rPr>
          <w:sz w:val="22"/>
          <w:szCs w:val="22"/>
        </w:rPr>
        <w:t>Facilitate discussions with prospective funders (e.g., GCF, DFIs).</w:t>
      </w:r>
    </w:p>
    <w:p w14:paraId="7C6BDCE8" w14:textId="77777777" w:rsidR="009B78E1" w:rsidRPr="00D566CE" w:rsidRDefault="009B78E1" w:rsidP="009B4160">
      <w:pPr>
        <w:pStyle w:val="NormalWeb"/>
        <w:numPr>
          <w:ilvl w:val="1"/>
          <w:numId w:val="21"/>
        </w:numPr>
        <w:spacing w:before="0" w:beforeAutospacing="0" w:after="0" w:afterAutospacing="0"/>
        <w:ind w:left="2160" w:hanging="720"/>
        <w:jc w:val="both"/>
        <w:rPr>
          <w:sz w:val="22"/>
          <w:szCs w:val="22"/>
        </w:rPr>
      </w:pPr>
      <w:r w:rsidRPr="00D566CE">
        <w:rPr>
          <w:sz w:val="22"/>
          <w:szCs w:val="22"/>
        </w:rPr>
        <w:t>Integrate stakeholder feedback into final deliverables.</w:t>
      </w:r>
    </w:p>
    <w:p w14:paraId="125AD72D" w14:textId="5B7E389D" w:rsidR="00D11BFE" w:rsidRPr="00D566CE" w:rsidRDefault="00D11BFE" w:rsidP="009B4160">
      <w:pPr>
        <w:widowControl/>
        <w:autoSpaceDE/>
        <w:autoSpaceDN/>
        <w:adjustRightInd/>
        <w:rPr>
          <w:rFonts w:ascii="Times New Roman" w:hAnsi="Times New Roman"/>
          <w:b/>
          <w:sz w:val="22"/>
          <w:szCs w:val="22"/>
        </w:rPr>
      </w:pPr>
    </w:p>
    <w:p w14:paraId="7BF7F975" w14:textId="2AA43A73" w:rsidR="004F6839" w:rsidRPr="00D566CE" w:rsidRDefault="004F6839" w:rsidP="009B4160">
      <w:pPr>
        <w:pStyle w:val="Heading2"/>
        <w:numPr>
          <w:ilvl w:val="0"/>
          <w:numId w:val="0"/>
        </w:numPr>
      </w:pPr>
      <w:r w:rsidRPr="00D566CE">
        <w:rPr>
          <w:u w:val="none"/>
        </w:rPr>
        <w:t>4.</w:t>
      </w:r>
      <w:r w:rsidRPr="00D566CE">
        <w:rPr>
          <w:u w:val="none"/>
        </w:rPr>
        <w:tab/>
      </w:r>
      <w:r w:rsidRPr="00D566CE">
        <w:t>REPORTING REQUIREMENTS</w:t>
      </w:r>
    </w:p>
    <w:p w14:paraId="30310588" w14:textId="77777777" w:rsidR="00F70A95" w:rsidRPr="00D566CE" w:rsidRDefault="00F70A95" w:rsidP="009B4160">
      <w:pPr>
        <w:rPr>
          <w:rFonts w:ascii="Times New Roman" w:hAnsi="Times New Roman"/>
          <w:b/>
          <w:sz w:val="22"/>
          <w:szCs w:val="22"/>
        </w:rPr>
      </w:pPr>
    </w:p>
    <w:p w14:paraId="4C5D6F65" w14:textId="33757A33" w:rsidR="00A77380" w:rsidRPr="002B4E2A" w:rsidRDefault="00EC45C2" w:rsidP="009B4160">
      <w:pPr>
        <w:jc w:val="both"/>
        <w:rPr>
          <w:rFonts w:ascii="Times New Roman" w:hAnsi="Times New Roman"/>
          <w:sz w:val="22"/>
          <w:szCs w:val="22"/>
        </w:rPr>
      </w:pPr>
      <w:r w:rsidRPr="00D566CE">
        <w:rPr>
          <w:rFonts w:ascii="Times New Roman" w:hAnsi="Times New Roman"/>
          <w:sz w:val="22"/>
          <w:szCs w:val="22"/>
        </w:rPr>
        <w:t>4.01</w:t>
      </w:r>
      <w:r w:rsidR="009B4160">
        <w:rPr>
          <w:rFonts w:ascii="Times New Roman" w:hAnsi="Times New Roman"/>
          <w:sz w:val="22"/>
          <w:szCs w:val="22"/>
        </w:rPr>
        <w:tab/>
      </w:r>
      <w:r w:rsidR="00A77380" w:rsidRPr="00D566CE">
        <w:rPr>
          <w:rFonts w:ascii="Times New Roman" w:hAnsi="Times New Roman"/>
          <w:sz w:val="22"/>
          <w:szCs w:val="22"/>
        </w:rPr>
        <w:t xml:space="preserve">The </w:t>
      </w:r>
      <w:r w:rsidR="008D555A" w:rsidRPr="00D566CE">
        <w:rPr>
          <w:rFonts w:ascii="Times New Roman" w:hAnsi="Times New Roman"/>
          <w:sz w:val="22"/>
          <w:szCs w:val="22"/>
        </w:rPr>
        <w:t>Consulting Firm</w:t>
      </w:r>
      <w:r w:rsidR="00A77380" w:rsidRPr="00D566CE">
        <w:rPr>
          <w:rFonts w:ascii="Times New Roman" w:hAnsi="Times New Roman"/>
          <w:sz w:val="22"/>
          <w:szCs w:val="22"/>
        </w:rPr>
        <w:t xml:space="preserve"> shall report to the Sustainable Energy Unit (SEU) of the Caribbean Development Bank (CDB) and will be responsible</w:t>
      </w:r>
      <w:r w:rsidR="00A77380" w:rsidRPr="002B4E2A">
        <w:rPr>
          <w:rFonts w:ascii="Times New Roman" w:hAnsi="Times New Roman"/>
          <w:sz w:val="22"/>
          <w:szCs w:val="22"/>
        </w:rPr>
        <w:t xml:space="preserve"> for delivering the following outputs in accordance with the specified timelines:</w:t>
      </w:r>
    </w:p>
    <w:p w14:paraId="38BC2CA8" w14:textId="649C6006" w:rsidR="009B4160" w:rsidRDefault="009B4160" w:rsidP="00A77380">
      <w:pPr>
        <w:rPr>
          <w:rFonts w:ascii="Times New Roman" w:hAnsi="Times New Roman"/>
          <w:sz w:val="22"/>
          <w:szCs w:val="22"/>
        </w:rPr>
      </w:pPr>
      <w:r>
        <w:rPr>
          <w:rFonts w:ascii="Times New Roman" w:hAnsi="Times New Roman"/>
          <w:sz w:val="22"/>
          <w:szCs w:val="22"/>
        </w:rPr>
        <w:br w:type="page"/>
      </w:r>
    </w:p>
    <w:p w14:paraId="5E1CAC15" w14:textId="77777777" w:rsidR="009829B3" w:rsidRPr="002B4E2A" w:rsidRDefault="009829B3" w:rsidP="00A77380">
      <w:pPr>
        <w:rPr>
          <w:rFonts w:ascii="Times New Roman" w:hAnsi="Times New Roman"/>
          <w:sz w:val="22"/>
          <w:szCs w:val="22"/>
        </w:rPr>
      </w:pPr>
    </w:p>
    <w:p w14:paraId="37875FF1" w14:textId="77777777" w:rsidR="00A77380" w:rsidRDefault="00A77380" w:rsidP="00A77380">
      <w:pPr>
        <w:rPr>
          <w:rFonts w:ascii="Times New Roman" w:hAnsi="Times New Roman"/>
          <w:sz w:val="22"/>
          <w:szCs w:val="22"/>
        </w:rPr>
      </w:pPr>
      <w:r w:rsidRPr="002B4E2A">
        <w:rPr>
          <w:rFonts w:ascii="Times New Roman" w:hAnsi="Times New Roman"/>
          <w:sz w:val="22"/>
          <w:szCs w:val="22"/>
        </w:rPr>
        <w:t>Key Deliverables and Indicative Timelines</w:t>
      </w:r>
    </w:p>
    <w:p w14:paraId="6F1C4C66" w14:textId="77777777" w:rsidR="00E05320" w:rsidRPr="002B4E2A" w:rsidRDefault="00E05320" w:rsidP="00A77380">
      <w:pPr>
        <w:rPr>
          <w:rFonts w:ascii="Times New Roman" w:hAnsi="Times New Roman"/>
          <w:sz w:val="22"/>
          <w:szCs w:val="22"/>
        </w:rPr>
      </w:pPr>
    </w:p>
    <w:tbl>
      <w:tblPr>
        <w:tblStyle w:val="TableGrid"/>
        <w:tblW w:w="0" w:type="auto"/>
        <w:tblLook w:val="04A0" w:firstRow="1" w:lastRow="0" w:firstColumn="1" w:lastColumn="0" w:noHBand="0" w:noVBand="1"/>
      </w:tblPr>
      <w:tblGrid>
        <w:gridCol w:w="540"/>
        <w:gridCol w:w="2556"/>
        <w:gridCol w:w="5017"/>
        <w:gridCol w:w="1237"/>
      </w:tblGrid>
      <w:tr w:rsidR="00B61DF9" w:rsidRPr="002B4E2A" w14:paraId="29F3B26C" w14:textId="77777777" w:rsidTr="00437B6D">
        <w:tc>
          <w:tcPr>
            <w:tcW w:w="0" w:type="auto"/>
            <w:vAlign w:val="center"/>
            <w:hideMark/>
          </w:tcPr>
          <w:p w14:paraId="5F7869C1" w14:textId="77777777" w:rsidR="00A77380" w:rsidRPr="002B4E2A" w:rsidRDefault="00A77380" w:rsidP="009829B3">
            <w:pPr>
              <w:jc w:val="center"/>
              <w:rPr>
                <w:rFonts w:ascii="Times New Roman" w:hAnsi="Times New Roman"/>
                <w:b/>
                <w:sz w:val="22"/>
                <w:szCs w:val="22"/>
              </w:rPr>
            </w:pPr>
            <w:r w:rsidRPr="002B4E2A">
              <w:rPr>
                <w:rFonts w:ascii="Times New Roman" w:hAnsi="Times New Roman"/>
                <w:b/>
                <w:sz w:val="22"/>
                <w:szCs w:val="22"/>
              </w:rPr>
              <w:t>No.</w:t>
            </w:r>
          </w:p>
        </w:tc>
        <w:tc>
          <w:tcPr>
            <w:tcW w:w="0" w:type="auto"/>
            <w:vAlign w:val="center"/>
            <w:hideMark/>
          </w:tcPr>
          <w:p w14:paraId="297DFCB6" w14:textId="77777777" w:rsidR="00A77380" w:rsidRPr="002B4E2A" w:rsidRDefault="00A77380" w:rsidP="009829B3">
            <w:pPr>
              <w:jc w:val="center"/>
              <w:rPr>
                <w:rFonts w:ascii="Times New Roman" w:hAnsi="Times New Roman"/>
                <w:b/>
                <w:sz w:val="22"/>
                <w:szCs w:val="22"/>
              </w:rPr>
            </w:pPr>
            <w:r w:rsidRPr="002B4E2A">
              <w:rPr>
                <w:rFonts w:ascii="Times New Roman" w:hAnsi="Times New Roman"/>
                <w:b/>
                <w:sz w:val="22"/>
                <w:szCs w:val="22"/>
              </w:rPr>
              <w:t>Deliverable</w:t>
            </w:r>
          </w:p>
        </w:tc>
        <w:tc>
          <w:tcPr>
            <w:tcW w:w="0" w:type="auto"/>
            <w:vAlign w:val="center"/>
            <w:hideMark/>
          </w:tcPr>
          <w:p w14:paraId="6154A5A9" w14:textId="77777777" w:rsidR="00A77380" w:rsidRPr="002B4E2A" w:rsidRDefault="00A77380" w:rsidP="009829B3">
            <w:pPr>
              <w:jc w:val="center"/>
              <w:rPr>
                <w:rFonts w:ascii="Times New Roman" w:hAnsi="Times New Roman"/>
                <w:b/>
                <w:sz w:val="22"/>
                <w:szCs w:val="22"/>
              </w:rPr>
            </w:pPr>
            <w:r w:rsidRPr="002B4E2A">
              <w:rPr>
                <w:rFonts w:ascii="Times New Roman" w:hAnsi="Times New Roman"/>
                <w:b/>
                <w:sz w:val="22"/>
                <w:szCs w:val="22"/>
              </w:rPr>
              <w:t>Description</w:t>
            </w:r>
          </w:p>
        </w:tc>
        <w:tc>
          <w:tcPr>
            <w:tcW w:w="0" w:type="auto"/>
            <w:vAlign w:val="center"/>
            <w:hideMark/>
          </w:tcPr>
          <w:p w14:paraId="0764328B" w14:textId="77777777" w:rsidR="00A77380" w:rsidRPr="002B4E2A" w:rsidRDefault="00A77380" w:rsidP="009829B3">
            <w:pPr>
              <w:jc w:val="center"/>
              <w:rPr>
                <w:rFonts w:ascii="Times New Roman" w:hAnsi="Times New Roman"/>
                <w:b/>
                <w:sz w:val="22"/>
                <w:szCs w:val="22"/>
              </w:rPr>
            </w:pPr>
            <w:r w:rsidRPr="002B4E2A">
              <w:rPr>
                <w:rFonts w:ascii="Times New Roman" w:hAnsi="Times New Roman"/>
                <w:b/>
                <w:sz w:val="22"/>
                <w:szCs w:val="22"/>
              </w:rPr>
              <w:t>Timeline (from contract start)</w:t>
            </w:r>
          </w:p>
        </w:tc>
      </w:tr>
      <w:tr w:rsidR="00B61DF9" w:rsidRPr="002B4E2A" w14:paraId="0D53E5C8" w14:textId="77777777" w:rsidTr="00437B6D">
        <w:tc>
          <w:tcPr>
            <w:tcW w:w="0" w:type="auto"/>
            <w:hideMark/>
          </w:tcPr>
          <w:p w14:paraId="0510AE5B" w14:textId="77777777" w:rsidR="00A77380" w:rsidRPr="002B4E2A" w:rsidRDefault="00A77380" w:rsidP="00A77380">
            <w:pPr>
              <w:rPr>
                <w:rFonts w:ascii="Times New Roman" w:hAnsi="Times New Roman"/>
                <w:sz w:val="22"/>
                <w:szCs w:val="22"/>
              </w:rPr>
            </w:pPr>
            <w:r w:rsidRPr="002B4E2A">
              <w:rPr>
                <w:rFonts w:ascii="Times New Roman" w:hAnsi="Times New Roman"/>
                <w:sz w:val="22"/>
                <w:szCs w:val="22"/>
              </w:rPr>
              <w:t>1.</w:t>
            </w:r>
          </w:p>
        </w:tc>
        <w:tc>
          <w:tcPr>
            <w:tcW w:w="0" w:type="auto"/>
            <w:hideMark/>
          </w:tcPr>
          <w:p w14:paraId="6BFD99B8" w14:textId="77777777" w:rsidR="00A77380" w:rsidRPr="002B4E2A" w:rsidRDefault="00A77380" w:rsidP="00A77380">
            <w:pPr>
              <w:rPr>
                <w:rFonts w:ascii="Times New Roman" w:hAnsi="Times New Roman"/>
                <w:sz w:val="22"/>
                <w:szCs w:val="22"/>
              </w:rPr>
            </w:pPr>
            <w:r w:rsidRPr="002B4E2A">
              <w:rPr>
                <w:rFonts w:ascii="Times New Roman" w:hAnsi="Times New Roman"/>
                <w:sz w:val="22"/>
                <w:szCs w:val="22"/>
              </w:rPr>
              <w:t>Inception Report</w:t>
            </w:r>
          </w:p>
        </w:tc>
        <w:tc>
          <w:tcPr>
            <w:tcW w:w="0" w:type="auto"/>
            <w:hideMark/>
          </w:tcPr>
          <w:p w14:paraId="465AD492" w14:textId="77777777" w:rsidR="00A77380" w:rsidRDefault="00A77380" w:rsidP="00D2617B">
            <w:pPr>
              <w:jc w:val="both"/>
              <w:rPr>
                <w:rFonts w:ascii="Times New Roman" w:hAnsi="Times New Roman"/>
                <w:sz w:val="22"/>
                <w:szCs w:val="22"/>
              </w:rPr>
            </w:pPr>
            <w:r w:rsidRPr="002B4E2A">
              <w:rPr>
                <w:rFonts w:ascii="Times New Roman" w:hAnsi="Times New Roman"/>
                <w:sz w:val="22"/>
                <w:szCs w:val="22"/>
              </w:rPr>
              <w:t xml:space="preserve">Outlines the </w:t>
            </w:r>
            <w:r w:rsidR="008D555A" w:rsidRPr="002B4E2A">
              <w:rPr>
                <w:rFonts w:ascii="Times New Roman" w:hAnsi="Times New Roman"/>
                <w:sz w:val="22"/>
                <w:szCs w:val="22"/>
              </w:rPr>
              <w:t>Consulting Firm</w:t>
            </w:r>
            <w:r w:rsidR="0016601A" w:rsidRPr="002B4E2A">
              <w:rPr>
                <w:rFonts w:ascii="Times New Roman" w:hAnsi="Times New Roman"/>
                <w:sz w:val="22"/>
                <w:szCs w:val="22"/>
              </w:rPr>
              <w:t>’s</w:t>
            </w:r>
            <w:r w:rsidRPr="002B4E2A">
              <w:rPr>
                <w:rFonts w:ascii="Times New Roman" w:hAnsi="Times New Roman"/>
                <w:sz w:val="22"/>
                <w:szCs w:val="22"/>
              </w:rPr>
              <w:t xml:space="preserve"> proposed methodology, detailed work plan, and stakeholder engagement strategy.</w:t>
            </w:r>
          </w:p>
          <w:p w14:paraId="7AFF1EAD" w14:textId="676B66F6" w:rsidR="00F85393" w:rsidRPr="002B4E2A" w:rsidRDefault="00F85393" w:rsidP="00D2617B">
            <w:pPr>
              <w:jc w:val="both"/>
              <w:rPr>
                <w:rFonts w:ascii="Times New Roman" w:hAnsi="Times New Roman"/>
                <w:sz w:val="22"/>
                <w:szCs w:val="22"/>
              </w:rPr>
            </w:pPr>
          </w:p>
        </w:tc>
        <w:tc>
          <w:tcPr>
            <w:tcW w:w="0" w:type="auto"/>
            <w:hideMark/>
          </w:tcPr>
          <w:p w14:paraId="2848D659" w14:textId="77777777" w:rsidR="00A77380" w:rsidRPr="002B4E2A" w:rsidRDefault="00A77380" w:rsidP="00A77380">
            <w:pPr>
              <w:rPr>
                <w:rFonts w:ascii="Times New Roman" w:hAnsi="Times New Roman"/>
                <w:sz w:val="22"/>
                <w:szCs w:val="22"/>
              </w:rPr>
            </w:pPr>
            <w:r w:rsidRPr="002B4E2A">
              <w:rPr>
                <w:rFonts w:ascii="Times New Roman" w:hAnsi="Times New Roman"/>
                <w:sz w:val="22"/>
                <w:szCs w:val="22"/>
              </w:rPr>
              <w:t>By end of Month 1</w:t>
            </w:r>
          </w:p>
        </w:tc>
      </w:tr>
      <w:tr w:rsidR="00B61DF9" w:rsidRPr="002B4E2A" w14:paraId="38227E38" w14:textId="77777777" w:rsidTr="00437B6D">
        <w:tc>
          <w:tcPr>
            <w:tcW w:w="0" w:type="auto"/>
            <w:hideMark/>
          </w:tcPr>
          <w:p w14:paraId="66A2EE24" w14:textId="77777777" w:rsidR="00A77380" w:rsidRPr="002B4E2A" w:rsidRDefault="00A77380" w:rsidP="00A77380">
            <w:pPr>
              <w:rPr>
                <w:rFonts w:ascii="Times New Roman" w:hAnsi="Times New Roman"/>
                <w:sz w:val="22"/>
                <w:szCs w:val="22"/>
              </w:rPr>
            </w:pPr>
            <w:r w:rsidRPr="002B4E2A">
              <w:rPr>
                <w:rFonts w:ascii="Times New Roman" w:hAnsi="Times New Roman"/>
                <w:sz w:val="22"/>
                <w:szCs w:val="22"/>
              </w:rPr>
              <w:t>2.</w:t>
            </w:r>
          </w:p>
        </w:tc>
        <w:tc>
          <w:tcPr>
            <w:tcW w:w="0" w:type="auto"/>
            <w:hideMark/>
          </w:tcPr>
          <w:p w14:paraId="1396B5AB" w14:textId="77777777" w:rsidR="00A77380" w:rsidRPr="002B4E2A" w:rsidRDefault="00A77380" w:rsidP="00A77380">
            <w:pPr>
              <w:rPr>
                <w:rFonts w:ascii="Times New Roman" w:hAnsi="Times New Roman"/>
                <w:sz w:val="22"/>
                <w:szCs w:val="22"/>
              </w:rPr>
            </w:pPr>
            <w:r w:rsidRPr="002B4E2A">
              <w:rPr>
                <w:rFonts w:ascii="Times New Roman" w:hAnsi="Times New Roman"/>
                <w:sz w:val="22"/>
                <w:szCs w:val="22"/>
              </w:rPr>
              <w:t>E-Mobility Market Assessment and Pre-Feasibility Study</w:t>
            </w:r>
          </w:p>
        </w:tc>
        <w:tc>
          <w:tcPr>
            <w:tcW w:w="0" w:type="auto"/>
            <w:hideMark/>
          </w:tcPr>
          <w:p w14:paraId="18FFAF99" w14:textId="77777777" w:rsidR="00A77380" w:rsidRDefault="00A77380" w:rsidP="00D2617B">
            <w:pPr>
              <w:jc w:val="both"/>
              <w:rPr>
                <w:rFonts w:ascii="Times New Roman" w:hAnsi="Times New Roman"/>
                <w:sz w:val="22"/>
                <w:szCs w:val="22"/>
              </w:rPr>
            </w:pPr>
            <w:r w:rsidRPr="002B4E2A">
              <w:rPr>
                <w:rFonts w:ascii="Times New Roman" w:hAnsi="Times New Roman"/>
                <w:sz w:val="22"/>
                <w:szCs w:val="22"/>
              </w:rPr>
              <w:t>Provides a regional analysis of e-mobility market segmentation, penetration levels, infrastructure readiness, and CO₂ mitigation potential.</w:t>
            </w:r>
          </w:p>
          <w:p w14:paraId="17C42BC1" w14:textId="77777777" w:rsidR="00F85393" w:rsidRPr="002B4E2A" w:rsidRDefault="00F85393" w:rsidP="00D2617B">
            <w:pPr>
              <w:jc w:val="both"/>
              <w:rPr>
                <w:rFonts w:ascii="Times New Roman" w:hAnsi="Times New Roman"/>
                <w:sz w:val="22"/>
                <w:szCs w:val="22"/>
              </w:rPr>
            </w:pPr>
          </w:p>
        </w:tc>
        <w:tc>
          <w:tcPr>
            <w:tcW w:w="0" w:type="auto"/>
            <w:hideMark/>
          </w:tcPr>
          <w:p w14:paraId="5BCF3B4A" w14:textId="77777777" w:rsidR="00A77380" w:rsidRPr="002B4E2A" w:rsidRDefault="00A77380" w:rsidP="00A77380">
            <w:pPr>
              <w:rPr>
                <w:rFonts w:ascii="Times New Roman" w:hAnsi="Times New Roman"/>
                <w:sz w:val="22"/>
                <w:szCs w:val="22"/>
              </w:rPr>
            </w:pPr>
            <w:r w:rsidRPr="002B4E2A">
              <w:rPr>
                <w:rFonts w:ascii="Times New Roman" w:hAnsi="Times New Roman"/>
                <w:sz w:val="22"/>
                <w:szCs w:val="22"/>
              </w:rPr>
              <w:t xml:space="preserve">By </w:t>
            </w:r>
            <w:proofErr w:type="gramStart"/>
            <w:r w:rsidRPr="002B4E2A">
              <w:rPr>
                <w:rFonts w:ascii="Times New Roman" w:hAnsi="Times New Roman"/>
                <w:sz w:val="22"/>
                <w:szCs w:val="22"/>
              </w:rPr>
              <w:t>end</w:t>
            </w:r>
            <w:proofErr w:type="gramEnd"/>
            <w:r w:rsidRPr="002B4E2A">
              <w:rPr>
                <w:rFonts w:ascii="Times New Roman" w:hAnsi="Times New Roman"/>
                <w:sz w:val="22"/>
                <w:szCs w:val="22"/>
              </w:rPr>
              <w:t xml:space="preserve"> of Month 3</w:t>
            </w:r>
          </w:p>
        </w:tc>
      </w:tr>
      <w:tr w:rsidR="00B61DF9" w:rsidRPr="002B4E2A" w14:paraId="36CCCE32" w14:textId="77777777" w:rsidTr="00437B6D">
        <w:tc>
          <w:tcPr>
            <w:tcW w:w="0" w:type="auto"/>
            <w:hideMark/>
          </w:tcPr>
          <w:p w14:paraId="1E50F93F" w14:textId="77777777" w:rsidR="00A77380" w:rsidRPr="002B4E2A" w:rsidRDefault="00A77380" w:rsidP="00A77380">
            <w:pPr>
              <w:rPr>
                <w:rFonts w:ascii="Times New Roman" w:hAnsi="Times New Roman"/>
                <w:sz w:val="22"/>
                <w:szCs w:val="22"/>
              </w:rPr>
            </w:pPr>
            <w:r w:rsidRPr="002B4E2A">
              <w:rPr>
                <w:rFonts w:ascii="Times New Roman" w:hAnsi="Times New Roman"/>
                <w:sz w:val="22"/>
                <w:szCs w:val="22"/>
              </w:rPr>
              <w:t>3.</w:t>
            </w:r>
          </w:p>
        </w:tc>
        <w:tc>
          <w:tcPr>
            <w:tcW w:w="0" w:type="auto"/>
            <w:hideMark/>
          </w:tcPr>
          <w:p w14:paraId="2376A3A1" w14:textId="2BDEDB0F" w:rsidR="00A77380" w:rsidRPr="002B4E2A" w:rsidRDefault="00A77380" w:rsidP="00A77380">
            <w:pPr>
              <w:rPr>
                <w:rFonts w:ascii="Times New Roman" w:hAnsi="Times New Roman"/>
                <w:sz w:val="22"/>
                <w:szCs w:val="22"/>
              </w:rPr>
            </w:pPr>
            <w:r w:rsidRPr="002B4E2A">
              <w:rPr>
                <w:rFonts w:ascii="Times New Roman" w:hAnsi="Times New Roman"/>
                <w:sz w:val="22"/>
                <w:szCs w:val="22"/>
              </w:rPr>
              <w:t>Comparative Fund Design Review</w:t>
            </w:r>
            <w:r w:rsidR="707DE641" w:rsidRPr="002B4E2A">
              <w:rPr>
                <w:rFonts w:ascii="Times New Roman" w:hAnsi="Times New Roman"/>
                <w:sz w:val="22"/>
                <w:szCs w:val="22"/>
              </w:rPr>
              <w:t xml:space="preserve"> Report</w:t>
            </w:r>
          </w:p>
        </w:tc>
        <w:tc>
          <w:tcPr>
            <w:tcW w:w="0" w:type="auto"/>
            <w:hideMark/>
          </w:tcPr>
          <w:p w14:paraId="3A15CFE0" w14:textId="77777777" w:rsidR="00A77380" w:rsidRDefault="00A77380" w:rsidP="00D2617B">
            <w:pPr>
              <w:jc w:val="both"/>
              <w:rPr>
                <w:rFonts w:ascii="Times New Roman" w:hAnsi="Times New Roman"/>
                <w:sz w:val="22"/>
                <w:szCs w:val="22"/>
              </w:rPr>
            </w:pPr>
            <w:proofErr w:type="spellStart"/>
            <w:r w:rsidRPr="002B4E2A">
              <w:rPr>
                <w:rFonts w:ascii="Times New Roman" w:hAnsi="Times New Roman"/>
                <w:sz w:val="22"/>
                <w:szCs w:val="22"/>
              </w:rPr>
              <w:t>Summarises</w:t>
            </w:r>
            <w:proofErr w:type="spellEnd"/>
            <w:r w:rsidRPr="002B4E2A">
              <w:rPr>
                <w:rFonts w:ascii="Times New Roman" w:hAnsi="Times New Roman"/>
                <w:sz w:val="22"/>
                <w:szCs w:val="22"/>
              </w:rPr>
              <w:t xml:space="preserve"> lessons from international e-mobility/climate funds and identifies best practices for Fund design.</w:t>
            </w:r>
          </w:p>
          <w:p w14:paraId="197024BE" w14:textId="77777777" w:rsidR="00F85393" w:rsidRPr="002B4E2A" w:rsidRDefault="00F85393" w:rsidP="00D2617B">
            <w:pPr>
              <w:jc w:val="both"/>
              <w:rPr>
                <w:rFonts w:ascii="Times New Roman" w:hAnsi="Times New Roman"/>
                <w:sz w:val="22"/>
                <w:szCs w:val="22"/>
              </w:rPr>
            </w:pPr>
          </w:p>
        </w:tc>
        <w:tc>
          <w:tcPr>
            <w:tcW w:w="0" w:type="auto"/>
            <w:hideMark/>
          </w:tcPr>
          <w:p w14:paraId="7E3E4AE9" w14:textId="77777777" w:rsidR="00A77380" w:rsidRPr="002B4E2A" w:rsidRDefault="00A77380" w:rsidP="00A77380">
            <w:pPr>
              <w:rPr>
                <w:rFonts w:ascii="Times New Roman" w:hAnsi="Times New Roman"/>
                <w:sz w:val="22"/>
                <w:szCs w:val="22"/>
              </w:rPr>
            </w:pPr>
            <w:r w:rsidRPr="002B4E2A">
              <w:rPr>
                <w:rFonts w:ascii="Times New Roman" w:hAnsi="Times New Roman"/>
                <w:sz w:val="22"/>
                <w:szCs w:val="22"/>
              </w:rPr>
              <w:t>By end of Month 4</w:t>
            </w:r>
          </w:p>
        </w:tc>
      </w:tr>
      <w:tr w:rsidR="00B61DF9" w:rsidRPr="002B4E2A" w14:paraId="0029140A" w14:textId="77777777" w:rsidTr="00437B6D">
        <w:trPr>
          <w:trHeight w:val="300"/>
        </w:trPr>
        <w:tc>
          <w:tcPr>
            <w:tcW w:w="540" w:type="dxa"/>
            <w:hideMark/>
          </w:tcPr>
          <w:p w14:paraId="12DD79E1" w14:textId="2033FDAC" w:rsidR="61B3C8D7" w:rsidRPr="002B4E2A" w:rsidRDefault="7CF2F9DB" w:rsidP="61B3C8D7">
            <w:pPr>
              <w:rPr>
                <w:rFonts w:ascii="Times New Roman" w:hAnsi="Times New Roman"/>
                <w:sz w:val="22"/>
                <w:szCs w:val="22"/>
              </w:rPr>
            </w:pPr>
            <w:r w:rsidRPr="002B4E2A">
              <w:rPr>
                <w:rFonts w:ascii="Times New Roman" w:hAnsi="Times New Roman"/>
                <w:sz w:val="22"/>
                <w:szCs w:val="22"/>
              </w:rPr>
              <w:t>4.</w:t>
            </w:r>
          </w:p>
        </w:tc>
        <w:tc>
          <w:tcPr>
            <w:tcW w:w="2687" w:type="dxa"/>
            <w:hideMark/>
          </w:tcPr>
          <w:p w14:paraId="47C5FEB1" w14:textId="4D519D09" w:rsidR="61B3C8D7" w:rsidRPr="002B4E2A" w:rsidRDefault="54CFF9DA" w:rsidP="61B3C8D7">
            <w:pPr>
              <w:rPr>
                <w:rFonts w:ascii="Times New Roman" w:hAnsi="Times New Roman"/>
                <w:sz w:val="22"/>
                <w:szCs w:val="22"/>
              </w:rPr>
            </w:pPr>
            <w:r w:rsidRPr="002B4E2A">
              <w:rPr>
                <w:rFonts w:ascii="Times New Roman" w:hAnsi="Times New Roman"/>
                <w:sz w:val="22"/>
                <w:szCs w:val="22"/>
              </w:rPr>
              <w:t>Green Climate Fund Concept Note</w:t>
            </w:r>
          </w:p>
        </w:tc>
        <w:tc>
          <w:tcPr>
            <w:tcW w:w="4556" w:type="dxa"/>
            <w:hideMark/>
          </w:tcPr>
          <w:p w14:paraId="0511324B" w14:textId="77777777" w:rsidR="61B3C8D7" w:rsidRDefault="4315E0E4" w:rsidP="00D2617B">
            <w:pPr>
              <w:jc w:val="both"/>
              <w:rPr>
                <w:rFonts w:ascii="Times New Roman" w:eastAsiaTheme="minorEastAsia" w:hAnsi="Times New Roman"/>
                <w:sz w:val="22"/>
                <w:szCs w:val="22"/>
              </w:rPr>
            </w:pPr>
            <w:r w:rsidRPr="002B4E2A">
              <w:rPr>
                <w:rFonts w:ascii="Times New Roman" w:eastAsiaTheme="minorEastAsia" w:hAnsi="Times New Roman"/>
                <w:sz w:val="22"/>
                <w:szCs w:val="22"/>
              </w:rPr>
              <w:t>Develop an E-mobility GCF Concept Note for the Caribbean</w:t>
            </w:r>
            <w:r w:rsidR="401DBD4E" w:rsidRPr="002B4E2A">
              <w:rPr>
                <w:rFonts w:ascii="Times New Roman" w:eastAsiaTheme="minorEastAsia" w:hAnsi="Times New Roman"/>
                <w:sz w:val="22"/>
                <w:szCs w:val="22"/>
              </w:rPr>
              <w:t xml:space="preserve"> that </w:t>
            </w:r>
            <w:r w:rsidR="00FD6875" w:rsidRPr="002B4E2A">
              <w:rPr>
                <w:rFonts w:ascii="Times New Roman" w:eastAsiaTheme="minorEastAsia" w:hAnsi="Times New Roman"/>
                <w:sz w:val="22"/>
                <w:szCs w:val="22"/>
              </w:rPr>
              <w:t>demonstrates</w:t>
            </w:r>
            <w:r w:rsidRPr="002B4E2A">
              <w:rPr>
                <w:rFonts w:ascii="Times New Roman" w:eastAsiaTheme="minorEastAsia" w:hAnsi="Times New Roman"/>
                <w:sz w:val="22"/>
                <w:szCs w:val="22"/>
              </w:rPr>
              <w:t xml:space="preserve"> how the project will contribute to climate change mitigation by reducing greenhouse gas emissions through the adoption of electric transport solutions and include a strong rationale for GCF financing.</w:t>
            </w:r>
          </w:p>
          <w:p w14:paraId="1BBB4B8A" w14:textId="6BA21166" w:rsidR="00F85393" w:rsidRPr="002B4E2A" w:rsidRDefault="00F85393" w:rsidP="00D2617B">
            <w:pPr>
              <w:jc w:val="both"/>
              <w:rPr>
                <w:rFonts w:ascii="Times New Roman" w:hAnsi="Times New Roman"/>
                <w:sz w:val="22"/>
                <w:szCs w:val="22"/>
              </w:rPr>
            </w:pPr>
          </w:p>
        </w:tc>
        <w:tc>
          <w:tcPr>
            <w:tcW w:w="1567" w:type="dxa"/>
            <w:hideMark/>
          </w:tcPr>
          <w:p w14:paraId="17631B5B" w14:textId="5EF48234" w:rsidR="61B3C8D7" w:rsidRPr="002B4E2A" w:rsidRDefault="6086BC44" w:rsidP="2F0072CD">
            <w:pPr>
              <w:rPr>
                <w:rFonts w:ascii="Times New Roman" w:hAnsi="Times New Roman"/>
                <w:sz w:val="22"/>
                <w:szCs w:val="22"/>
              </w:rPr>
            </w:pPr>
            <w:r w:rsidRPr="002B4E2A">
              <w:rPr>
                <w:rFonts w:ascii="Times New Roman" w:hAnsi="Times New Roman"/>
                <w:sz w:val="22"/>
                <w:szCs w:val="22"/>
              </w:rPr>
              <w:t xml:space="preserve">By </w:t>
            </w:r>
            <w:proofErr w:type="gramStart"/>
            <w:r w:rsidRPr="002B4E2A">
              <w:rPr>
                <w:rFonts w:ascii="Times New Roman" w:hAnsi="Times New Roman"/>
                <w:sz w:val="22"/>
                <w:szCs w:val="22"/>
              </w:rPr>
              <w:t>end</w:t>
            </w:r>
            <w:proofErr w:type="gramEnd"/>
            <w:r w:rsidRPr="002B4E2A">
              <w:rPr>
                <w:rFonts w:ascii="Times New Roman" w:hAnsi="Times New Roman"/>
                <w:sz w:val="22"/>
                <w:szCs w:val="22"/>
              </w:rPr>
              <w:t xml:space="preserve"> of Month 5</w:t>
            </w:r>
          </w:p>
          <w:p w14:paraId="753DCD8D" w14:textId="227A165B" w:rsidR="61B3C8D7" w:rsidRPr="002B4E2A" w:rsidRDefault="61B3C8D7" w:rsidP="61B3C8D7">
            <w:pPr>
              <w:rPr>
                <w:rFonts w:ascii="Times New Roman" w:hAnsi="Times New Roman"/>
                <w:sz w:val="22"/>
                <w:szCs w:val="22"/>
              </w:rPr>
            </w:pPr>
          </w:p>
        </w:tc>
      </w:tr>
      <w:tr w:rsidR="00B61DF9" w:rsidRPr="002B4E2A" w14:paraId="71B48195" w14:textId="77777777" w:rsidTr="00437B6D">
        <w:tc>
          <w:tcPr>
            <w:tcW w:w="0" w:type="auto"/>
            <w:hideMark/>
          </w:tcPr>
          <w:p w14:paraId="6A0F3040" w14:textId="23A76FEB" w:rsidR="00A77380" w:rsidRPr="002B4E2A" w:rsidRDefault="7CF2F9DB" w:rsidP="00A77380">
            <w:pPr>
              <w:rPr>
                <w:rFonts w:ascii="Times New Roman" w:hAnsi="Times New Roman"/>
                <w:sz w:val="22"/>
                <w:szCs w:val="22"/>
              </w:rPr>
            </w:pPr>
            <w:r w:rsidRPr="002B4E2A">
              <w:rPr>
                <w:rFonts w:ascii="Times New Roman" w:hAnsi="Times New Roman"/>
                <w:sz w:val="22"/>
                <w:szCs w:val="22"/>
              </w:rPr>
              <w:t>5.</w:t>
            </w:r>
          </w:p>
        </w:tc>
        <w:tc>
          <w:tcPr>
            <w:tcW w:w="0" w:type="auto"/>
            <w:hideMark/>
          </w:tcPr>
          <w:p w14:paraId="49980188" w14:textId="6EE556B4" w:rsidR="00896002" w:rsidRPr="002B4E2A" w:rsidRDefault="4325C4EF" w:rsidP="00896002">
            <w:pPr>
              <w:rPr>
                <w:rFonts w:ascii="Times New Roman" w:hAnsi="Times New Roman"/>
                <w:sz w:val="22"/>
                <w:szCs w:val="22"/>
              </w:rPr>
            </w:pPr>
            <w:r w:rsidRPr="002B4E2A">
              <w:rPr>
                <w:rFonts w:ascii="Times New Roman" w:hAnsi="Times New Roman"/>
                <w:sz w:val="22"/>
                <w:szCs w:val="22"/>
              </w:rPr>
              <w:t xml:space="preserve">Complete </w:t>
            </w:r>
            <w:r w:rsidR="248499B2" w:rsidRPr="002B4E2A">
              <w:rPr>
                <w:rFonts w:ascii="Times New Roman" w:hAnsi="Times New Roman"/>
                <w:sz w:val="22"/>
                <w:szCs w:val="22"/>
              </w:rPr>
              <w:t xml:space="preserve">Fund Design Package: </w:t>
            </w:r>
          </w:p>
          <w:p w14:paraId="75248CDC" w14:textId="2722A1FD" w:rsidR="00896002" w:rsidRPr="002B4E2A" w:rsidRDefault="00896002" w:rsidP="00896002">
            <w:pPr>
              <w:rPr>
                <w:rFonts w:ascii="Times New Roman" w:hAnsi="Times New Roman"/>
                <w:sz w:val="22"/>
                <w:szCs w:val="22"/>
              </w:rPr>
            </w:pPr>
            <w:r w:rsidRPr="002B4E2A">
              <w:rPr>
                <w:rFonts w:ascii="Times New Roman" w:hAnsi="Times New Roman"/>
                <w:sz w:val="22"/>
                <w:szCs w:val="22"/>
              </w:rPr>
              <w:t>a) Operational Manual</w:t>
            </w:r>
            <w:r w:rsidRPr="002B4E2A">
              <w:rPr>
                <w:rFonts w:ascii="Times New Roman" w:hAnsi="Times New Roman"/>
                <w:sz w:val="22"/>
                <w:szCs w:val="22"/>
              </w:rPr>
              <w:tab/>
            </w:r>
          </w:p>
          <w:p w14:paraId="163CDB18" w14:textId="75AD6778" w:rsidR="00896002" w:rsidRPr="002B4E2A" w:rsidRDefault="00896002" w:rsidP="00896002">
            <w:pPr>
              <w:rPr>
                <w:rFonts w:ascii="Times New Roman" w:hAnsi="Times New Roman"/>
                <w:sz w:val="22"/>
                <w:szCs w:val="22"/>
              </w:rPr>
            </w:pPr>
            <w:r w:rsidRPr="002B4E2A">
              <w:rPr>
                <w:rFonts w:ascii="Times New Roman" w:hAnsi="Times New Roman"/>
                <w:sz w:val="22"/>
                <w:szCs w:val="22"/>
              </w:rPr>
              <w:t>b) Governance Framework</w:t>
            </w:r>
          </w:p>
          <w:p w14:paraId="37ADF545" w14:textId="72A742E4" w:rsidR="00896002" w:rsidRPr="002B4E2A" w:rsidRDefault="00896002" w:rsidP="00896002">
            <w:pPr>
              <w:rPr>
                <w:rFonts w:ascii="Times New Roman" w:hAnsi="Times New Roman"/>
                <w:sz w:val="22"/>
                <w:szCs w:val="22"/>
              </w:rPr>
            </w:pPr>
            <w:r w:rsidRPr="002B4E2A">
              <w:rPr>
                <w:rFonts w:ascii="Times New Roman" w:hAnsi="Times New Roman"/>
                <w:sz w:val="22"/>
                <w:szCs w:val="22"/>
              </w:rPr>
              <w:t>c) Proposed Financial Instruments and De-risking Tools</w:t>
            </w:r>
          </w:p>
          <w:p w14:paraId="63BAEA27" w14:textId="27A731D5" w:rsidR="00A77380" w:rsidRPr="002B4E2A" w:rsidRDefault="00896002" w:rsidP="00896002">
            <w:pPr>
              <w:rPr>
                <w:rFonts w:ascii="Times New Roman" w:hAnsi="Times New Roman"/>
                <w:sz w:val="22"/>
                <w:szCs w:val="22"/>
              </w:rPr>
            </w:pPr>
            <w:r w:rsidRPr="002B4E2A">
              <w:rPr>
                <w:rFonts w:ascii="Times New Roman" w:hAnsi="Times New Roman"/>
                <w:sz w:val="22"/>
                <w:szCs w:val="22"/>
              </w:rPr>
              <w:t>d) Monitoring and Evaluation Framework</w:t>
            </w:r>
          </w:p>
        </w:tc>
        <w:tc>
          <w:tcPr>
            <w:tcW w:w="0" w:type="auto"/>
            <w:hideMark/>
          </w:tcPr>
          <w:p w14:paraId="14B5D162" w14:textId="07907B86" w:rsidR="00A77380" w:rsidRPr="002B4E2A" w:rsidRDefault="00A77380" w:rsidP="00D2617B">
            <w:pPr>
              <w:jc w:val="both"/>
              <w:rPr>
                <w:rFonts w:ascii="Times New Roman" w:hAnsi="Times New Roman"/>
                <w:sz w:val="22"/>
                <w:szCs w:val="22"/>
              </w:rPr>
            </w:pPr>
            <w:r w:rsidRPr="002B4E2A">
              <w:rPr>
                <w:rFonts w:ascii="Times New Roman" w:hAnsi="Times New Roman"/>
                <w:sz w:val="22"/>
                <w:szCs w:val="22"/>
              </w:rPr>
              <w:t>Presents the complete structure, operational modalities, eligibility criteria, governance model, and M&amp;E framework for the Fund</w:t>
            </w:r>
            <w:r w:rsidR="00B61DF9" w:rsidRPr="002B4E2A">
              <w:rPr>
                <w:rFonts w:ascii="Times New Roman" w:hAnsi="Times New Roman"/>
                <w:sz w:val="22"/>
                <w:szCs w:val="22"/>
              </w:rPr>
              <w:t xml:space="preserve"> and develop operational documents and materials</w:t>
            </w:r>
            <w:r w:rsidRPr="002B4E2A">
              <w:rPr>
                <w:rFonts w:ascii="Times New Roman" w:hAnsi="Times New Roman"/>
                <w:sz w:val="22"/>
                <w:szCs w:val="22"/>
              </w:rPr>
              <w:t>.</w:t>
            </w:r>
          </w:p>
        </w:tc>
        <w:tc>
          <w:tcPr>
            <w:tcW w:w="0" w:type="auto"/>
            <w:hideMark/>
          </w:tcPr>
          <w:p w14:paraId="1E2E4FB4" w14:textId="77777777" w:rsidR="00A77380" w:rsidRPr="002B4E2A" w:rsidRDefault="00A77380" w:rsidP="00A77380">
            <w:pPr>
              <w:rPr>
                <w:rFonts w:ascii="Times New Roman" w:hAnsi="Times New Roman"/>
                <w:sz w:val="22"/>
                <w:szCs w:val="22"/>
              </w:rPr>
            </w:pPr>
            <w:r w:rsidRPr="002B4E2A">
              <w:rPr>
                <w:rFonts w:ascii="Times New Roman" w:hAnsi="Times New Roman"/>
                <w:sz w:val="22"/>
                <w:szCs w:val="22"/>
              </w:rPr>
              <w:t>By end of Month 6</w:t>
            </w:r>
          </w:p>
        </w:tc>
      </w:tr>
      <w:tr w:rsidR="00B61DF9" w:rsidRPr="002B4E2A" w14:paraId="626B192A" w14:textId="77777777" w:rsidTr="00437B6D">
        <w:tc>
          <w:tcPr>
            <w:tcW w:w="0" w:type="auto"/>
            <w:hideMark/>
          </w:tcPr>
          <w:p w14:paraId="34DC1F20" w14:textId="35C2C81D" w:rsidR="00A77380" w:rsidRPr="002B4E2A" w:rsidRDefault="1FE73CFF" w:rsidP="00A77380">
            <w:pPr>
              <w:rPr>
                <w:rFonts w:ascii="Times New Roman" w:hAnsi="Times New Roman"/>
                <w:sz w:val="22"/>
                <w:szCs w:val="22"/>
              </w:rPr>
            </w:pPr>
            <w:r w:rsidRPr="002B4E2A">
              <w:rPr>
                <w:rFonts w:ascii="Times New Roman" w:hAnsi="Times New Roman"/>
                <w:sz w:val="22"/>
                <w:szCs w:val="22"/>
              </w:rPr>
              <w:t>6.</w:t>
            </w:r>
          </w:p>
        </w:tc>
        <w:tc>
          <w:tcPr>
            <w:tcW w:w="0" w:type="auto"/>
            <w:hideMark/>
          </w:tcPr>
          <w:p w14:paraId="7BA2DAF9" w14:textId="7A46ED54" w:rsidR="00A77380" w:rsidRPr="002B4E2A" w:rsidRDefault="00A77380" w:rsidP="00A77380">
            <w:pPr>
              <w:rPr>
                <w:rFonts w:ascii="Times New Roman" w:hAnsi="Times New Roman"/>
                <w:sz w:val="22"/>
                <w:szCs w:val="22"/>
              </w:rPr>
            </w:pPr>
            <w:r w:rsidRPr="002B4E2A">
              <w:rPr>
                <w:rFonts w:ascii="Times New Roman" w:hAnsi="Times New Roman"/>
                <w:sz w:val="22"/>
                <w:szCs w:val="22"/>
              </w:rPr>
              <w:t>Promotional and Communications Materials</w:t>
            </w:r>
            <w:r w:rsidR="4C883FC9" w:rsidRPr="002B4E2A">
              <w:rPr>
                <w:rFonts w:ascii="Times New Roman" w:hAnsi="Times New Roman"/>
                <w:sz w:val="22"/>
                <w:szCs w:val="22"/>
              </w:rPr>
              <w:t xml:space="preserve"> Developed</w:t>
            </w:r>
          </w:p>
        </w:tc>
        <w:tc>
          <w:tcPr>
            <w:tcW w:w="0" w:type="auto"/>
            <w:hideMark/>
          </w:tcPr>
          <w:p w14:paraId="7C046FF1" w14:textId="77777777" w:rsidR="00A77380" w:rsidRDefault="00A77380" w:rsidP="00F85393">
            <w:pPr>
              <w:jc w:val="both"/>
              <w:rPr>
                <w:rFonts w:ascii="Times New Roman" w:hAnsi="Times New Roman"/>
                <w:sz w:val="22"/>
                <w:szCs w:val="22"/>
              </w:rPr>
            </w:pPr>
            <w:r w:rsidRPr="002B4E2A">
              <w:rPr>
                <w:rFonts w:ascii="Times New Roman" w:hAnsi="Times New Roman"/>
                <w:sz w:val="22"/>
                <w:szCs w:val="22"/>
              </w:rPr>
              <w:t xml:space="preserve">Includes fact sheets, presentations, and knowledge-sharing content to support stakeholder engagement and donor </w:t>
            </w:r>
            <w:proofErr w:type="spellStart"/>
            <w:r w:rsidRPr="002B4E2A">
              <w:rPr>
                <w:rFonts w:ascii="Times New Roman" w:hAnsi="Times New Roman"/>
                <w:sz w:val="22"/>
                <w:szCs w:val="22"/>
              </w:rPr>
              <w:t>mobilisation</w:t>
            </w:r>
            <w:proofErr w:type="spellEnd"/>
            <w:r w:rsidRPr="002B4E2A">
              <w:rPr>
                <w:rFonts w:ascii="Times New Roman" w:hAnsi="Times New Roman"/>
                <w:sz w:val="22"/>
                <w:szCs w:val="22"/>
              </w:rPr>
              <w:t>.</w:t>
            </w:r>
          </w:p>
          <w:p w14:paraId="31B7862F" w14:textId="77777777" w:rsidR="00F85393" w:rsidRPr="002B4E2A" w:rsidRDefault="00F85393" w:rsidP="00F85393">
            <w:pPr>
              <w:jc w:val="both"/>
              <w:rPr>
                <w:rFonts w:ascii="Times New Roman" w:hAnsi="Times New Roman"/>
                <w:sz w:val="22"/>
                <w:szCs w:val="22"/>
              </w:rPr>
            </w:pPr>
          </w:p>
        </w:tc>
        <w:tc>
          <w:tcPr>
            <w:tcW w:w="0" w:type="auto"/>
            <w:hideMark/>
          </w:tcPr>
          <w:p w14:paraId="68A37923" w14:textId="77777777" w:rsidR="00A77380" w:rsidRPr="002B4E2A" w:rsidRDefault="00A77380" w:rsidP="00A77380">
            <w:pPr>
              <w:rPr>
                <w:rFonts w:ascii="Times New Roman" w:hAnsi="Times New Roman"/>
                <w:sz w:val="22"/>
                <w:szCs w:val="22"/>
              </w:rPr>
            </w:pPr>
            <w:r w:rsidRPr="002B4E2A">
              <w:rPr>
                <w:rFonts w:ascii="Times New Roman" w:hAnsi="Times New Roman"/>
                <w:sz w:val="22"/>
                <w:szCs w:val="22"/>
              </w:rPr>
              <w:t xml:space="preserve">By </w:t>
            </w:r>
            <w:proofErr w:type="gramStart"/>
            <w:r w:rsidRPr="002B4E2A">
              <w:rPr>
                <w:rFonts w:ascii="Times New Roman" w:hAnsi="Times New Roman"/>
                <w:sz w:val="22"/>
                <w:szCs w:val="22"/>
              </w:rPr>
              <w:t>end</w:t>
            </w:r>
            <w:proofErr w:type="gramEnd"/>
            <w:r w:rsidRPr="002B4E2A">
              <w:rPr>
                <w:rFonts w:ascii="Times New Roman" w:hAnsi="Times New Roman"/>
                <w:sz w:val="22"/>
                <w:szCs w:val="22"/>
              </w:rPr>
              <w:t xml:space="preserve"> of Month 7</w:t>
            </w:r>
          </w:p>
        </w:tc>
      </w:tr>
      <w:tr w:rsidR="00B61DF9" w:rsidRPr="002B4E2A" w14:paraId="32DA4BF7" w14:textId="77777777" w:rsidTr="00437B6D">
        <w:tc>
          <w:tcPr>
            <w:tcW w:w="0" w:type="auto"/>
            <w:hideMark/>
          </w:tcPr>
          <w:p w14:paraId="41B15E36" w14:textId="778F3568" w:rsidR="00A77380" w:rsidRPr="002B4E2A" w:rsidRDefault="7CCB8405" w:rsidP="00A77380">
            <w:pPr>
              <w:rPr>
                <w:rFonts w:ascii="Times New Roman" w:hAnsi="Times New Roman"/>
                <w:sz w:val="22"/>
                <w:szCs w:val="22"/>
              </w:rPr>
            </w:pPr>
            <w:r w:rsidRPr="002B4E2A">
              <w:rPr>
                <w:rFonts w:ascii="Times New Roman" w:hAnsi="Times New Roman"/>
                <w:sz w:val="22"/>
                <w:szCs w:val="22"/>
              </w:rPr>
              <w:t>7.</w:t>
            </w:r>
          </w:p>
        </w:tc>
        <w:tc>
          <w:tcPr>
            <w:tcW w:w="0" w:type="auto"/>
            <w:hideMark/>
          </w:tcPr>
          <w:p w14:paraId="4C78246B" w14:textId="77777777" w:rsidR="00A77380" w:rsidRPr="002B4E2A" w:rsidRDefault="00A77380" w:rsidP="00A77380">
            <w:pPr>
              <w:rPr>
                <w:rFonts w:ascii="Times New Roman" w:hAnsi="Times New Roman"/>
                <w:sz w:val="22"/>
                <w:szCs w:val="22"/>
              </w:rPr>
            </w:pPr>
            <w:r w:rsidRPr="002B4E2A">
              <w:rPr>
                <w:rFonts w:ascii="Times New Roman" w:hAnsi="Times New Roman"/>
                <w:sz w:val="22"/>
                <w:szCs w:val="22"/>
              </w:rPr>
              <w:t xml:space="preserve">Final Summary Report and Resource </w:t>
            </w:r>
            <w:proofErr w:type="spellStart"/>
            <w:r w:rsidRPr="002B4E2A">
              <w:rPr>
                <w:rFonts w:ascii="Times New Roman" w:hAnsi="Times New Roman"/>
                <w:sz w:val="22"/>
                <w:szCs w:val="22"/>
              </w:rPr>
              <w:t>Mobilisation</w:t>
            </w:r>
            <w:proofErr w:type="spellEnd"/>
            <w:r w:rsidRPr="002B4E2A">
              <w:rPr>
                <w:rFonts w:ascii="Times New Roman" w:hAnsi="Times New Roman"/>
                <w:sz w:val="22"/>
                <w:szCs w:val="22"/>
              </w:rPr>
              <w:t xml:space="preserve"> Strategy</w:t>
            </w:r>
          </w:p>
        </w:tc>
        <w:tc>
          <w:tcPr>
            <w:tcW w:w="0" w:type="auto"/>
            <w:hideMark/>
          </w:tcPr>
          <w:p w14:paraId="3819FECE" w14:textId="69A53515" w:rsidR="00A77380" w:rsidRPr="002B4E2A" w:rsidRDefault="00B54DCF" w:rsidP="00F85393">
            <w:pPr>
              <w:jc w:val="both"/>
              <w:rPr>
                <w:rFonts w:ascii="Times New Roman" w:hAnsi="Times New Roman"/>
                <w:sz w:val="22"/>
                <w:szCs w:val="22"/>
              </w:rPr>
            </w:pPr>
            <w:r w:rsidRPr="002B4E2A">
              <w:rPr>
                <w:rFonts w:ascii="Times New Roman" w:hAnsi="Times New Roman"/>
                <w:bCs/>
                <w:sz w:val="22"/>
                <w:szCs w:val="22"/>
              </w:rPr>
              <w:t>Consolidated report including stakeholder feedback, final recommendations, and roadmap for engaging funding partners.</w:t>
            </w:r>
          </w:p>
        </w:tc>
        <w:tc>
          <w:tcPr>
            <w:tcW w:w="0" w:type="auto"/>
            <w:hideMark/>
          </w:tcPr>
          <w:p w14:paraId="5850E7D2" w14:textId="77777777" w:rsidR="00A77380" w:rsidRPr="002B4E2A" w:rsidRDefault="00A77380" w:rsidP="00A77380">
            <w:pPr>
              <w:rPr>
                <w:rFonts w:ascii="Times New Roman" w:hAnsi="Times New Roman"/>
                <w:sz w:val="22"/>
                <w:szCs w:val="22"/>
              </w:rPr>
            </w:pPr>
            <w:r w:rsidRPr="002B4E2A">
              <w:rPr>
                <w:rFonts w:ascii="Times New Roman" w:hAnsi="Times New Roman"/>
                <w:sz w:val="22"/>
                <w:szCs w:val="22"/>
              </w:rPr>
              <w:t xml:space="preserve">By </w:t>
            </w:r>
            <w:proofErr w:type="gramStart"/>
            <w:r w:rsidRPr="002B4E2A">
              <w:rPr>
                <w:rFonts w:ascii="Times New Roman" w:hAnsi="Times New Roman"/>
                <w:sz w:val="22"/>
                <w:szCs w:val="22"/>
              </w:rPr>
              <w:t>end</w:t>
            </w:r>
            <w:proofErr w:type="gramEnd"/>
            <w:r w:rsidRPr="002B4E2A">
              <w:rPr>
                <w:rFonts w:ascii="Times New Roman" w:hAnsi="Times New Roman"/>
                <w:sz w:val="22"/>
                <w:szCs w:val="22"/>
              </w:rPr>
              <w:t xml:space="preserve"> of Month 9</w:t>
            </w:r>
          </w:p>
        </w:tc>
      </w:tr>
    </w:tbl>
    <w:p w14:paraId="6728CD2F" w14:textId="77777777" w:rsidR="009829B3" w:rsidRDefault="009829B3" w:rsidP="00A77380">
      <w:pPr>
        <w:rPr>
          <w:rFonts w:ascii="Times New Roman" w:hAnsi="Times New Roman"/>
          <w:sz w:val="22"/>
          <w:szCs w:val="22"/>
        </w:rPr>
      </w:pPr>
    </w:p>
    <w:p w14:paraId="5E249EDF" w14:textId="2F1857C1" w:rsidR="00A84CFF" w:rsidRDefault="00A84CFF" w:rsidP="00A77380">
      <w:pPr>
        <w:rPr>
          <w:rFonts w:ascii="Times New Roman" w:hAnsi="Times New Roman"/>
          <w:sz w:val="22"/>
          <w:szCs w:val="22"/>
        </w:rPr>
      </w:pPr>
      <w:r>
        <w:rPr>
          <w:rFonts w:ascii="Times New Roman" w:hAnsi="Times New Roman"/>
          <w:sz w:val="22"/>
          <w:szCs w:val="22"/>
        </w:rPr>
        <w:br w:type="page"/>
      </w:r>
    </w:p>
    <w:p w14:paraId="7BA1130D" w14:textId="2609F5D6" w:rsidR="00A77380" w:rsidRDefault="00A77380" w:rsidP="00E5009F">
      <w:pPr>
        <w:rPr>
          <w:rFonts w:ascii="Times New Roman" w:hAnsi="Times New Roman"/>
          <w:sz w:val="22"/>
          <w:szCs w:val="22"/>
        </w:rPr>
      </w:pPr>
      <w:r w:rsidRPr="002B4E2A">
        <w:rPr>
          <w:rFonts w:ascii="Times New Roman" w:hAnsi="Times New Roman"/>
          <w:sz w:val="22"/>
          <w:szCs w:val="22"/>
        </w:rPr>
        <w:lastRenderedPageBreak/>
        <w:t>Submission and Approval Process</w:t>
      </w:r>
    </w:p>
    <w:p w14:paraId="3CCB455F" w14:textId="77777777" w:rsidR="00D2617B" w:rsidRPr="002B4E2A" w:rsidRDefault="00D2617B" w:rsidP="00E5009F">
      <w:pPr>
        <w:rPr>
          <w:rFonts w:ascii="Times New Roman" w:hAnsi="Times New Roman"/>
          <w:sz w:val="22"/>
          <w:szCs w:val="22"/>
        </w:rPr>
      </w:pPr>
    </w:p>
    <w:p w14:paraId="6D64CF22" w14:textId="77777777" w:rsidR="00A77380" w:rsidRPr="002B4E2A" w:rsidRDefault="00A77380" w:rsidP="00E5009F">
      <w:pPr>
        <w:numPr>
          <w:ilvl w:val="0"/>
          <w:numId w:val="14"/>
        </w:numPr>
        <w:tabs>
          <w:tab w:val="clear" w:pos="720"/>
          <w:tab w:val="num" w:pos="1440"/>
        </w:tabs>
        <w:ind w:left="1440" w:hanging="720"/>
        <w:jc w:val="both"/>
        <w:rPr>
          <w:rFonts w:ascii="Times New Roman" w:hAnsi="Times New Roman"/>
          <w:sz w:val="22"/>
          <w:szCs w:val="22"/>
        </w:rPr>
      </w:pPr>
      <w:r w:rsidRPr="002B4E2A">
        <w:rPr>
          <w:rFonts w:ascii="Times New Roman" w:hAnsi="Times New Roman"/>
          <w:sz w:val="22"/>
          <w:szCs w:val="22"/>
        </w:rPr>
        <w:t>All deliverables must be submitted in editable electronic formats (Word, Excel, PowerPoint) and PDF.</w:t>
      </w:r>
    </w:p>
    <w:p w14:paraId="4F6B3D77" w14:textId="424408AD" w:rsidR="00A77380" w:rsidRPr="002B4E2A" w:rsidRDefault="00A77380" w:rsidP="00E5009F">
      <w:pPr>
        <w:numPr>
          <w:ilvl w:val="0"/>
          <w:numId w:val="14"/>
        </w:numPr>
        <w:tabs>
          <w:tab w:val="clear" w:pos="720"/>
          <w:tab w:val="num" w:pos="1440"/>
        </w:tabs>
        <w:ind w:left="1440" w:hanging="720"/>
        <w:jc w:val="both"/>
        <w:rPr>
          <w:rFonts w:ascii="Times New Roman" w:hAnsi="Times New Roman"/>
          <w:sz w:val="22"/>
          <w:szCs w:val="22"/>
        </w:rPr>
      </w:pPr>
      <w:r w:rsidRPr="002B4E2A">
        <w:rPr>
          <w:rFonts w:ascii="Times New Roman" w:hAnsi="Times New Roman"/>
          <w:sz w:val="22"/>
          <w:szCs w:val="22"/>
        </w:rPr>
        <w:t>Draft versions shall be submitted for CDB review at least two weeks prior to each final submission date.</w:t>
      </w:r>
    </w:p>
    <w:p w14:paraId="6021F0A5" w14:textId="275706DE" w:rsidR="00A77380" w:rsidRPr="002B4E2A" w:rsidRDefault="00A77380" w:rsidP="00E5009F">
      <w:pPr>
        <w:numPr>
          <w:ilvl w:val="0"/>
          <w:numId w:val="14"/>
        </w:numPr>
        <w:tabs>
          <w:tab w:val="clear" w:pos="720"/>
          <w:tab w:val="num" w:pos="1440"/>
        </w:tabs>
        <w:ind w:left="1440" w:hanging="720"/>
        <w:jc w:val="both"/>
        <w:rPr>
          <w:rFonts w:ascii="Times New Roman" w:hAnsi="Times New Roman"/>
          <w:sz w:val="22"/>
          <w:szCs w:val="22"/>
        </w:rPr>
      </w:pPr>
      <w:r w:rsidRPr="002B4E2A">
        <w:rPr>
          <w:rFonts w:ascii="Times New Roman" w:hAnsi="Times New Roman"/>
          <w:sz w:val="22"/>
          <w:szCs w:val="22"/>
        </w:rPr>
        <w:t xml:space="preserve">Final acceptance of deliverables will be subject to CDB’s written </w:t>
      </w:r>
      <w:r w:rsidR="00FD6875" w:rsidRPr="002B4E2A">
        <w:rPr>
          <w:rFonts w:ascii="Times New Roman" w:hAnsi="Times New Roman"/>
          <w:sz w:val="22"/>
          <w:szCs w:val="22"/>
        </w:rPr>
        <w:t>approval,</w:t>
      </w:r>
      <w:r w:rsidRPr="002B4E2A">
        <w:rPr>
          <w:rFonts w:ascii="Times New Roman" w:hAnsi="Times New Roman"/>
          <w:sz w:val="22"/>
          <w:szCs w:val="22"/>
        </w:rPr>
        <w:t xml:space="preserve"> following review and incorporation of feedback</w:t>
      </w:r>
      <w:r w:rsidR="00B61DF9" w:rsidRPr="002B4E2A">
        <w:rPr>
          <w:rFonts w:ascii="Times New Roman" w:hAnsi="Times New Roman"/>
          <w:sz w:val="22"/>
          <w:szCs w:val="22"/>
        </w:rPr>
        <w:t xml:space="preserve"> within one (1) week</w:t>
      </w:r>
      <w:r w:rsidRPr="002B4E2A">
        <w:rPr>
          <w:rFonts w:ascii="Times New Roman" w:hAnsi="Times New Roman"/>
          <w:sz w:val="22"/>
          <w:szCs w:val="22"/>
        </w:rPr>
        <w:t>.</w:t>
      </w:r>
    </w:p>
    <w:p w14:paraId="1F29FE30" w14:textId="77777777" w:rsidR="00B54DCF" w:rsidRPr="002B4E2A" w:rsidRDefault="00B54DCF" w:rsidP="00E5009F">
      <w:pPr>
        <w:widowControl/>
        <w:autoSpaceDE/>
        <w:autoSpaceDN/>
        <w:adjustRightInd/>
        <w:rPr>
          <w:rFonts w:ascii="Times New Roman" w:hAnsi="Times New Roman"/>
          <w:b/>
          <w:sz w:val="22"/>
          <w:szCs w:val="22"/>
        </w:rPr>
      </w:pPr>
    </w:p>
    <w:p w14:paraId="0885F6CA" w14:textId="59BC3531" w:rsidR="007D553F" w:rsidRPr="002B4E2A" w:rsidRDefault="007D553F" w:rsidP="00E5009F">
      <w:pPr>
        <w:pStyle w:val="Heading2"/>
        <w:numPr>
          <w:ilvl w:val="0"/>
          <w:numId w:val="0"/>
        </w:numPr>
      </w:pPr>
      <w:r w:rsidRPr="002B4E2A">
        <w:rPr>
          <w:u w:val="none"/>
        </w:rPr>
        <w:t>5.</w:t>
      </w:r>
      <w:r w:rsidRPr="002B4E2A">
        <w:rPr>
          <w:u w:val="none"/>
        </w:rPr>
        <w:tab/>
      </w:r>
      <w:r w:rsidRPr="002B4E2A">
        <w:t>IMPLEMENTATION ARRANGEMENTS</w:t>
      </w:r>
    </w:p>
    <w:p w14:paraId="1C51E91E" w14:textId="77777777" w:rsidR="00FC16C0" w:rsidRPr="002B4E2A" w:rsidRDefault="00FC16C0" w:rsidP="00E5009F">
      <w:pPr>
        <w:tabs>
          <w:tab w:val="left" w:pos="720"/>
        </w:tabs>
        <w:kinsoku w:val="0"/>
        <w:overflowPunct w:val="0"/>
        <w:jc w:val="both"/>
        <w:rPr>
          <w:rFonts w:ascii="Times New Roman" w:hAnsi="Times New Roman"/>
          <w:bCs/>
          <w:sz w:val="22"/>
          <w:szCs w:val="22"/>
          <w:u w:val="single"/>
        </w:rPr>
      </w:pPr>
    </w:p>
    <w:p w14:paraId="0DF4EE8D" w14:textId="46B9C5AF" w:rsidR="00B83B43" w:rsidRPr="002B4E2A" w:rsidRDefault="00E87392" w:rsidP="00E5009F">
      <w:pPr>
        <w:jc w:val="both"/>
        <w:rPr>
          <w:rFonts w:ascii="Times New Roman" w:hAnsi="Times New Roman"/>
          <w:sz w:val="22"/>
          <w:szCs w:val="22"/>
        </w:rPr>
      </w:pPr>
      <w:r w:rsidRPr="002B4E2A">
        <w:rPr>
          <w:rFonts w:ascii="Times New Roman" w:hAnsi="Times New Roman"/>
          <w:sz w:val="22"/>
          <w:szCs w:val="22"/>
        </w:rPr>
        <w:t>5.01</w:t>
      </w:r>
      <w:r w:rsidR="00B97F2D">
        <w:rPr>
          <w:rFonts w:ascii="Times New Roman" w:hAnsi="Times New Roman"/>
          <w:sz w:val="22"/>
          <w:szCs w:val="22"/>
        </w:rPr>
        <w:tab/>
      </w:r>
      <w:r w:rsidRPr="002B4E2A">
        <w:rPr>
          <w:rFonts w:ascii="Times New Roman" w:hAnsi="Times New Roman"/>
          <w:sz w:val="22"/>
          <w:szCs w:val="22"/>
        </w:rPr>
        <w:t xml:space="preserve">The </w:t>
      </w:r>
      <w:r w:rsidR="008D555A" w:rsidRPr="002B4E2A">
        <w:rPr>
          <w:rFonts w:ascii="Times New Roman" w:hAnsi="Times New Roman"/>
          <w:sz w:val="22"/>
          <w:szCs w:val="22"/>
        </w:rPr>
        <w:t>Consulting Firm</w:t>
      </w:r>
      <w:r w:rsidRPr="002B4E2A">
        <w:rPr>
          <w:rFonts w:ascii="Times New Roman" w:hAnsi="Times New Roman"/>
          <w:sz w:val="22"/>
          <w:szCs w:val="22"/>
        </w:rPr>
        <w:t xml:space="preserve"> will perform all services remotely. Engagements with CDB staff, regional institutions, and national stakeholders will be </w:t>
      </w:r>
      <w:proofErr w:type="gramStart"/>
      <w:r w:rsidR="00FD6875" w:rsidRPr="002B4E2A">
        <w:rPr>
          <w:rFonts w:ascii="Times New Roman" w:hAnsi="Times New Roman"/>
          <w:sz w:val="22"/>
          <w:szCs w:val="22"/>
        </w:rPr>
        <w:t>conducted</w:t>
      </w:r>
      <w:proofErr w:type="gramEnd"/>
      <w:r w:rsidR="00FD6875" w:rsidRPr="002B4E2A">
        <w:rPr>
          <w:rFonts w:ascii="Times New Roman" w:hAnsi="Times New Roman"/>
          <w:sz w:val="22"/>
          <w:szCs w:val="22"/>
        </w:rPr>
        <w:t xml:space="preserve"> via</w:t>
      </w:r>
      <w:r w:rsidRPr="002B4E2A">
        <w:rPr>
          <w:rFonts w:ascii="Times New Roman" w:hAnsi="Times New Roman"/>
          <w:sz w:val="22"/>
          <w:szCs w:val="22"/>
        </w:rPr>
        <w:t xml:space="preserve"> virtual meetings, email correspondence, and other digital collaboration tools. </w:t>
      </w:r>
      <w:r w:rsidR="00B83B43" w:rsidRPr="002B4E2A">
        <w:rPr>
          <w:rFonts w:ascii="Times New Roman" w:hAnsi="Times New Roman"/>
          <w:sz w:val="22"/>
          <w:szCs w:val="22"/>
        </w:rPr>
        <w:t>No travel or in-person missions are anticipated under this consultancy, and the assignment is expected to be executed remotely. However, if the Consultant’s proposed methodology demonstrates that limited in-country travel is essential to achieving specific objectives—such as stakeholder consultations that cannot be effectively conducted virtually—such travel may be considered, provided it can be accommodated within the overall budget.</w:t>
      </w:r>
    </w:p>
    <w:p w14:paraId="23A2B0F5" w14:textId="77777777" w:rsidR="00B83B43" w:rsidRPr="002B4E2A" w:rsidRDefault="00B83B43" w:rsidP="00E5009F">
      <w:pPr>
        <w:jc w:val="both"/>
        <w:rPr>
          <w:rFonts w:ascii="Times New Roman" w:hAnsi="Times New Roman"/>
          <w:sz w:val="22"/>
          <w:szCs w:val="22"/>
        </w:rPr>
      </w:pPr>
    </w:p>
    <w:p w14:paraId="1A203952" w14:textId="2D9E9DE7" w:rsidR="00E87392" w:rsidRPr="002B4E2A" w:rsidRDefault="00B97F2D" w:rsidP="00E5009F">
      <w:pPr>
        <w:jc w:val="both"/>
        <w:rPr>
          <w:rFonts w:ascii="Times New Roman" w:hAnsi="Times New Roman"/>
          <w:sz w:val="22"/>
          <w:szCs w:val="22"/>
        </w:rPr>
      </w:pPr>
      <w:r>
        <w:rPr>
          <w:rFonts w:ascii="Times New Roman" w:hAnsi="Times New Roman"/>
          <w:sz w:val="22"/>
          <w:szCs w:val="22"/>
        </w:rPr>
        <w:t>5.02</w:t>
      </w:r>
      <w:r>
        <w:rPr>
          <w:rFonts w:ascii="Times New Roman" w:hAnsi="Times New Roman"/>
          <w:sz w:val="22"/>
          <w:szCs w:val="22"/>
        </w:rPr>
        <w:tab/>
      </w:r>
      <w:r w:rsidR="00E87392" w:rsidRPr="002B4E2A">
        <w:rPr>
          <w:rFonts w:ascii="Times New Roman" w:hAnsi="Times New Roman"/>
          <w:sz w:val="22"/>
          <w:szCs w:val="22"/>
        </w:rPr>
        <w:t xml:space="preserve">The </w:t>
      </w:r>
      <w:r w:rsidR="008D555A" w:rsidRPr="002B4E2A">
        <w:rPr>
          <w:rFonts w:ascii="Times New Roman" w:hAnsi="Times New Roman"/>
          <w:sz w:val="22"/>
          <w:szCs w:val="22"/>
        </w:rPr>
        <w:t>Consulting Firm</w:t>
      </w:r>
      <w:r w:rsidR="00E87392" w:rsidRPr="002B4E2A">
        <w:rPr>
          <w:rFonts w:ascii="Times New Roman" w:hAnsi="Times New Roman"/>
          <w:sz w:val="22"/>
          <w:szCs w:val="22"/>
        </w:rPr>
        <w:t xml:space="preserve"> will report to the Sustainable Energy Unit (SEU) Specialist, who will serve as the primary point of contact and provide technical oversight and guidance throughout the assignment.</w:t>
      </w:r>
    </w:p>
    <w:p w14:paraId="39113FB6" w14:textId="77777777" w:rsidR="00E87392" w:rsidRPr="002B4E2A" w:rsidRDefault="00E87392" w:rsidP="00E5009F">
      <w:pPr>
        <w:jc w:val="both"/>
        <w:rPr>
          <w:rFonts w:ascii="Times New Roman" w:hAnsi="Times New Roman"/>
          <w:sz w:val="22"/>
          <w:szCs w:val="22"/>
        </w:rPr>
      </w:pPr>
    </w:p>
    <w:p w14:paraId="6143AD9E" w14:textId="3CB4BBF6" w:rsidR="00E87392" w:rsidRPr="002B4E2A" w:rsidRDefault="00E87392" w:rsidP="00E5009F">
      <w:pPr>
        <w:jc w:val="both"/>
        <w:rPr>
          <w:rFonts w:ascii="Times New Roman" w:hAnsi="Times New Roman"/>
          <w:sz w:val="22"/>
          <w:szCs w:val="22"/>
        </w:rPr>
      </w:pPr>
      <w:r w:rsidRPr="002B4E2A">
        <w:rPr>
          <w:rFonts w:ascii="Times New Roman" w:hAnsi="Times New Roman"/>
          <w:sz w:val="22"/>
          <w:szCs w:val="22"/>
        </w:rPr>
        <w:t>5.0</w:t>
      </w:r>
      <w:r w:rsidR="00B97F2D">
        <w:rPr>
          <w:rFonts w:ascii="Times New Roman" w:hAnsi="Times New Roman"/>
          <w:sz w:val="22"/>
          <w:szCs w:val="22"/>
        </w:rPr>
        <w:t>3</w:t>
      </w:r>
      <w:r w:rsidR="00B97F2D">
        <w:rPr>
          <w:rFonts w:ascii="Times New Roman" w:hAnsi="Times New Roman"/>
          <w:sz w:val="22"/>
          <w:szCs w:val="22"/>
        </w:rPr>
        <w:tab/>
      </w:r>
      <w:r w:rsidRPr="002B4E2A">
        <w:rPr>
          <w:rFonts w:ascii="Times New Roman" w:hAnsi="Times New Roman"/>
          <w:sz w:val="22"/>
          <w:szCs w:val="22"/>
        </w:rPr>
        <w:t>All reports, deliverables, and related documentation shall be prepared and submitted in English. Final versions must be delivered in both Microsoft Word and PDF formats.</w:t>
      </w:r>
    </w:p>
    <w:p w14:paraId="7C687464" w14:textId="7ECEC786" w:rsidR="00E87392" w:rsidRPr="002B4E2A" w:rsidRDefault="00E87392" w:rsidP="00E5009F">
      <w:pPr>
        <w:jc w:val="both"/>
        <w:rPr>
          <w:rFonts w:ascii="Times New Roman" w:hAnsi="Times New Roman"/>
          <w:sz w:val="22"/>
          <w:szCs w:val="22"/>
        </w:rPr>
      </w:pPr>
      <w:r w:rsidRPr="002B4E2A">
        <w:rPr>
          <w:rFonts w:ascii="Times New Roman" w:hAnsi="Times New Roman"/>
          <w:sz w:val="22"/>
          <w:szCs w:val="22"/>
        </w:rPr>
        <w:t xml:space="preserve">In addition, the </w:t>
      </w:r>
      <w:r w:rsidR="008D555A" w:rsidRPr="002B4E2A">
        <w:rPr>
          <w:rFonts w:ascii="Times New Roman" w:hAnsi="Times New Roman"/>
          <w:sz w:val="22"/>
          <w:szCs w:val="22"/>
        </w:rPr>
        <w:t>Consulting Firm</w:t>
      </w:r>
      <w:r w:rsidRPr="002B4E2A">
        <w:rPr>
          <w:rFonts w:ascii="Times New Roman" w:hAnsi="Times New Roman"/>
          <w:sz w:val="22"/>
          <w:szCs w:val="22"/>
        </w:rPr>
        <w:t xml:space="preserve"> shall submit all relevant source files (including data sets, financial models, spreadsheets, and presentations) in editable formats, </w:t>
      </w:r>
      <w:proofErr w:type="spellStart"/>
      <w:r w:rsidRPr="002B4E2A">
        <w:rPr>
          <w:rFonts w:ascii="Times New Roman" w:hAnsi="Times New Roman"/>
          <w:sz w:val="22"/>
          <w:szCs w:val="22"/>
        </w:rPr>
        <w:t>organised</w:t>
      </w:r>
      <w:proofErr w:type="spellEnd"/>
      <w:r w:rsidRPr="002B4E2A">
        <w:rPr>
          <w:rFonts w:ascii="Times New Roman" w:hAnsi="Times New Roman"/>
          <w:sz w:val="22"/>
          <w:szCs w:val="22"/>
        </w:rPr>
        <w:t xml:space="preserve"> using a clear and logical folder structure with descriptive file names, to ensure transparency and facilitate future use by CDB.</w:t>
      </w:r>
    </w:p>
    <w:p w14:paraId="55AFD9E9" w14:textId="77777777" w:rsidR="009B7ECF" w:rsidRPr="002B4E2A" w:rsidRDefault="009B7ECF" w:rsidP="00E5009F">
      <w:pPr>
        <w:jc w:val="both"/>
        <w:rPr>
          <w:rFonts w:ascii="Times New Roman" w:hAnsi="Times New Roman"/>
          <w:i/>
          <w:sz w:val="22"/>
          <w:szCs w:val="22"/>
        </w:rPr>
      </w:pPr>
    </w:p>
    <w:p w14:paraId="5647A279" w14:textId="25B89111" w:rsidR="009B7ECF" w:rsidRPr="002B4E2A" w:rsidRDefault="009B7ECF" w:rsidP="00E5009F">
      <w:pPr>
        <w:pStyle w:val="Heading2"/>
        <w:numPr>
          <w:ilvl w:val="0"/>
          <w:numId w:val="32"/>
        </w:numPr>
        <w:ind w:hanging="720"/>
      </w:pPr>
      <w:r w:rsidRPr="002B4E2A">
        <w:t>ESTIMATED DURATION</w:t>
      </w:r>
    </w:p>
    <w:p w14:paraId="15F22F9F" w14:textId="77777777" w:rsidR="000A3D0D" w:rsidRPr="002B4E2A" w:rsidRDefault="000A3D0D" w:rsidP="00E5009F">
      <w:pPr>
        <w:rPr>
          <w:rFonts w:ascii="Times New Roman" w:hAnsi="Times New Roman"/>
          <w:sz w:val="22"/>
          <w:szCs w:val="22"/>
        </w:rPr>
      </w:pPr>
    </w:p>
    <w:p w14:paraId="355BD1A6" w14:textId="2A21CE8F" w:rsidR="009B7ECF" w:rsidRPr="002B4E2A" w:rsidRDefault="009B7ECF" w:rsidP="00E5009F">
      <w:pPr>
        <w:jc w:val="both"/>
        <w:rPr>
          <w:rFonts w:ascii="Times New Roman" w:hAnsi="Times New Roman"/>
          <w:iCs/>
          <w:sz w:val="22"/>
          <w:szCs w:val="22"/>
        </w:rPr>
      </w:pPr>
      <w:r w:rsidRPr="002B4E2A">
        <w:rPr>
          <w:rFonts w:ascii="Times New Roman" w:hAnsi="Times New Roman"/>
          <w:iCs/>
          <w:sz w:val="22"/>
          <w:szCs w:val="22"/>
        </w:rPr>
        <w:t>6.01</w:t>
      </w:r>
      <w:r w:rsidRPr="002B4E2A">
        <w:rPr>
          <w:rFonts w:ascii="Times New Roman" w:hAnsi="Times New Roman"/>
          <w:iCs/>
          <w:sz w:val="22"/>
          <w:szCs w:val="22"/>
        </w:rPr>
        <w:tab/>
        <w:t xml:space="preserve">The estimated duration of this project is </w:t>
      </w:r>
      <w:r w:rsidR="00954A0D" w:rsidRPr="002B4E2A">
        <w:rPr>
          <w:rFonts w:ascii="Times New Roman" w:hAnsi="Times New Roman"/>
          <w:iCs/>
          <w:sz w:val="22"/>
          <w:szCs w:val="22"/>
        </w:rPr>
        <w:t>9</w:t>
      </w:r>
      <w:r w:rsidRPr="002B4E2A">
        <w:rPr>
          <w:rFonts w:ascii="Times New Roman" w:hAnsi="Times New Roman"/>
          <w:iCs/>
          <w:sz w:val="22"/>
          <w:szCs w:val="22"/>
        </w:rPr>
        <w:t xml:space="preserve"> </w:t>
      </w:r>
      <w:r w:rsidR="00C91382" w:rsidRPr="002B4E2A">
        <w:rPr>
          <w:rFonts w:ascii="Times New Roman" w:hAnsi="Times New Roman"/>
          <w:iCs/>
          <w:sz w:val="22"/>
          <w:szCs w:val="22"/>
        </w:rPr>
        <w:t xml:space="preserve">consecutive calendar </w:t>
      </w:r>
      <w:r w:rsidRPr="002B4E2A">
        <w:rPr>
          <w:rFonts w:ascii="Times New Roman" w:hAnsi="Times New Roman"/>
          <w:iCs/>
          <w:sz w:val="22"/>
          <w:szCs w:val="22"/>
        </w:rPr>
        <w:t>months.</w:t>
      </w:r>
    </w:p>
    <w:p w14:paraId="634E05A0" w14:textId="77777777" w:rsidR="009B7ECF" w:rsidRPr="002B4E2A" w:rsidRDefault="009B7ECF" w:rsidP="00E5009F">
      <w:pPr>
        <w:rPr>
          <w:rFonts w:ascii="Times New Roman" w:hAnsi="Times New Roman"/>
          <w:sz w:val="22"/>
          <w:szCs w:val="22"/>
        </w:rPr>
      </w:pPr>
    </w:p>
    <w:p w14:paraId="73442CC7" w14:textId="26C8116F" w:rsidR="007D553F" w:rsidRPr="002B4E2A" w:rsidRDefault="00A0115B" w:rsidP="00E5009F">
      <w:pPr>
        <w:widowControl/>
        <w:autoSpaceDE/>
        <w:autoSpaceDN/>
        <w:adjustRightInd/>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7D553F" w:rsidRPr="00A0115B">
        <w:rPr>
          <w:rFonts w:ascii="Times New Roman" w:hAnsi="Times New Roman"/>
          <w:b/>
          <w:bCs/>
          <w:sz w:val="22"/>
          <w:szCs w:val="22"/>
          <w:u w:val="single"/>
        </w:rPr>
        <w:t>QUALIFICATIONS</w:t>
      </w:r>
      <w:r w:rsidR="00452FE3" w:rsidRPr="00A0115B">
        <w:rPr>
          <w:rFonts w:ascii="Times New Roman" w:hAnsi="Times New Roman"/>
          <w:b/>
          <w:bCs/>
          <w:sz w:val="22"/>
          <w:szCs w:val="22"/>
          <w:u w:val="single"/>
        </w:rPr>
        <w:t xml:space="preserve"> AND EXPERIENCE</w:t>
      </w:r>
      <w:r w:rsidR="00452FE3" w:rsidRPr="002B4E2A">
        <w:rPr>
          <w:rFonts w:ascii="Times New Roman" w:hAnsi="Times New Roman"/>
          <w:sz w:val="22"/>
          <w:szCs w:val="22"/>
        </w:rPr>
        <w:t xml:space="preserve"> </w:t>
      </w:r>
    </w:p>
    <w:p w14:paraId="727B5201" w14:textId="2D65E117" w:rsidR="00887ABE" w:rsidRPr="002B4E2A" w:rsidRDefault="00AA35A1" w:rsidP="00E5009F">
      <w:pPr>
        <w:widowControl/>
        <w:autoSpaceDE/>
        <w:autoSpaceDN/>
        <w:adjustRightInd/>
        <w:jc w:val="both"/>
        <w:rPr>
          <w:rFonts w:ascii="Times New Roman" w:hAnsi="Times New Roman"/>
          <w:sz w:val="22"/>
          <w:szCs w:val="22"/>
          <w:lang w:eastAsia="zh-CN"/>
        </w:rPr>
      </w:pPr>
      <w:r w:rsidRPr="002B4E2A">
        <w:rPr>
          <w:rFonts w:ascii="Times New Roman" w:hAnsi="Times New Roman"/>
          <w:sz w:val="22"/>
          <w:szCs w:val="22"/>
          <w:lang w:eastAsia="zh-CN"/>
        </w:rPr>
        <w:t>7</w:t>
      </w:r>
      <w:r w:rsidR="000A3D0D" w:rsidRPr="002B4E2A">
        <w:rPr>
          <w:rFonts w:ascii="Times New Roman" w:hAnsi="Times New Roman"/>
          <w:sz w:val="22"/>
          <w:szCs w:val="22"/>
          <w:lang w:eastAsia="zh-CN"/>
        </w:rPr>
        <w:t>.01</w:t>
      </w:r>
      <w:r w:rsidR="00A0115B">
        <w:rPr>
          <w:rFonts w:ascii="Times New Roman" w:hAnsi="Times New Roman"/>
          <w:sz w:val="22"/>
          <w:szCs w:val="22"/>
          <w:lang w:eastAsia="zh-CN"/>
        </w:rPr>
        <w:tab/>
      </w:r>
      <w:r w:rsidR="00FD6875" w:rsidRPr="002B4E2A">
        <w:rPr>
          <w:rFonts w:ascii="Times New Roman" w:hAnsi="Times New Roman"/>
          <w:sz w:val="22"/>
          <w:szCs w:val="22"/>
          <w:lang w:eastAsia="zh-CN"/>
        </w:rPr>
        <w:t>The Consulting</w:t>
      </w:r>
      <w:r w:rsidR="008D555A" w:rsidRPr="002B4E2A">
        <w:rPr>
          <w:rFonts w:ascii="Times New Roman" w:hAnsi="Times New Roman"/>
          <w:sz w:val="22"/>
          <w:szCs w:val="22"/>
          <w:lang w:eastAsia="zh-CN"/>
        </w:rPr>
        <w:t xml:space="preserve"> Firm</w:t>
      </w:r>
      <w:r w:rsidR="0016601A" w:rsidRPr="002B4E2A">
        <w:rPr>
          <w:rFonts w:ascii="Times New Roman" w:hAnsi="Times New Roman"/>
          <w:sz w:val="22"/>
          <w:szCs w:val="22"/>
          <w:lang w:eastAsia="zh-CN"/>
        </w:rPr>
        <w:t xml:space="preserve"> shall demonstrate a minimum of </w:t>
      </w:r>
      <w:r w:rsidR="00887ABE" w:rsidRPr="002B4E2A">
        <w:rPr>
          <w:rFonts w:ascii="Times New Roman" w:hAnsi="Times New Roman"/>
          <w:sz w:val="22"/>
          <w:szCs w:val="22"/>
          <w:lang w:eastAsia="zh-CN"/>
        </w:rPr>
        <w:t xml:space="preserve">ten (10) years of relevant experience in the design and operationalisation of climate finance instruments, with a focus on sustainable energy project preparation in developing country context. Specific experience in supporting transport sector transformation projects will be considered as an asset. </w:t>
      </w:r>
    </w:p>
    <w:p w14:paraId="5C173328" w14:textId="6CA65EC8" w:rsidR="0016601A" w:rsidRPr="002B4E2A" w:rsidRDefault="00A0115B" w:rsidP="00E5009F">
      <w:pPr>
        <w:widowControl/>
        <w:autoSpaceDE/>
        <w:autoSpaceDN/>
        <w:adjustRightInd/>
        <w:jc w:val="both"/>
        <w:rPr>
          <w:rFonts w:ascii="Times New Roman" w:hAnsi="Times New Roman"/>
          <w:sz w:val="22"/>
          <w:szCs w:val="22"/>
          <w:lang w:eastAsia="zh-CN"/>
        </w:rPr>
      </w:pPr>
      <w:r>
        <w:rPr>
          <w:rFonts w:ascii="Times New Roman" w:hAnsi="Times New Roman"/>
          <w:sz w:val="22"/>
          <w:szCs w:val="22"/>
          <w:lang w:eastAsia="zh-CN"/>
        </w:rPr>
        <w:t>7.02</w:t>
      </w:r>
      <w:r>
        <w:rPr>
          <w:rFonts w:ascii="Times New Roman" w:hAnsi="Times New Roman"/>
          <w:sz w:val="22"/>
          <w:szCs w:val="22"/>
          <w:lang w:eastAsia="zh-CN"/>
        </w:rPr>
        <w:tab/>
      </w:r>
      <w:r w:rsidR="0016601A" w:rsidRPr="002B4E2A">
        <w:rPr>
          <w:rFonts w:ascii="Times New Roman" w:hAnsi="Times New Roman"/>
          <w:sz w:val="22"/>
          <w:szCs w:val="22"/>
          <w:lang w:eastAsia="zh-CN"/>
        </w:rPr>
        <w:t xml:space="preserve">The </w:t>
      </w:r>
      <w:r w:rsidR="008D555A" w:rsidRPr="002B4E2A">
        <w:rPr>
          <w:rFonts w:ascii="Times New Roman" w:hAnsi="Times New Roman"/>
          <w:sz w:val="22"/>
          <w:szCs w:val="22"/>
          <w:lang w:eastAsia="zh-CN"/>
        </w:rPr>
        <w:t>Consulting Firm</w:t>
      </w:r>
      <w:r w:rsidR="0016601A" w:rsidRPr="002B4E2A">
        <w:rPr>
          <w:rFonts w:ascii="Times New Roman" w:hAnsi="Times New Roman"/>
          <w:sz w:val="22"/>
          <w:szCs w:val="22"/>
          <w:lang w:eastAsia="zh-CN"/>
        </w:rPr>
        <w:t xml:space="preserve"> must also have demonstrated expertise in </w:t>
      </w:r>
      <w:r w:rsidR="1A785193" w:rsidRPr="002B4E2A">
        <w:rPr>
          <w:rFonts w:ascii="Times New Roman" w:hAnsi="Times New Roman"/>
          <w:sz w:val="22"/>
          <w:szCs w:val="22"/>
          <w:lang w:eastAsia="zh-CN"/>
        </w:rPr>
        <w:t xml:space="preserve">conducting </w:t>
      </w:r>
      <w:r w:rsidR="0016601A" w:rsidRPr="002B4E2A">
        <w:rPr>
          <w:rFonts w:ascii="Times New Roman" w:hAnsi="Times New Roman"/>
          <w:sz w:val="22"/>
          <w:szCs w:val="22"/>
          <w:lang w:eastAsia="zh-CN"/>
        </w:rPr>
        <w:t>stakeholder engagement</w:t>
      </w:r>
      <w:r w:rsidR="1C30DF43" w:rsidRPr="002B4E2A">
        <w:rPr>
          <w:rFonts w:ascii="Times New Roman" w:hAnsi="Times New Roman"/>
          <w:sz w:val="22"/>
          <w:szCs w:val="22"/>
          <w:lang w:eastAsia="zh-CN"/>
        </w:rPr>
        <w:t xml:space="preserve"> and</w:t>
      </w:r>
      <w:r w:rsidR="0016601A" w:rsidRPr="002B4E2A">
        <w:rPr>
          <w:rFonts w:ascii="Times New Roman" w:hAnsi="Times New Roman"/>
          <w:sz w:val="22"/>
          <w:szCs w:val="22"/>
          <w:lang w:eastAsia="zh-CN"/>
        </w:rPr>
        <w:t xml:space="preserve"> communications</w:t>
      </w:r>
      <w:r w:rsidR="47965B9A" w:rsidRPr="002B4E2A">
        <w:rPr>
          <w:rFonts w:ascii="Times New Roman" w:hAnsi="Times New Roman"/>
          <w:sz w:val="22"/>
          <w:szCs w:val="22"/>
          <w:lang w:eastAsia="zh-CN"/>
        </w:rPr>
        <w:t xml:space="preserve"> to inform</w:t>
      </w:r>
      <w:r w:rsidR="5248D186" w:rsidRPr="002B4E2A">
        <w:rPr>
          <w:rFonts w:ascii="Times New Roman" w:hAnsi="Times New Roman"/>
          <w:sz w:val="22"/>
          <w:szCs w:val="22"/>
          <w:lang w:eastAsia="zh-CN"/>
        </w:rPr>
        <w:t xml:space="preserve"> fund design and</w:t>
      </w:r>
      <w:r w:rsidR="47965B9A" w:rsidRPr="002B4E2A">
        <w:rPr>
          <w:rFonts w:ascii="Times New Roman" w:hAnsi="Times New Roman"/>
          <w:sz w:val="22"/>
          <w:szCs w:val="22"/>
          <w:lang w:eastAsia="zh-CN"/>
        </w:rPr>
        <w:t xml:space="preserve"> the</w:t>
      </w:r>
      <w:r w:rsidR="0016601A" w:rsidRPr="002B4E2A">
        <w:rPr>
          <w:rFonts w:ascii="Times New Roman" w:hAnsi="Times New Roman"/>
          <w:sz w:val="22"/>
          <w:szCs w:val="22"/>
          <w:lang w:eastAsia="zh-CN"/>
        </w:rPr>
        <w:t xml:space="preserve"> preparation of proposals</w:t>
      </w:r>
      <w:r w:rsidR="1A556687" w:rsidRPr="002B4E2A">
        <w:rPr>
          <w:rFonts w:ascii="Times New Roman" w:hAnsi="Times New Roman"/>
          <w:sz w:val="22"/>
          <w:szCs w:val="22"/>
          <w:lang w:eastAsia="zh-CN"/>
        </w:rPr>
        <w:t xml:space="preserve">, </w:t>
      </w:r>
      <w:r w:rsidR="6884559F" w:rsidRPr="002B4E2A">
        <w:rPr>
          <w:rFonts w:ascii="Times New Roman" w:hAnsi="Times New Roman"/>
          <w:sz w:val="22"/>
          <w:szCs w:val="22"/>
          <w:lang w:eastAsia="zh-CN"/>
        </w:rPr>
        <w:t>including</w:t>
      </w:r>
      <w:r w:rsidR="1A556687" w:rsidRPr="002B4E2A">
        <w:rPr>
          <w:rFonts w:ascii="Times New Roman" w:hAnsi="Times New Roman"/>
          <w:sz w:val="22"/>
          <w:szCs w:val="22"/>
          <w:lang w:eastAsia="zh-CN"/>
        </w:rPr>
        <w:t xml:space="preserve"> </w:t>
      </w:r>
      <w:r w:rsidR="2F665A16" w:rsidRPr="002B4E2A">
        <w:rPr>
          <w:rFonts w:ascii="Times New Roman" w:hAnsi="Times New Roman"/>
          <w:sz w:val="22"/>
          <w:szCs w:val="22"/>
          <w:lang w:eastAsia="zh-CN"/>
        </w:rPr>
        <w:t>institutional operational frameworks</w:t>
      </w:r>
      <w:r w:rsidR="19110CEF" w:rsidRPr="002B4E2A">
        <w:rPr>
          <w:rFonts w:ascii="Times New Roman" w:hAnsi="Times New Roman"/>
          <w:sz w:val="22"/>
          <w:szCs w:val="22"/>
          <w:lang w:eastAsia="zh-CN"/>
        </w:rPr>
        <w:t xml:space="preserve"> such as </w:t>
      </w:r>
      <w:r w:rsidR="1A556687" w:rsidRPr="002B4E2A">
        <w:rPr>
          <w:rFonts w:ascii="Times New Roman" w:hAnsi="Times New Roman"/>
          <w:sz w:val="22"/>
          <w:szCs w:val="22"/>
          <w:lang w:eastAsia="zh-CN"/>
        </w:rPr>
        <w:t xml:space="preserve">guidance manuals, for </w:t>
      </w:r>
      <w:r w:rsidR="1A556687" w:rsidRPr="002B4E2A">
        <w:rPr>
          <w:rFonts w:ascii="Times New Roman" w:hAnsi="Times New Roman"/>
          <w:sz w:val="22"/>
          <w:szCs w:val="22"/>
        </w:rPr>
        <w:t>multilateral climate funds</w:t>
      </w:r>
      <w:proofErr w:type="gramStart"/>
      <w:r w:rsidR="1A556687" w:rsidRPr="002B4E2A">
        <w:rPr>
          <w:rFonts w:ascii="Times New Roman" w:hAnsi="Times New Roman"/>
          <w:sz w:val="22"/>
          <w:szCs w:val="22"/>
        </w:rPr>
        <w:t>.</w:t>
      </w:r>
      <w:r w:rsidR="0016601A" w:rsidRPr="002B4E2A">
        <w:rPr>
          <w:rFonts w:ascii="Times New Roman" w:hAnsi="Times New Roman"/>
          <w:sz w:val="22"/>
          <w:szCs w:val="22"/>
          <w:lang w:eastAsia="zh-CN"/>
        </w:rPr>
        <w:t xml:space="preserve"> .</w:t>
      </w:r>
      <w:proofErr w:type="gramEnd"/>
    </w:p>
    <w:p w14:paraId="011279AD" w14:textId="140C2E5A" w:rsidR="0016601A" w:rsidRPr="002B4E2A" w:rsidRDefault="00AA35A1" w:rsidP="00E5009F">
      <w:pPr>
        <w:widowControl/>
        <w:autoSpaceDE/>
        <w:autoSpaceDN/>
        <w:adjustRightInd/>
        <w:rPr>
          <w:rFonts w:ascii="Times New Roman" w:hAnsi="Times New Roman"/>
          <w:sz w:val="22"/>
          <w:szCs w:val="22"/>
          <w:lang w:eastAsia="zh-CN"/>
        </w:rPr>
      </w:pPr>
      <w:r w:rsidRPr="002B4E2A">
        <w:rPr>
          <w:rFonts w:ascii="Times New Roman" w:hAnsi="Times New Roman"/>
          <w:sz w:val="22"/>
          <w:szCs w:val="22"/>
          <w:lang w:eastAsia="zh-CN"/>
        </w:rPr>
        <w:t>7</w:t>
      </w:r>
      <w:r w:rsidR="000A3D0D" w:rsidRPr="002B4E2A">
        <w:rPr>
          <w:rFonts w:ascii="Times New Roman" w:hAnsi="Times New Roman"/>
          <w:sz w:val="22"/>
          <w:szCs w:val="22"/>
          <w:lang w:eastAsia="zh-CN"/>
        </w:rPr>
        <w:t>.0</w:t>
      </w:r>
      <w:r w:rsidR="00A0115B">
        <w:rPr>
          <w:rFonts w:ascii="Times New Roman" w:hAnsi="Times New Roman"/>
          <w:sz w:val="22"/>
          <w:szCs w:val="22"/>
          <w:lang w:eastAsia="zh-CN"/>
        </w:rPr>
        <w:t>3</w:t>
      </w:r>
      <w:r w:rsidR="00A0115B">
        <w:rPr>
          <w:rFonts w:ascii="Times New Roman" w:hAnsi="Times New Roman"/>
          <w:sz w:val="22"/>
          <w:szCs w:val="22"/>
          <w:lang w:eastAsia="zh-CN"/>
        </w:rPr>
        <w:tab/>
      </w:r>
      <w:r w:rsidR="0016601A" w:rsidRPr="002B4E2A">
        <w:rPr>
          <w:rFonts w:ascii="Times New Roman" w:hAnsi="Times New Roman"/>
          <w:sz w:val="22"/>
          <w:szCs w:val="22"/>
          <w:lang w:eastAsia="zh-CN"/>
        </w:rPr>
        <w:t xml:space="preserve">The </w:t>
      </w:r>
      <w:r w:rsidR="008D555A" w:rsidRPr="002B4E2A">
        <w:rPr>
          <w:rFonts w:ascii="Times New Roman" w:hAnsi="Times New Roman"/>
          <w:sz w:val="22"/>
          <w:szCs w:val="22"/>
          <w:lang w:eastAsia="zh-CN"/>
        </w:rPr>
        <w:t>Consulting Firm</w:t>
      </w:r>
      <w:r w:rsidR="0016601A" w:rsidRPr="002B4E2A">
        <w:rPr>
          <w:rFonts w:ascii="Times New Roman" w:hAnsi="Times New Roman"/>
          <w:sz w:val="22"/>
          <w:szCs w:val="22"/>
          <w:lang w:eastAsia="zh-CN"/>
        </w:rPr>
        <w:t xml:space="preserve"> should demonstrate:</w:t>
      </w:r>
    </w:p>
    <w:p w14:paraId="31C774BF" w14:textId="77777777" w:rsidR="0016601A" w:rsidRPr="002B4E2A" w:rsidRDefault="0016601A" w:rsidP="00E5009F">
      <w:pPr>
        <w:widowControl/>
        <w:autoSpaceDE/>
        <w:autoSpaceDN/>
        <w:adjustRightInd/>
        <w:rPr>
          <w:rFonts w:ascii="Times New Roman" w:hAnsi="Times New Roman"/>
          <w:sz w:val="22"/>
          <w:szCs w:val="22"/>
          <w:lang w:eastAsia="zh-CN"/>
        </w:rPr>
      </w:pPr>
    </w:p>
    <w:p w14:paraId="3CD283CA" w14:textId="223F6B66" w:rsidR="0016601A" w:rsidRDefault="0016601A" w:rsidP="00E5009F">
      <w:pPr>
        <w:widowControl/>
        <w:numPr>
          <w:ilvl w:val="0"/>
          <w:numId w:val="25"/>
        </w:numPr>
        <w:tabs>
          <w:tab w:val="clear" w:pos="720"/>
          <w:tab w:val="num" w:pos="1440"/>
        </w:tabs>
        <w:autoSpaceDE/>
        <w:autoSpaceDN/>
        <w:adjustRightInd/>
        <w:ind w:left="1440" w:hanging="720"/>
        <w:jc w:val="both"/>
        <w:rPr>
          <w:rFonts w:ascii="Times New Roman" w:hAnsi="Times New Roman"/>
          <w:sz w:val="22"/>
          <w:szCs w:val="22"/>
          <w:lang w:eastAsia="zh-CN"/>
        </w:rPr>
      </w:pPr>
      <w:r w:rsidRPr="002B4E2A">
        <w:rPr>
          <w:rFonts w:ascii="Times New Roman" w:hAnsi="Times New Roman"/>
          <w:sz w:val="22"/>
          <w:szCs w:val="22"/>
          <w:lang w:eastAsia="zh-CN"/>
        </w:rPr>
        <w:t>At least two successfully completed assignments of similar scope in the past five years.</w:t>
      </w:r>
    </w:p>
    <w:p w14:paraId="7316C116" w14:textId="28580CBE" w:rsidR="0016601A" w:rsidRPr="002B4E2A" w:rsidRDefault="0016601A" w:rsidP="00E5009F">
      <w:pPr>
        <w:widowControl/>
        <w:numPr>
          <w:ilvl w:val="0"/>
          <w:numId w:val="25"/>
        </w:numPr>
        <w:tabs>
          <w:tab w:val="clear" w:pos="720"/>
          <w:tab w:val="num" w:pos="1440"/>
        </w:tabs>
        <w:autoSpaceDE/>
        <w:autoSpaceDN/>
        <w:adjustRightInd/>
        <w:ind w:left="1440" w:hanging="720"/>
        <w:jc w:val="both"/>
        <w:rPr>
          <w:rFonts w:ascii="Times New Roman" w:hAnsi="Times New Roman"/>
          <w:sz w:val="22"/>
          <w:szCs w:val="22"/>
          <w:lang w:eastAsia="zh-CN"/>
        </w:rPr>
      </w:pPr>
      <w:r w:rsidRPr="002B4E2A">
        <w:rPr>
          <w:rFonts w:ascii="Times New Roman" w:hAnsi="Times New Roman"/>
          <w:sz w:val="22"/>
          <w:szCs w:val="22"/>
          <w:lang w:eastAsia="zh-CN"/>
        </w:rPr>
        <w:t>Proven capacity to lead multi-stakeholder consultations and deliver outputs remotely.</w:t>
      </w:r>
    </w:p>
    <w:p w14:paraId="4AFA5317" w14:textId="284A52C4" w:rsidR="0016601A" w:rsidRPr="002B4E2A" w:rsidRDefault="0016601A" w:rsidP="00E5009F">
      <w:pPr>
        <w:widowControl/>
        <w:numPr>
          <w:ilvl w:val="0"/>
          <w:numId w:val="25"/>
        </w:numPr>
        <w:tabs>
          <w:tab w:val="clear" w:pos="720"/>
          <w:tab w:val="num" w:pos="1440"/>
        </w:tabs>
        <w:autoSpaceDE/>
        <w:autoSpaceDN/>
        <w:adjustRightInd/>
        <w:ind w:left="1440" w:hanging="720"/>
        <w:jc w:val="both"/>
        <w:rPr>
          <w:rFonts w:ascii="Times New Roman" w:hAnsi="Times New Roman"/>
          <w:sz w:val="22"/>
          <w:szCs w:val="22"/>
          <w:lang w:eastAsia="zh-CN"/>
        </w:rPr>
      </w:pPr>
      <w:r w:rsidRPr="002B4E2A">
        <w:rPr>
          <w:rFonts w:ascii="Times New Roman" w:hAnsi="Times New Roman"/>
          <w:sz w:val="22"/>
          <w:szCs w:val="22"/>
          <w:lang w:eastAsia="zh-CN"/>
        </w:rPr>
        <w:t>Strong understanding of regional development priorities, e-mobility ecosystems, and climate resilience strategies</w:t>
      </w:r>
      <w:r w:rsidR="00F36B21" w:rsidRPr="002B4E2A">
        <w:rPr>
          <w:rFonts w:ascii="Times New Roman" w:hAnsi="Times New Roman"/>
          <w:sz w:val="22"/>
          <w:szCs w:val="22"/>
          <w:lang w:eastAsia="zh-CN"/>
        </w:rPr>
        <w:t xml:space="preserve">. Prior experience in the Caribbean region would be considered an asset. </w:t>
      </w:r>
    </w:p>
    <w:p w14:paraId="00527AFE" w14:textId="537F81AD" w:rsidR="0016601A" w:rsidRPr="002B4E2A" w:rsidRDefault="0016601A" w:rsidP="00E5009F">
      <w:pPr>
        <w:widowControl/>
        <w:numPr>
          <w:ilvl w:val="0"/>
          <w:numId w:val="25"/>
        </w:numPr>
        <w:tabs>
          <w:tab w:val="clear" w:pos="720"/>
          <w:tab w:val="num" w:pos="1440"/>
        </w:tabs>
        <w:autoSpaceDE/>
        <w:autoSpaceDN/>
        <w:adjustRightInd/>
        <w:ind w:left="1440" w:hanging="720"/>
        <w:jc w:val="both"/>
        <w:rPr>
          <w:rFonts w:ascii="Times New Roman" w:hAnsi="Times New Roman"/>
          <w:sz w:val="22"/>
          <w:szCs w:val="22"/>
          <w:lang w:eastAsia="zh-CN"/>
        </w:rPr>
      </w:pPr>
      <w:proofErr w:type="spellStart"/>
      <w:r w:rsidRPr="002B4E2A">
        <w:rPr>
          <w:rFonts w:ascii="Times New Roman" w:hAnsi="Times New Roman"/>
          <w:sz w:val="22"/>
          <w:szCs w:val="22"/>
          <w:lang w:eastAsia="zh-CN"/>
        </w:rPr>
        <w:t>Organisational</w:t>
      </w:r>
      <w:proofErr w:type="spellEnd"/>
      <w:r w:rsidRPr="002B4E2A">
        <w:rPr>
          <w:rFonts w:ascii="Times New Roman" w:hAnsi="Times New Roman"/>
          <w:sz w:val="22"/>
          <w:szCs w:val="22"/>
          <w:lang w:eastAsia="zh-CN"/>
        </w:rPr>
        <w:t xml:space="preserve"> capacity to manage a multidisciplinary team and meet tight deadlines.</w:t>
      </w:r>
    </w:p>
    <w:p w14:paraId="77450962" w14:textId="77777777" w:rsidR="0016601A" w:rsidRDefault="0016601A" w:rsidP="00E5009F">
      <w:pPr>
        <w:widowControl/>
        <w:numPr>
          <w:ilvl w:val="0"/>
          <w:numId w:val="25"/>
        </w:numPr>
        <w:tabs>
          <w:tab w:val="clear" w:pos="720"/>
          <w:tab w:val="num" w:pos="1440"/>
        </w:tabs>
        <w:autoSpaceDE/>
        <w:autoSpaceDN/>
        <w:adjustRightInd/>
        <w:ind w:left="1440" w:hanging="720"/>
        <w:jc w:val="both"/>
        <w:rPr>
          <w:rFonts w:ascii="Times New Roman" w:hAnsi="Times New Roman"/>
          <w:sz w:val="22"/>
          <w:szCs w:val="22"/>
          <w:lang w:eastAsia="zh-CN"/>
        </w:rPr>
      </w:pPr>
      <w:r w:rsidRPr="002B4E2A">
        <w:rPr>
          <w:rFonts w:ascii="Times New Roman" w:hAnsi="Times New Roman"/>
          <w:sz w:val="22"/>
          <w:szCs w:val="22"/>
          <w:lang w:eastAsia="zh-CN"/>
        </w:rPr>
        <w:t>Fluency in written and spoken English and excellent communication skills are essential.</w:t>
      </w:r>
    </w:p>
    <w:p w14:paraId="3B839D3A" w14:textId="22002BC0" w:rsidR="00E5009F" w:rsidRDefault="00E5009F" w:rsidP="00E5009F">
      <w:pPr>
        <w:widowControl/>
        <w:autoSpaceDE/>
        <w:autoSpaceDN/>
        <w:adjustRightInd/>
        <w:ind w:left="1440"/>
        <w:jc w:val="both"/>
        <w:rPr>
          <w:rFonts w:ascii="Times New Roman" w:hAnsi="Times New Roman"/>
          <w:sz w:val="22"/>
          <w:szCs w:val="22"/>
          <w:lang w:eastAsia="zh-CN"/>
        </w:rPr>
      </w:pPr>
      <w:r>
        <w:rPr>
          <w:rFonts w:ascii="Times New Roman" w:hAnsi="Times New Roman"/>
          <w:sz w:val="22"/>
          <w:szCs w:val="22"/>
          <w:lang w:eastAsia="zh-CN"/>
        </w:rPr>
        <w:br w:type="page"/>
      </w:r>
    </w:p>
    <w:p w14:paraId="4EE01D1F" w14:textId="7725407B" w:rsidR="008B2600" w:rsidRDefault="008D0BA7" w:rsidP="00E5009F">
      <w:pPr>
        <w:widowControl/>
        <w:autoSpaceDE/>
        <w:autoSpaceDN/>
        <w:adjustRightInd/>
        <w:rPr>
          <w:rFonts w:ascii="Times New Roman" w:hAnsi="Times New Roman"/>
          <w:sz w:val="22"/>
          <w:szCs w:val="22"/>
          <w:lang w:eastAsia="zh-CN"/>
        </w:rPr>
      </w:pPr>
      <w:r>
        <w:rPr>
          <w:rFonts w:ascii="Times New Roman" w:hAnsi="Times New Roman"/>
          <w:sz w:val="22"/>
          <w:szCs w:val="22"/>
          <w:lang w:eastAsia="zh-CN"/>
        </w:rPr>
        <w:lastRenderedPageBreak/>
        <w:t>7.04</w:t>
      </w:r>
      <w:r>
        <w:rPr>
          <w:rFonts w:ascii="Times New Roman" w:hAnsi="Times New Roman"/>
          <w:sz w:val="22"/>
          <w:szCs w:val="22"/>
          <w:lang w:eastAsia="zh-CN"/>
        </w:rPr>
        <w:tab/>
      </w:r>
      <w:r w:rsidR="0016601A" w:rsidRPr="002B4E2A">
        <w:rPr>
          <w:rFonts w:ascii="Times New Roman" w:hAnsi="Times New Roman"/>
          <w:sz w:val="22"/>
          <w:szCs w:val="22"/>
          <w:lang w:eastAsia="zh-CN"/>
        </w:rPr>
        <w:t xml:space="preserve">At a minimum, the </w:t>
      </w:r>
      <w:r w:rsidR="008D555A" w:rsidRPr="002B4E2A">
        <w:rPr>
          <w:rFonts w:ascii="Times New Roman" w:hAnsi="Times New Roman"/>
          <w:sz w:val="22"/>
          <w:szCs w:val="22"/>
          <w:lang w:eastAsia="zh-CN"/>
        </w:rPr>
        <w:t>Consulting Firm</w:t>
      </w:r>
      <w:r w:rsidR="0016601A" w:rsidRPr="002B4E2A">
        <w:rPr>
          <w:rFonts w:ascii="Times New Roman" w:hAnsi="Times New Roman"/>
          <w:sz w:val="22"/>
          <w:szCs w:val="22"/>
          <w:lang w:eastAsia="zh-CN"/>
        </w:rPr>
        <w:t>’s proposed team shall include the following key experts:</w:t>
      </w:r>
    </w:p>
    <w:p w14:paraId="68D81564" w14:textId="77777777" w:rsidR="008B2600" w:rsidRPr="002B4E2A" w:rsidRDefault="008B2600" w:rsidP="00E5009F">
      <w:pPr>
        <w:widowControl/>
        <w:autoSpaceDE/>
        <w:autoSpaceDN/>
        <w:adjustRightInd/>
        <w:rPr>
          <w:rFonts w:ascii="Times New Roman" w:hAnsi="Times New Roman"/>
          <w:sz w:val="22"/>
          <w:szCs w:val="22"/>
          <w:lang w:eastAsia="zh-CN"/>
        </w:rPr>
      </w:pPr>
    </w:p>
    <w:p w14:paraId="72BFBDEE" w14:textId="571B8047" w:rsidR="0016601A" w:rsidRPr="00E5009F" w:rsidRDefault="0016601A" w:rsidP="00E5009F">
      <w:pPr>
        <w:pStyle w:val="ListParagraph"/>
        <w:numPr>
          <w:ilvl w:val="1"/>
          <w:numId w:val="25"/>
        </w:numPr>
        <w:outlineLvl w:val="2"/>
        <w:rPr>
          <w:b/>
          <w:sz w:val="22"/>
          <w:szCs w:val="22"/>
          <w:lang w:eastAsia="zh-CN"/>
        </w:rPr>
      </w:pPr>
      <w:r w:rsidRPr="00E5009F">
        <w:rPr>
          <w:b/>
          <w:sz w:val="22"/>
          <w:szCs w:val="22"/>
          <w:lang w:eastAsia="zh-CN"/>
        </w:rPr>
        <w:t>Team Leader / Fund Design and Project Preparation Specialist</w:t>
      </w:r>
    </w:p>
    <w:p w14:paraId="597E2342" w14:textId="77777777" w:rsidR="00E5009F" w:rsidRPr="00E5009F" w:rsidRDefault="00E5009F" w:rsidP="00E5009F">
      <w:pPr>
        <w:pStyle w:val="ListParagraph"/>
        <w:ind w:left="1800"/>
        <w:outlineLvl w:val="2"/>
        <w:rPr>
          <w:b/>
          <w:sz w:val="22"/>
          <w:szCs w:val="22"/>
          <w:lang w:eastAsia="zh-CN"/>
        </w:rPr>
      </w:pPr>
    </w:p>
    <w:p w14:paraId="40E65576" w14:textId="77777777" w:rsidR="0016601A" w:rsidRPr="002B4E2A" w:rsidRDefault="0016601A" w:rsidP="00E5009F">
      <w:pPr>
        <w:widowControl/>
        <w:numPr>
          <w:ilvl w:val="0"/>
          <w:numId w:val="22"/>
        </w:numPr>
        <w:autoSpaceDE/>
        <w:autoSpaceDN/>
        <w:adjustRightInd/>
        <w:ind w:left="2160" w:hanging="720"/>
        <w:jc w:val="both"/>
        <w:rPr>
          <w:rFonts w:ascii="Times New Roman" w:hAnsi="Times New Roman"/>
          <w:sz w:val="22"/>
          <w:szCs w:val="22"/>
          <w:lang w:eastAsia="zh-CN"/>
        </w:rPr>
      </w:pPr>
      <w:r w:rsidRPr="002B4E2A">
        <w:rPr>
          <w:rFonts w:ascii="Times New Roman" w:hAnsi="Times New Roman"/>
          <w:sz w:val="22"/>
          <w:szCs w:val="22"/>
          <w:lang w:eastAsia="zh-CN"/>
        </w:rPr>
        <w:t xml:space="preserve">A minimum of a </w:t>
      </w:r>
      <w:proofErr w:type="gramStart"/>
      <w:r w:rsidRPr="002B4E2A">
        <w:rPr>
          <w:rFonts w:ascii="Times New Roman" w:hAnsi="Times New Roman"/>
          <w:sz w:val="22"/>
          <w:szCs w:val="22"/>
          <w:lang w:eastAsia="zh-CN"/>
        </w:rPr>
        <w:t>Master's degree in finance</w:t>
      </w:r>
      <w:proofErr w:type="gramEnd"/>
      <w:r w:rsidRPr="002B4E2A">
        <w:rPr>
          <w:rFonts w:ascii="Times New Roman" w:hAnsi="Times New Roman"/>
          <w:sz w:val="22"/>
          <w:szCs w:val="22"/>
          <w:lang w:eastAsia="zh-CN"/>
        </w:rPr>
        <w:t>, public policy, economics, or related field.</w:t>
      </w:r>
    </w:p>
    <w:p w14:paraId="5F696F66" w14:textId="77777777" w:rsidR="0016601A" w:rsidRPr="002B4E2A" w:rsidRDefault="0016601A" w:rsidP="00E5009F">
      <w:pPr>
        <w:widowControl/>
        <w:numPr>
          <w:ilvl w:val="0"/>
          <w:numId w:val="22"/>
        </w:numPr>
        <w:autoSpaceDE/>
        <w:autoSpaceDN/>
        <w:adjustRightInd/>
        <w:ind w:left="2160" w:hanging="720"/>
        <w:jc w:val="both"/>
        <w:rPr>
          <w:rFonts w:ascii="Times New Roman" w:hAnsi="Times New Roman"/>
          <w:sz w:val="22"/>
          <w:szCs w:val="22"/>
          <w:lang w:eastAsia="zh-CN"/>
        </w:rPr>
      </w:pPr>
      <w:r w:rsidRPr="002B4E2A">
        <w:rPr>
          <w:rFonts w:ascii="Times New Roman" w:hAnsi="Times New Roman"/>
          <w:sz w:val="22"/>
          <w:szCs w:val="22"/>
          <w:lang w:eastAsia="zh-CN"/>
        </w:rPr>
        <w:t>At least 10 years’ experience in climate finance, fund structuring, or infrastructure development in developing country contexts.</w:t>
      </w:r>
    </w:p>
    <w:p w14:paraId="6AE38C98" w14:textId="7A07E314" w:rsidR="0016601A" w:rsidRPr="002B4E2A" w:rsidRDefault="0016601A" w:rsidP="00E5009F">
      <w:pPr>
        <w:widowControl/>
        <w:numPr>
          <w:ilvl w:val="0"/>
          <w:numId w:val="22"/>
        </w:numPr>
        <w:autoSpaceDE/>
        <w:autoSpaceDN/>
        <w:adjustRightInd/>
        <w:ind w:left="2160" w:hanging="720"/>
        <w:jc w:val="both"/>
        <w:rPr>
          <w:rFonts w:ascii="Times New Roman" w:hAnsi="Times New Roman"/>
          <w:sz w:val="22"/>
          <w:szCs w:val="22"/>
          <w:lang w:eastAsia="zh-CN"/>
        </w:rPr>
      </w:pPr>
      <w:r w:rsidRPr="002B4E2A">
        <w:rPr>
          <w:rFonts w:ascii="Times New Roman" w:hAnsi="Times New Roman"/>
          <w:sz w:val="22"/>
          <w:szCs w:val="22"/>
          <w:lang w:eastAsia="zh-CN"/>
        </w:rPr>
        <w:t xml:space="preserve">Demonstrated experience designing and </w:t>
      </w:r>
      <w:proofErr w:type="spellStart"/>
      <w:r w:rsidRPr="002B4E2A">
        <w:rPr>
          <w:rFonts w:ascii="Times New Roman" w:hAnsi="Times New Roman"/>
          <w:sz w:val="22"/>
          <w:szCs w:val="22"/>
          <w:lang w:eastAsia="zh-CN"/>
        </w:rPr>
        <w:t>operationalising</w:t>
      </w:r>
      <w:proofErr w:type="spellEnd"/>
      <w:r w:rsidRPr="002B4E2A">
        <w:rPr>
          <w:rFonts w:ascii="Times New Roman" w:hAnsi="Times New Roman"/>
          <w:sz w:val="22"/>
          <w:szCs w:val="22"/>
          <w:lang w:eastAsia="zh-CN"/>
        </w:rPr>
        <w:t xml:space="preserve"> multi-donor funds, preferably with MDBs.</w:t>
      </w:r>
    </w:p>
    <w:p w14:paraId="36959CAE" w14:textId="77777777" w:rsidR="0016601A" w:rsidRPr="002B4E2A" w:rsidRDefault="0016601A" w:rsidP="00E5009F">
      <w:pPr>
        <w:widowControl/>
        <w:numPr>
          <w:ilvl w:val="0"/>
          <w:numId w:val="22"/>
        </w:numPr>
        <w:autoSpaceDE/>
        <w:autoSpaceDN/>
        <w:adjustRightInd/>
        <w:ind w:left="2160" w:hanging="720"/>
        <w:jc w:val="both"/>
        <w:rPr>
          <w:rFonts w:ascii="Times New Roman" w:hAnsi="Times New Roman"/>
          <w:sz w:val="22"/>
          <w:szCs w:val="22"/>
          <w:lang w:eastAsia="zh-CN"/>
        </w:rPr>
      </w:pPr>
      <w:r w:rsidRPr="002B4E2A">
        <w:rPr>
          <w:rFonts w:ascii="Times New Roman" w:hAnsi="Times New Roman"/>
          <w:sz w:val="22"/>
          <w:szCs w:val="22"/>
          <w:lang w:eastAsia="zh-CN"/>
        </w:rPr>
        <w:t>Proven leadership in managing multidisciplinary teams and engaging donor partners.</w:t>
      </w:r>
    </w:p>
    <w:p w14:paraId="24A8839F" w14:textId="77777777" w:rsidR="0016601A" w:rsidRDefault="0016601A" w:rsidP="00E5009F">
      <w:pPr>
        <w:widowControl/>
        <w:numPr>
          <w:ilvl w:val="0"/>
          <w:numId w:val="22"/>
        </w:numPr>
        <w:autoSpaceDE/>
        <w:autoSpaceDN/>
        <w:adjustRightInd/>
        <w:ind w:left="2160" w:hanging="720"/>
        <w:jc w:val="both"/>
        <w:rPr>
          <w:rFonts w:ascii="Times New Roman" w:hAnsi="Times New Roman"/>
          <w:sz w:val="22"/>
          <w:szCs w:val="22"/>
          <w:lang w:eastAsia="zh-CN"/>
        </w:rPr>
      </w:pPr>
      <w:r w:rsidRPr="002B4E2A">
        <w:rPr>
          <w:rFonts w:ascii="Times New Roman" w:hAnsi="Times New Roman"/>
          <w:sz w:val="22"/>
          <w:szCs w:val="22"/>
          <w:lang w:eastAsia="zh-CN"/>
        </w:rPr>
        <w:t>Excellent analytical and report writing skills; fluency in English is required.</w:t>
      </w:r>
    </w:p>
    <w:p w14:paraId="1B98ED39" w14:textId="77777777" w:rsidR="008B2600" w:rsidRPr="002B4E2A" w:rsidRDefault="008B2600" w:rsidP="00E5009F">
      <w:pPr>
        <w:widowControl/>
        <w:autoSpaceDE/>
        <w:autoSpaceDN/>
        <w:adjustRightInd/>
        <w:ind w:left="2160"/>
        <w:jc w:val="both"/>
        <w:rPr>
          <w:rFonts w:ascii="Times New Roman" w:hAnsi="Times New Roman"/>
          <w:sz w:val="22"/>
          <w:szCs w:val="22"/>
          <w:lang w:eastAsia="zh-CN"/>
        </w:rPr>
      </w:pPr>
    </w:p>
    <w:p w14:paraId="563C045A" w14:textId="46DC65EA" w:rsidR="0016601A" w:rsidRDefault="0016601A" w:rsidP="00E5009F">
      <w:pPr>
        <w:pStyle w:val="ListParagraph"/>
        <w:numPr>
          <w:ilvl w:val="0"/>
          <w:numId w:val="21"/>
        </w:numPr>
        <w:ind w:firstLine="0"/>
        <w:outlineLvl w:val="2"/>
        <w:rPr>
          <w:b/>
          <w:sz w:val="22"/>
          <w:szCs w:val="22"/>
          <w:lang w:eastAsia="zh-CN"/>
        </w:rPr>
      </w:pPr>
      <w:r w:rsidRPr="00795A93">
        <w:rPr>
          <w:b/>
          <w:sz w:val="22"/>
          <w:szCs w:val="22"/>
          <w:lang w:eastAsia="zh-CN"/>
        </w:rPr>
        <w:t>E-Mobility and Sustainable Transport Advisor</w:t>
      </w:r>
    </w:p>
    <w:p w14:paraId="0AACF506" w14:textId="77777777" w:rsidR="005F03D3" w:rsidRPr="00795A93" w:rsidRDefault="005F03D3" w:rsidP="005F03D3">
      <w:pPr>
        <w:pStyle w:val="ListParagraph"/>
        <w:outlineLvl w:val="2"/>
        <w:rPr>
          <w:b/>
          <w:sz w:val="22"/>
          <w:szCs w:val="22"/>
          <w:lang w:eastAsia="zh-CN"/>
        </w:rPr>
      </w:pPr>
    </w:p>
    <w:p w14:paraId="577FC6F0" w14:textId="77777777" w:rsidR="0016601A" w:rsidRPr="002B4E2A" w:rsidRDefault="0016601A" w:rsidP="00E5009F">
      <w:pPr>
        <w:widowControl/>
        <w:numPr>
          <w:ilvl w:val="0"/>
          <w:numId w:val="23"/>
        </w:numPr>
        <w:autoSpaceDE/>
        <w:autoSpaceDN/>
        <w:adjustRightInd/>
        <w:ind w:left="2160" w:hanging="720"/>
        <w:jc w:val="both"/>
        <w:rPr>
          <w:rFonts w:ascii="Times New Roman" w:hAnsi="Times New Roman"/>
          <w:sz w:val="22"/>
          <w:szCs w:val="22"/>
          <w:lang w:eastAsia="zh-CN"/>
        </w:rPr>
      </w:pPr>
      <w:r w:rsidRPr="002B4E2A">
        <w:rPr>
          <w:rFonts w:ascii="Times New Roman" w:hAnsi="Times New Roman"/>
          <w:sz w:val="22"/>
          <w:szCs w:val="22"/>
          <w:lang w:eastAsia="zh-CN"/>
        </w:rPr>
        <w:t>A degree in transport planning, engineering, energy systems, or a related discipline.</w:t>
      </w:r>
    </w:p>
    <w:p w14:paraId="5BFFC1A6" w14:textId="77777777" w:rsidR="0016601A" w:rsidRPr="002B4E2A" w:rsidRDefault="0016601A" w:rsidP="00E5009F">
      <w:pPr>
        <w:widowControl/>
        <w:numPr>
          <w:ilvl w:val="0"/>
          <w:numId w:val="23"/>
        </w:numPr>
        <w:autoSpaceDE/>
        <w:autoSpaceDN/>
        <w:adjustRightInd/>
        <w:ind w:left="2160" w:hanging="720"/>
        <w:jc w:val="both"/>
        <w:rPr>
          <w:rFonts w:ascii="Times New Roman" w:hAnsi="Times New Roman"/>
          <w:sz w:val="22"/>
          <w:szCs w:val="22"/>
          <w:lang w:eastAsia="zh-CN"/>
        </w:rPr>
      </w:pPr>
      <w:r w:rsidRPr="002B4E2A">
        <w:rPr>
          <w:rFonts w:ascii="Times New Roman" w:hAnsi="Times New Roman"/>
          <w:sz w:val="22"/>
          <w:szCs w:val="22"/>
          <w:lang w:eastAsia="zh-CN"/>
        </w:rPr>
        <w:t>Minimum of 7 years of experience in e-mobility planning, EV infrastructure deployment, or transport energy transition projects.</w:t>
      </w:r>
    </w:p>
    <w:p w14:paraId="7DB4DCAF" w14:textId="77777777" w:rsidR="0016601A" w:rsidRPr="002B4E2A" w:rsidRDefault="0016601A" w:rsidP="00E5009F">
      <w:pPr>
        <w:widowControl/>
        <w:numPr>
          <w:ilvl w:val="0"/>
          <w:numId w:val="23"/>
        </w:numPr>
        <w:autoSpaceDE/>
        <w:autoSpaceDN/>
        <w:adjustRightInd/>
        <w:ind w:left="2160" w:hanging="720"/>
        <w:jc w:val="both"/>
        <w:rPr>
          <w:rFonts w:ascii="Times New Roman" w:hAnsi="Times New Roman"/>
          <w:sz w:val="22"/>
          <w:szCs w:val="22"/>
          <w:lang w:eastAsia="zh-CN"/>
        </w:rPr>
      </w:pPr>
      <w:r w:rsidRPr="002B4E2A">
        <w:rPr>
          <w:rFonts w:ascii="Times New Roman" w:hAnsi="Times New Roman"/>
          <w:sz w:val="22"/>
          <w:szCs w:val="22"/>
          <w:lang w:eastAsia="zh-CN"/>
        </w:rPr>
        <w:t>Prior work in SIDS or emerging economies is an asset.</w:t>
      </w:r>
    </w:p>
    <w:p w14:paraId="1E832E8C" w14:textId="77777777" w:rsidR="0016601A" w:rsidRDefault="0016601A" w:rsidP="00E5009F">
      <w:pPr>
        <w:widowControl/>
        <w:numPr>
          <w:ilvl w:val="0"/>
          <w:numId w:val="23"/>
        </w:numPr>
        <w:autoSpaceDE/>
        <w:autoSpaceDN/>
        <w:adjustRightInd/>
        <w:ind w:left="2160" w:hanging="720"/>
        <w:jc w:val="both"/>
        <w:rPr>
          <w:rFonts w:ascii="Times New Roman" w:hAnsi="Times New Roman"/>
          <w:sz w:val="22"/>
          <w:szCs w:val="22"/>
          <w:lang w:eastAsia="zh-CN"/>
        </w:rPr>
      </w:pPr>
      <w:r w:rsidRPr="002B4E2A">
        <w:rPr>
          <w:rFonts w:ascii="Times New Roman" w:hAnsi="Times New Roman"/>
          <w:sz w:val="22"/>
          <w:szCs w:val="22"/>
          <w:lang w:eastAsia="zh-CN"/>
        </w:rPr>
        <w:t>Demonstrated ability to assess technical, economic, and regulatory considerations related to electric mobility.</w:t>
      </w:r>
    </w:p>
    <w:p w14:paraId="02B08236" w14:textId="77777777" w:rsidR="008B2600" w:rsidRPr="002B4E2A" w:rsidRDefault="008B2600" w:rsidP="00E5009F">
      <w:pPr>
        <w:widowControl/>
        <w:autoSpaceDE/>
        <w:autoSpaceDN/>
        <w:adjustRightInd/>
        <w:ind w:left="2160"/>
        <w:jc w:val="both"/>
        <w:rPr>
          <w:rFonts w:ascii="Times New Roman" w:hAnsi="Times New Roman"/>
          <w:sz w:val="22"/>
          <w:szCs w:val="22"/>
          <w:lang w:eastAsia="zh-CN"/>
        </w:rPr>
      </w:pPr>
    </w:p>
    <w:p w14:paraId="16588655" w14:textId="70CA9BC4" w:rsidR="0016601A" w:rsidRDefault="0016601A" w:rsidP="00E5009F">
      <w:pPr>
        <w:pStyle w:val="ListParagraph"/>
        <w:numPr>
          <w:ilvl w:val="0"/>
          <w:numId w:val="21"/>
        </w:numPr>
        <w:tabs>
          <w:tab w:val="clear" w:pos="720"/>
          <w:tab w:val="num" w:pos="1440"/>
        </w:tabs>
        <w:ind w:left="1440" w:hanging="720"/>
        <w:outlineLvl w:val="2"/>
        <w:rPr>
          <w:b/>
          <w:sz w:val="22"/>
          <w:szCs w:val="22"/>
          <w:lang w:eastAsia="zh-CN"/>
        </w:rPr>
      </w:pPr>
      <w:r w:rsidRPr="00460F6B">
        <w:rPr>
          <w:b/>
          <w:sz w:val="22"/>
          <w:szCs w:val="22"/>
          <w:lang w:eastAsia="zh-CN"/>
        </w:rPr>
        <w:t>Communications and Stakeholder Engagement Specialist</w:t>
      </w:r>
    </w:p>
    <w:p w14:paraId="529963C5" w14:textId="77777777" w:rsidR="005F03D3" w:rsidRPr="00460F6B" w:rsidRDefault="005F03D3" w:rsidP="005F03D3">
      <w:pPr>
        <w:pStyle w:val="ListParagraph"/>
        <w:ind w:left="1440"/>
        <w:outlineLvl w:val="2"/>
        <w:rPr>
          <w:b/>
          <w:sz w:val="22"/>
          <w:szCs w:val="22"/>
          <w:lang w:eastAsia="zh-CN"/>
        </w:rPr>
      </w:pPr>
    </w:p>
    <w:p w14:paraId="5D261836" w14:textId="4655EE24" w:rsidR="0016601A" w:rsidRPr="002B4E2A" w:rsidRDefault="0016601A" w:rsidP="00E5009F">
      <w:pPr>
        <w:widowControl/>
        <w:numPr>
          <w:ilvl w:val="0"/>
          <w:numId w:val="24"/>
        </w:numPr>
        <w:autoSpaceDE/>
        <w:autoSpaceDN/>
        <w:adjustRightInd/>
        <w:ind w:left="2160" w:hanging="720"/>
        <w:jc w:val="both"/>
        <w:rPr>
          <w:rFonts w:ascii="Times New Roman" w:hAnsi="Times New Roman"/>
          <w:sz w:val="22"/>
          <w:szCs w:val="22"/>
          <w:lang w:eastAsia="zh-CN"/>
        </w:rPr>
      </w:pPr>
      <w:r w:rsidRPr="002B4E2A">
        <w:rPr>
          <w:rFonts w:ascii="Times New Roman" w:hAnsi="Times New Roman"/>
          <w:sz w:val="22"/>
          <w:szCs w:val="22"/>
          <w:lang w:eastAsia="zh-CN"/>
        </w:rPr>
        <w:t xml:space="preserve">A minimum of a </w:t>
      </w:r>
      <w:proofErr w:type="gramStart"/>
      <w:r w:rsidRPr="002B4E2A">
        <w:rPr>
          <w:rFonts w:ascii="Times New Roman" w:hAnsi="Times New Roman"/>
          <w:sz w:val="22"/>
          <w:szCs w:val="22"/>
          <w:lang w:eastAsia="zh-CN"/>
        </w:rPr>
        <w:t>Bachelor’s degree in communications</w:t>
      </w:r>
      <w:proofErr w:type="gramEnd"/>
      <w:r w:rsidRPr="002B4E2A">
        <w:rPr>
          <w:rFonts w:ascii="Times New Roman" w:hAnsi="Times New Roman"/>
          <w:sz w:val="22"/>
          <w:szCs w:val="22"/>
          <w:lang w:eastAsia="zh-CN"/>
        </w:rPr>
        <w:t xml:space="preserve">, public relations, development marketing, or a related field. </w:t>
      </w:r>
      <w:r w:rsidR="4FD6C4D5" w:rsidRPr="002B4E2A">
        <w:rPr>
          <w:rFonts w:ascii="Times New Roman" w:hAnsi="Times New Roman"/>
          <w:sz w:val="22"/>
          <w:szCs w:val="22"/>
          <w:lang w:eastAsia="zh-CN"/>
        </w:rPr>
        <w:t xml:space="preserve">Relevant professional </w:t>
      </w:r>
      <w:r w:rsidR="404596BB" w:rsidRPr="002B4E2A">
        <w:rPr>
          <w:rFonts w:ascii="Times New Roman" w:hAnsi="Times New Roman"/>
          <w:sz w:val="22"/>
          <w:szCs w:val="22"/>
          <w:lang w:eastAsia="zh-CN"/>
        </w:rPr>
        <w:t>c</w:t>
      </w:r>
      <w:r w:rsidRPr="002B4E2A">
        <w:rPr>
          <w:rFonts w:ascii="Times New Roman" w:hAnsi="Times New Roman"/>
          <w:sz w:val="22"/>
          <w:szCs w:val="22"/>
          <w:lang w:eastAsia="zh-CN"/>
        </w:rPr>
        <w:t>ertification</w:t>
      </w:r>
      <w:r w:rsidR="3F674795" w:rsidRPr="002B4E2A">
        <w:rPr>
          <w:rFonts w:ascii="Times New Roman" w:hAnsi="Times New Roman"/>
          <w:sz w:val="22"/>
          <w:szCs w:val="22"/>
          <w:lang w:eastAsia="zh-CN"/>
        </w:rPr>
        <w:t>s</w:t>
      </w:r>
      <w:r w:rsidRPr="002B4E2A">
        <w:rPr>
          <w:rFonts w:ascii="Times New Roman" w:hAnsi="Times New Roman"/>
          <w:sz w:val="22"/>
          <w:szCs w:val="22"/>
          <w:lang w:eastAsia="zh-CN"/>
        </w:rPr>
        <w:t xml:space="preserve"> in digital media or strategic communications </w:t>
      </w:r>
      <w:proofErr w:type="gramStart"/>
      <w:r w:rsidRPr="002B4E2A">
        <w:rPr>
          <w:rFonts w:ascii="Times New Roman" w:hAnsi="Times New Roman"/>
          <w:sz w:val="22"/>
          <w:szCs w:val="22"/>
          <w:lang w:eastAsia="zh-CN"/>
        </w:rPr>
        <w:t>is</w:t>
      </w:r>
      <w:proofErr w:type="gramEnd"/>
      <w:r w:rsidRPr="002B4E2A">
        <w:rPr>
          <w:rFonts w:ascii="Times New Roman" w:hAnsi="Times New Roman"/>
          <w:sz w:val="22"/>
          <w:szCs w:val="22"/>
          <w:lang w:eastAsia="zh-CN"/>
        </w:rPr>
        <w:t xml:space="preserve"> an asset.</w:t>
      </w:r>
    </w:p>
    <w:p w14:paraId="197BA556" w14:textId="77777777" w:rsidR="0016601A" w:rsidRPr="002B4E2A" w:rsidRDefault="0016601A" w:rsidP="00E5009F">
      <w:pPr>
        <w:widowControl/>
        <w:numPr>
          <w:ilvl w:val="0"/>
          <w:numId w:val="24"/>
        </w:numPr>
        <w:autoSpaceDE/>
        <w:autoSpaceDN/>
        <w:adjustRightInd/>
        <w:ind w:left="2160" w:hanging="720"/>
        <w:jc w:val="both"/>
        <w:rPr>
          <w:rFonts w:ascii="Times New Roman" w:hAnsi="Times New Roman"/>
          <w:sz w:val="22"/>
          <w:szCs w:val="22"/>
          <w:lang w:eastAsia="zh-CN"/>
        </w:rPr>
      </w:pPr>
      <w:r w:rsidRPr="002B4E2A">
        <w:rPr>
          <w:rFonts w:ascii="Times New Roman" w:hAnsi="Times New Roman"/>
          <w:sz w:val="22"/>
          <w:szCs w:val="22"/>
          <w:lang w:eastAsia="zh-CN"/>
        </w:rPr>
        <w:t>At least 5 years of experience in developing communications strategies, public outreach materials, and stakeholder engagement plans for international development projects.</w:t>
      </w:r>
    </w:p>
    <w:p w14:paraId="3782A64A" w14:textId="77777777" w:rsidR="0016601A" w:rsidRPr="002B4E2A" w:rsidRDefault="0016601A" w:rsidP="00E5009F">
      <w:pPr>
        <w:widowControl/>
        <w:numPr>
          <w:ilvl w:val="0"/>
          <w:numId w:val="24"/>
        </w:numPr>
        <w:autoSpaceDE/>
        <w:autoSpaceDN/>
        <w:adjustRightInd/>
        <w:ind w:left="2160" w:hanging="720"/>
        <w:jc w:val="both"/>
        <w:rPr>
          <w:rFonts w:ascii="Times New Roman" w:hAnsi="Times New Roman"/>
          <w:sz w:val="22"/>
          <w:szCs w:val="22"/>
          <w:lang w:eastAsia="zh-CN"/>
        </w:rPr>
      </w:pPr>
      <w:r w:rsidRPr="002B4E2A">
        <w:rPr>
          <w:rFonts w:ascii="Times New Roman" w:hAnsi="Times New Roman"/>
          <w:sz w:val="22"/>
          <w:szCs w:val="22"/>
          <w:lang w:eastAsia="zh-CN"/>
        </w:rPr>
        <w:t>Proven ability to prepare user-friendly deliverables for diverse audiences, including donor-facing promotional materials.</w:t>
      </w:r>
    </w:p>
    <w:p w14:paraId="2A323AC1" w14:textId="77777777" w:rsidR="0016601A" w:rsidRDefault="0016601A" w:rsidP="00E5009F">
      <w:pPr>
        <w:widowControl/>
        <w:numPr>
          <w:ilvl w:val="0"/>
          <w:numId w:val="24"/>
        </w:numPr>
        <w:autoSpaceDE/>
        <w:autoSpaceDN/>
        <w:adjustRightInd/>
        <w:ind w:left="2160" w:hanging="720"/>
        <w:jc w:val="both"/>
        <w:rPr>
          <w:rFonts w:ascii="Times New Roman" w:hAnsi="Times New Roman"/>
          <w:sz w:val="22"/>
          <w:szCs w:val="22"/>
          <w:lang w:eastAsia="zh-CN"/>
        </w:rPr>
      </w:pPr>
      <w:r w:rsidRPr="002B4E2A">
        <w:rPr>
          <w:rFonts w:ascii="Times New Roman" w:hAnsi="Times New Roman"/>
          <w:sz w:val="22"/>
          <w:szCs w:val="22"/>
          <w:lang w:eastAsia="zh-CN"/>
        </w:rPr>
        <w:t>Experience facilitating virtual consultations and engagement activities is essential.</w:t>
      </w:r>
    </w:p>
    <w:p w14:paraId="3A8AD529" w14:textId="77777777" w:rsidR="005F03D3" w:rsidRDefault="005F03D3" w:rsidP="005F03D3">
      <w:pPr>
        <w:widowControl/>
        <w:autoSpaceDE/>
        <w:autoSpaceDN/>
        <w:adjustRightInd/>
        <w:ind w:left="2160"/>
        <w:jc w:val="both"/>
        <w:rPr>
          <w:rFonts w:ascii="Times New Roman" w:hAnsi="Times New Roman"/>
          <w:sz w:val="22"/>
          <w:szCs w:val="22"/>
          <w:lang w:eastAsia="zh-CN"/>
        </w:rPr>
      </w:pPr>
    </w:p>
    <w:p w14:paraId="20E0A52F" w14:textId="77777777" w:rsidR="005F03D3" w:rsidRPr="002B4E2A" w:rsidRDefault="005F03D3" w:rsidP="005F03D3">
      <w:pPr>
        <w:widowControl/>
        <w:autoSpaceDE/>
        <w:autoSpaceDN/>
        <w:adjustRightInd/>
        <w:ind w:left="2160"/>
        <w:jc w:val="both"/>
        <w:rPr>
          <w:rFonts w:ascii="Times New Roman" w:hAnsi="Times New Roman"/>
          <w:sz w:val="22"/>
          <w:szCs w:val="22"/>
          <w:lang w:eastAsia="zh-CN"/>
        </w:rPr>
      </w:pPr>
    </w:p>
    <w:p w14:paraId="7B764E0F" w14:textId="77777777" w:rsidR="00E055B8" w:rsidRDefault="00E055B8">
      <w:pPr>
        <w:widowControl/>
        <w:autoSpaceDE/>
        <w:autoSpaceDN/>
        <w:adjustRightInd/>
        <w:spacing w:after="160" w:line="259" w:lineRule="auto"/>
        <w:rPr>
          <w:rFonts w:ascii="Times New Roman" w:hAnsi="Times New Roman"/>
          <w:b/>
          <w:bCs/>
          <w:kern w:val="36"/>
          <w:sz w:val="22"/>
          <w:szCs w:val="22"/>
          <w:u w:val="single"/>
        </w:rPr>
        <w:sectPr w:rsidR="00E055B8">
          <w:footerReference w:type="default" r:id="rId13"/>
          <w:pgSz w:w="12240" w:h="15840"/>
          <w:pgMar w:top="1440" w:right="1440" w:bottom="1440" w:left="1440" w:header="720" w:footer="720" w:gutter="0"/>
          <w:cols w:space="720"/>
          <w:docGrid w:linePitch="360"/>
        </w:sectPr>
      </w:pPr>
    </w:p>
    <w:p w14:paraId="34B5E474" w14:textId="6D25294B" w:rsidR="004F6839" w:rsidRPr="002B4E2A" w:rsidRDefault="0072346B" w:rsidP="00E055B8">
      <w:pPr>
        <w:pStyle w:val="Heading1"/>
        <w:rPr>
          <w:sz w:val="22"/>
          <w:szCs w:val="22"/>
        </w:rPr>
      </w:pPr>
      <w:r w:rsidRPr="002B4E2A">
        <w:rPr>
          <w:sz w:val="22"/>
          <w:szCs w:val="22"/>
        </w:rPr>
        <w:lastRenderedPageBreak/>
        <w:t xml:space="preserve">APPENDIX </w:t>
      </w:r>
      <w:r w:rsidR="00B578D5" w:rsidRPr="002B4E2A">
        <w:rPr>
          <w:sz w:val="22"/>
          <w:szCs w:val="22"/>
        </w:rPr>
        <w:t>A</w:t>
      </w:r>
    </w:p>
    <w:p w14:paraId="14870695" w14:textId="3305BBEB" w:rsidR="00DB00CE" w:rsidRPr="002B4E2A" w:rsidRDefault="004F5C36" w:rsidP="004F5C36">
      <w:pPr>
        <w:pStyle w:val="Heading2"/>
        <w:numPr>
          <w:ilvl w:val="0"/>
          <w:numId w:val="0"/>
        </w:numPr>
        <w:jc w:val="center"/>
        <w:rPr>
          <w:lang w:val="en-GB"/>
        </w:rPr>
      </w:pPr>
      <w:r w:rsidRPr="002B4E2A">
        <w:rPr>
          <w:lang w:val="en-GB"/>
        </w:rPr>
        <w:t>DISCUSSION PAPER: CARIBBEAN E-MOBILITY FUND</w:t>
      </w:r>
    </w:p>
    <w:p w14:paraId="38308A05" w14:textId="77777777" w:rsidR="004F5C36" w:rsidRPr="002B4E2A" w:rsidRDefault="004F5C36" w:rsidP="00DB00CE">
      <w:pPr>
        <w:pStyle w:val="ListParagraph"/>
        <w:spacing w:after="160" w:line="259" w:lineRule="auto"/>
        <w:ind w:left="0"/>
        <w:contextualSpacing/>
        <w:jc w:val="both"/>
        <w:rPr>
          <w:sz w:val="22"/>
          <w:szCs w:val="22"/>
          <w:lang w:val="en-GB"/>
        </w:rPr>
      </w:pPr>
    </w:p>
    <w:p w14:paraId="7B79C869" w14:textId="77777777" w:rsidR="00542624" w:rsidRPr="002B4E2A" w:rsidRDefault="00542624" w:rsidP="000A3D0D">
      <w:pPr>
        <w:pStyle w:val="ListParagraph"/>
        <w:numPr>
          <w:ilvl w:val="0"/>
          <w:numId w:val="12"/>
        </w:numPr>
        <w:ind w:hanging="720"/>
        <w:contextualSpacing/>
        <w:rPr>
          <w:b/>
          <w:bCs/>
          <w:sz w:val="22"/>
          <w:szCs w:val="22"/>
          <w:u w:val="single"/>
        </w:rPr>
      </w:pPr>
      <w:r w:rsidRPr="002B4E2A">
        <w:rPr>
          <w:b/>
          <w:bCs/>
          <w:sz w:val="22"/>
          <w:szCs w:val="22"/>
          <w:u w:val="single"/>
        </w:rPr>
        <w:t>INTRODUCTION</w:t>
      </w:r>
    </w:p>
    <w:p w14:paraId="0A0A542A" w14:textId="77777777" w:rsidR="00542624" w:rsidRPr="002B4E2A" w:rsidRDefault="00542624" w:rsidP="00542624">
      <w:pPr>
        <w:rPr>
          <w:rFonts w:ascii="Times New Roman" w:hAnsi="Times New Roman"/>
          <w:b/>
          <w:bCs/>
          <w:sz w:val="22"/>
          <w:szCs w:val="22"/>
          <w:u w:val="single"/>
          <w:lang w:val="en-JM"/>
        </w:rPr>
      </w:pPr>
    </w:p>
    <w:p w14:paraId="494B9803" w14:textId="77777777" w:rsidR="00542624" w:rsidRPr="002B4E2A" w:rsidRDefault="00542624" w:rsidP="000A3D0D">
      <w:pPr>
        <w:pStyle w:val="ListParagraph"/>
        <w:numPr>
          <w:ilvl w:val="1"/>
          <w:numId w:val="12"/>
        </w:numPr>
        <w:ind w:left="0" w:firstLine="0"/>
        <w:contextualSpacing/>
        <w:jc w:val="both"/>
        <w:rPr>
          <w:sz w:val="22"/>
          <w:szCs w:val="22"/>
          <w:lang w:val="en-JM"/>
        </w:rPr>
      </w:pPr>
      <w:r w:rsidRPr="002B4E2A">
        <w:rPr>
          <w:sz w:val="22"/>
          <w:szCs w:val="22"/>
          <w:lang w:val="en-JM"/>
        </w:rPr>
        <w:t>The Caribbean transport sector is heavily reliant on fossil fuels, contributing significantly to national greenhouse gas (GHG) emissions and exposing countries to the volatility of global fuel markets. The region’s fragmented policies, limited e-mobility infrastructure, constrained financial ecosystems, and insufficient awareness among consumers and financial institutions hinder the transition to a sustainable, low-emission transport future. The Caribbean E-Mobility Fund is being designed to address these systemic barriers by enhancing enabling environments, catalysing investment, and strengthening institutional and human capacity to support the widespread deployment of e-mobility technologies, including electric vehicles (EVs</w:t>
      </w:r>
      <w:r w:rsidRPr="002B4E2A">
        <w:rPr>
          <w:rStyle w:val="FootnoteReference"/>
          <w:sz w:val="22"/>
          <w:szCs w:val="22"/>
          <w:lang w:val="en-JM"/>
        </w:rPr>
        <w:footnoteReference w:id="2"/>
      </w:r>
      <w:r w:rsidRPr="002B4E2A">
        <w:rPr>
          <w:sz w:val="22"/>
          <w:szCs w:val="22"/>
          <w:lang w:val="en-JM"/>
        </w:rPr>
        <w:t>), marine and riverine transportation, and associated technologies and infrastructure across countries in the Caribbean.</w:t>
      </w:r>
    </w:p>
    <w:p w14:paraId="7413933D" w14:textId="77777777" w:rsidR="00542624" w:rsidRPr="002B4E2A" w:rsidRDefault="00542624" w:rsidP="00542624">
      <w:pPr>
        <w:jc w:val="both"/>
        <w:rPr>
          <w:rFonts w:ascii="Times New Roman" w:hAnsi="Times New Roman"/>
          <w:sz w:val="22"/>
          <w:szCs w:val="22"/>
          <w:lang w:val="en-JM"/>
        </w:rPr>
      </w:pPr>
    </w:p>
    <w:p w14:paraId="2E04776F" w14:textId="77777777" w:rsidR="00542624" w:rsidRDefault="00542624" w:rsidP="00267A5F">
      <w:pPr>
        <w:ind w:firstLine="720"/>
        <w:jc w:val="both"/>
        <w:rPr>
          <w:rFonts w:ascii="Times New Roman" w:hAnsi="Times New Roman"/>
          <w:b/>
          <w:bCs/>
          <w:sz w:val="22"/>
          <w:szCs w:val="22"/>
        </w:rPr>
      </w:pPr>
      <w:r w:rsidRPr="002B4E2A">
        <w:rPr>
          <w:rFonts w:ascii="Times New Roman" w:hAnsi="Times New Roman"/>
          <w:b/>
          <w:bCs/>
          <w:sz w:val="22"/>
          <w:szCs w:val="22"/>
        </w:rPr>
        <w:t>Justification/Rationale</w:t>
      </w:r>
    </w:p>
    <w:p w14:paraId="4A763F27" w14:textId="77777777" w:rsidR="005F03D3" w:rsidRPr="002B4E2A" w:rsidRDefault="005F03D3" w:rsidP="00542624">
      <w:pPr>
        <w:jc w:val="both"/>
        <w:rPr>
          <w:rFonts w:ascii="Times New Roman" w:hAnsi="Times New Roman"/>
          <w:sz w:val="22"/>
          <w:szCs w:val="22"/>
          <w:lang w:val="en-JM"/>
        </w:rPr>
      </w:pPr>
    </w:p>
    <w:p w14:paraId="7C66A2EE" w14:textId="77777777" w:rsidR="00542624" w:rsidRPr="002B4E2A" w:rsidRDefault="00542624" w:rsidP="000A3D0D">
      <w:pPr>
        <w:pStyle w:val="ListParagraph"/>
        <w:numPr>
          <w:ilvl w:val="1"/>
          <w:numId w:val="12"/>
        </w:numPr>
        <w:ind w:left="0" w:firstLine="0"/>
        <w:contextualSpacing/>
        <w:jc w:val="both"/>
        <w:rPr>
          <w:sz w:val="22"/>
          <w:szCs w:val="22"/>
        </w:rPr>
      </w:pPr>
      <w:r w:rsidRPr="002B4E2A">
        <w:rPr>
          <w:sz w:val="22"/>
          <w:szCs w:val="22"/>
        </w:rPr>
        <w:t>Transportation, including marine and riverine transportation, plays a crucial role in economic development in the Caribbean but is also the largest consumer of fuel, making it a leading source of greenhouse gas emissions. Fuel imports account for about 10% of GDP in CARICOM Member States, with 39% of total fuel consumption attributed to transportation</w:t>
      </w:r>
      <w:r w:rsidRPr="002B4E2A">
        <w:rPr>
          <w:rStyle w:val="FootnoteReference"/>
          <w:sz w:val="22"/>
          <w:szCs w:val="22"/>
        </w:rPr>
        <w:footnoteReference w:id="3"/>
      </w:r>
      <w:r w:rsidRPr="002B4E2A">
        <w:rPr>
          <w:sz w:val="22"/>
          <w:szCs w:val="22"/>
        </w:rPr>
        <w:t xml:space="preserve">. This sector is a key target for reducing fuel import dependency, diversifying energy supply, improving transportation efficiency, mitigating GHG emissions, and enhancing the quality of life in the Caribbean. </w:t>
      </w:r>
      <w:proofErr w:type="spellStart"/>
      <w:r w:rsidRPr="002B4E2A">
        <w:rPr>
          <w:sz w:val="22"/>
          <w:szCs w:val="22"/>
        </w:rPr>
        <w:t>Recognising</w:t>
      </w:r>
      <w:proofErr w:type="spellEnd"/>
      <w:r w:rsidRPr="002B4E2A">
        <w:rPr>
          <w:sz w:val="22"/>
          <w:szCs w:val="22"/>
        </w:rPr>
        <w:t xml:space="preserve"> its impact, most CARICOM Member States have </w:t>
      </w:r>
      <w:proofErr w:type="spellStart"/>
      <w:r w:rsidRPr="002B4E2A">
        <w:rPr>
          <w:sz w:val="22"/>
          <w:szCs w:val="22"/>
        </w:rPr>
        <w:t>prioritised</w:t>
      </w:r>
      <w:proofErr w:type="spellEnd"/>
      <w:r w:rsidRPr="002B4E2A">
        <w:rPr>
          <w:sz w:val="22"/>
          <w:szCs w:val="22"/>
        </w:rPr>
        <w:t xml:space="preserve"> transportation in their Nationally Determined Contributions (NDCs) (See Figure 1 below). Achieving these NDC targets may be hindered by the high levels of central government debt across the Caribbean and the low levels of private sector investment in climate action across the Caribbean. High levels of government debt limit the government’s fiscal capacity to raise capital and de-risk investments, </w:t>
      </w:r>
      <w:r w:rsidRPr="002B4E2A">
        <w:rPr>
          <w:rFonts w:eastAsia="Segoe UI"/>
          <w:sz w:val="22"/>
          <w:szCs w:val="22"/>
        </w:rPr>
        <w:t>which when combined with the lack of a clearly defined bankable portfolio of investments, contributes to the limited private sector engagement in climate actions.</w:t>
      </w:r>
      <w:r w:rsidRPr="002B4E2A">
        <w:rPr>
          <w:sz w:val="22"/>
          <w:szCs w:val="22"/>
        </w:rPr>
        <w:t xml:space="preserve"> To this end, technical assistance, tailored blended financing, and partnerships are critical to unlock concessional financing for investments in low-carbon resilient transport infrastructure across the Caribbean. </w:t>
      </w:r>
    </w:p>
    <w:p w14:paraId="08857ADA" w14:textId="77777777" w:rsidR="00542624" w:rsidRPr="002B4E2A" w:rsidRDefault="00542624" w:rsidP="00542624">
      <w:pPr>
        <w:jc w:val="both"/>
        <w:rPr>
          <w:rFonts w:ascii="Times New Roman" w:hAnsi="Times New Roman"/>
          <w:sz w:val="22"/>
          <w:szCs w:val="22"/>
        </w:rPr>
      </w:pPr>
    </w:p>
    <w:p w14:paraId="375FA7F1" w14:textId="77777777" w:rsidR="000A3D0D" w:rsidRPr="002B4E2A" w:rsidRDefault="000A3D0D" w:rsidP="00542624">
      <w:pPr>
        <w:jc w:val="center"/>
        <w:rPr>
          <w:rFonts w:ascii="Times New Roman" w:hAnsi="Times New Roman"/>
          <w:b/>
          <w:bCs/>
          <w:sz w:val="22"/>
          <w:szCs w:val="22"/>
        </w:rPr>
      </w:pPr>
    </w:p>
    <w:p w14:paraId="709BB784" w14:textId="77777777" w:rsidR="000A3D0D" w:rsidRPr="002B4E2A" w:rsidRDefault="000A3D0D" w:rsidP="00542624">
      <w:pPr>
        <w:jc w:val="center"/>
        <w:rPr>
          <w:rFonts w:ascii="Times New Roman" w:hAnsi="Times New Roman"/>
          <w:b/>
          <w:bCs/>
          <w:sz w:val="22"/>
          <w:szCs w:val="22"/>
        </w:rPr>
      </w:pPr>
    </w:p>
    <w:p w14:paraId="3C5CAF0A" w14:textId="77777777" w:rsidR="000A3D0D" w:rsidRPr="002B4E2A" w:rsidRDefault="000A3D0D" w:rsidP="00542624">
      <w:pPr>
        <w:jc w:val="center"/>
        <w:rPr>
          <w:rFonts w:ascii="Times New Roman" w:hAnsi="Times New Roman"/>
          <w:b/>
          <w:bCs/>
          <w:sz w:val="22"/>
          <w:szCs w:val="22"/>
        </w:rPr>
      </w:pPr>
    </w:p>
    <w:p w14:paraId="714D691A" w14:textId="2B834EFE" w:rsidR="00267A5F" w:rsidRDefault="00267A5F" w:rsidP="00542624">
      <w:pPr>
        <w:jc w:val="center"/>
        <w:rPr>
          <w:rFonts w:ascii="Times New Roman" w:hAnsi="Times New Roman"/>
          <w:b/>
          <w:bCs/>
          <w:sz w:val="22"/>
          <w:szCs w:val="22"/>
        </w:rPr>
      </w:pPr>
      <w:r>
        <w:rPr>
          <w:rFonts w:ascii="Times New Roman" w:hAnsi="Times New Roman"/>
          <w:b/>
          <w:bCs/>
          <w:sz w:val="22"/>
          <w:szCs w:val="22"/>
        </w:rPr>
        <w:br w:type="page"/>
      </w:r>
    </w:p>
    <w:p w14:paraId="03C6B060" w14:textId="3A0B5BE8" w:rsidR="00542624" w:rsidRPr="002B4E2A" w:rsidRDefault="00542624" w:rsidP="00542624">
      <w:pPr>
        <w:jc w:val="center"/>
        <w:rPr>
          <w:rFonts w:ascii="Times New Roman" w:hAnsi="Times New Roman"/>
          <w:b/>
          <w:bCs/>
          <w:sz w:val="22"/>
          <w:szCs w:val="22"/>
        </w:rPr>
      </w:pPr>
      <w:r w:rsidRPr="002B4E2A">
        <w:rPr>
          <w:rFonts w:ascii="Times New Roman" w:hAnsi="Times New Roman"/>
          <w:b/>
          <w:bCs/>
          <w:sz w:val="22"/>
          <w:szCs w:val="22"/>
        </w:rPr>
        <w:lastRenderedPageBreak/>
        <w:t>Figure 1: Selected Transport Sector NDCs Targets in Caribbean</w:t>
      </w:r>
    </w:p>
    <w:p w14:paraId="707E985B" w14:textId="77777777" w:rsidR="00542624" w:rsidRPr="002B4E2A" w:rsidRDefault="00542624" w:rsidP="00542624">
      <w:pPr>
        <w:jc w:val="both"/>
        <w:rPr>
          <w:rFonts w:ascii="Times New Roman" w:hAnsi="Times New Roman"/>
          <w:sz w:val="22"/>
          <w:szCs w:val="22"/>
        </w:rPr>
      </w:pPr>
      <w:r w:rsidRPr="002B4E2A">
        <w:rPr>
          <w:rFonts w:ascii="Times New Roman" w:hAnsi="Times New Roman"/>
          <w:noProof/>
          <w:sz w:val="22"/>
          <w:szCs w:val="22"/>
        </w:rPr>
        <w:drawing>
          <wp:inline distT="0" distB="0" distL="0" distR="0" wp14:anchorId="1149F22F" wp14:editId="2409CE34">
            <wp:extent cx="5731510" cy="2900045"/>
            <wp:effectExtent l="0" t="0" r="2540" b="0"/>
            <wp:docPr id="1294259880" name="Picture 1" descr="A map of the caribbea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259880" name="Picture 1" descr="A map of the caribbean&#10;&#10;AI-generated content may be incorrect."/>
                    <pic:cNvPicPr/>
                  </pic:nvPicPr>
                  <pic:blipFill>
                    <a:blip r:embed="rId14"/>
                    <a:stretch>
                      <a:fillRect/>
                    </a:stretch>
                  </pic:blipFill>
                  <pic:spPr>
                    <a:xfrm>
                      <a:off x="0" y="0"/>
                      <a:ext cx="5731510" cy="2900045"/>
                    </a:xfrm>
                    <a:prstGeom prst="rect">
                      <a:avLst/>
                    </a:prstGeom>
                  </pic:spPr>
                </pic:pic>
              </a:graphicData>
            </a:graphic>
          </wp:inline>
        </w:drawing>
      </w:r>
    </w:p>
    <w:p w14:paraId="43A7CE39" w14:textId="77777777" w:rsidR="00542624" w:rsidRPr="002B4E2A" w:rsidRDefault="00542624" w:rsidP="00267A5F">
      <w:pPr>
        <w:jc w:val="right"/>
        <w:rPr>
          <w:rFonts w:ascii="Times New Roman" w:hAnsi="Times New Roman"/>
          <w:sz w:val="22"/>
          <w:szCs w:val="22"/>
        </w:rPr>
      </w:pPr>
      <w:r w:rsidRPr="002B4E2A">
        <w:rPr>
          <w:rFonts w:ascii="Times New Roman" w:hAnsi="Times New Roman"/>
          <w:sz w:val="22"/>
          <w:szCs w:val="22"/>
        </w:rPr>
        <w:t>Source: CCREEE (2025)</w:t>
      </w:r>
    </w:p>
    <w:p w14:paraId="179F4198" w14:textId="77777777" w:rsidR="00542624" w:rsidRDefault="00542624" w:rsidP="00542624">
      <w:pPr>
        <w:rPr>
          <w:rFonts w:ascii="Times New Roman" w:hAnsi="Times New Roman"/>
          <w:b/>
          <w:bCs/>
          <w:sz w:val="22"/>
          <w:szCs w:val="22"/>
        </w:rPr>
      </w:pPr>
    </w:p>
    <w:p w14:paraId="53A41260" w14:textId="77777777" w:rsidR="00542624" w:rsidRPr="002B4E2A" w:rsidRDefault="00542624" w:rsidP="000A3D0D">
      <w:pPr>
        <w:pStyle w:val="ListParagraph"/>
        <w:numPr>
          <w:ilvl w:val="1"/>
          <w:numId w:val="12"/>
        </w:numPr>
        <w:ind w:left="0" w:firstLine="0"/>
        <w:contextualSpacing/>
        <w:jc w:val="both"/>
        <w:rPr>
          <w:sz w:val="22"/>
          <w:szCs w:val="22"/>
          <w:lang w:val="en-JM"/>
        </w:rPr>
      </w:pPr>
      <w:r w:rsidRPr="002B4E2A">
        <w:rPr>
          <w:sz w:val="22"/>
          <w:szCs w:val="22"/>
        </w:rPr>
        <w:t>At a regional level Caribbean Community (CARICOM)</w:t>
      </w:r>
      <w:r w:rsidRPr="002B4E2A">
        <w:rPr>
          <w:sz w:val="22"/>
          <w:szCs w:val="22"/>
          <w:lang w:val="en-JM"/>
        </w:rPr>
        <w:t xml:space="preserve"> has developed a Regional Electric Vehicle Strategy (REVS) Framework</w:t>
      </w:r>
      <w:r w:rsidRPr="002B4E2A">
        <w:rPr>
          <w:rStyle w:val="FootnoteReference"/>
          <w:sz w:val="22"/>
          <w:szCs w:val="22"/>
          <w:lang w:val="en-JM"/>
        </w:rPr>
        <w:footnoteReference w:id="4"/>
      </w:r>
      <w:r w:rsidRPr="002B4E2A">
        <w:rPr>
          <w:sz w:val="22"/>
          <w:szCs w:val="22"/>
          <w:lang w:val="en-JM"/>
        </w:rPr>
        <w:t xml:space="preserve">. The framework provides the building blocks for the electric mobility transition in the Caribbean region and aims to catalyse the deployment of electric vehicles (EVs) across all modes of transportation in the Caribbean, recognising the urgent need for transformative changes in transport systems, mobility preferences, and driving behaviours across the region. In pursuit of a sustainable, efficient, and effective transportation future, the REVS identifies three key disruptors—Electrification, Connectivity through Digitalisation, and Shifting and Managing Transport Demand—as fundamental to the delivery of next-generation transport services. </w:t>
      </w:r>
    </w:p>
    <w:p w14:paraId="5861C284" w14:textId="77777777" w:rsidR="00542624" w:rsidRPr="002B4E2A" w:rsidRDefault="00542624" w:rsidP="00542624">
      <w:pPr>
        <w:pStyle w:val="ListParagraph"/>
        <w:ind w:left="0"/>
        <w:jc w:val="both"/>
        <w:rPr>
          <w:sz w:val="22"/>
          <w:szCs w:val="22"/>
          <w:lang w:val="en-JM"/>
        </w:rPr>
      </w:pPr>
    </w:p>
    <w:p w14:paraId="39703365" w14:textId="77777777" w:rsidR="00542624" w:rsidRPr="002B4E2A" w:rsidRDefault="00542624" w:rsidP="000A3D0D">
      <w:pPr>
        <w:pStyle w:val="ListParagraph"/>
        <w:numPr>
          <w:ilvl w:val="1"/>
          <w:numId w:val="12"/>
        </w:numPr>
        <w:ind w:left="0" w:firstLine="0"/>
        <w:contextualSpacing/>
        <w:jc w:val="both"/>
        <w:rPr>
          <w:sz w:val="22"/>
          <w:szCs w:val="22"/>
          <w:lang w:val="en-JM"/>
        </w:rPr>
      </w:pPr>
      <w:r w:rsidRPr="002B4E2A">
        <w:rPr>
          <w:sz w:val="22"/>
          <w:szCs w:val="22"/>
          <w:lang w:val="en-JM"/>
        </w:rPr>
        <w:t>The Caribbean Development Bank (CDB) is supporting transformation towards low-carbon resilient transport sectors in its Borrowing Member Countries (BMCs). The CDB’s Strategic Plan (update 2022-2024 and extension to 2025) places great emphasis on social protection; transformational education; digitalisation; knowledge generation; and economic diversification and private sector development. Further, the CDB’s Climate Resilience Strategy, and the CDB’s Accelerated Sustainable Energy and Resilience Transition (ASERT) 2030 framework ASERT 2030 Framework are key in guiding the bank work towards achieving low-carbon resilient development in the Caribbean. Through its accreditation to the Green Climate Fund (GCF), Adaptation Fund (AF) and engagement the UNFCCC process, the CDB has raised its ambition for mobilising climate finance and is mainstreaming climate resilience measures into its work and across priority sectors such as water, transportation, energy and agriculture.</w:t>
      </w:r>
    </w:p>
    <w:p w14:paraId="207083AF" w14:textId="77777777" w:rsidR="00542624" w:rsidRPr="002B4E2A" w:rsidRDefault="00542624" w:rsidP="00542624">
      <w:pPr>
        <w:pStyle w:val="ListParagraph"/>
        <w:ind w:left="0"/>
        <w:jc w:val="both"/>
        <w:rPr>
          <w:sz w:val="22"/>
          <w:szCs w:val="22"/>
          <w:lang w:val="en-JM"/>
        </w:rPr>
      </w:pPr>
    </w:p>
    <w:p w14:paraId="177889D2" w14:textId="77777777" w:rsidR="00542624" w:rsidRPr="002B4E2A" w:rsidRDefault="00542624" w:rsidP="000A3D0D">
      <w:pPr>
        <w:pStyle w:val="ListParagraph"/>
        <w:numPr>
          <w:ilvl w:val="1"/>
          <w:numId w:val="12"/>
        </w:numPr>
        <w:ind w:left="0" w:firstLine="0"/>
        <w:contextualSpacing/>
        <w:jc w:val="both"/>
        <w:rPr>
          <w:sz w:val="22"/>
          <w:szCs w:val="22"/>
          <w:lang w:val="en-JM"/>
        </w:rPr>
      </w:pPr>
      <w:r w:rsidRPr="002B4E2A">
        <w:rPr>
          <w:sz w:val="22"/>
          <w:szCs w:val="22"/>
          <w:lang w:val="en-JM"/>
        </w:rPr>
        <w:t xml:space="preserve">The promotion of E-mobility is a key focus of the CDB’s ASERT 2030 framework.  ASERT 2030 is being pursued as a key strategy within the revised Energy Sector Policy and Strategy (ESPS-2022) as a response to the generally slow pace of the transition to sustainable energy (SE) in the Caribbean,  In this regard, ASERT 2030 seeks to promote increased speed and scale of investment for SE through transformative collective initiatives among BMCs while ensuring robust engagement and consultation also in the context of Strategic ASERT Partnerships for resourcing and coordination. </w:t>
      </w:r>
    </w:p>
    <w:p w14:paraId="064C0E71" w14:textId="6608FF9C" w:rsidR="00267A5F" w:rsidRDefault="00542624" w:rsidP="00542624">
      <w:pPr>
        <w:pStyle w:val="ListParagraph"/>
        <w:ind w:left="0"/>
        <w:jc w:val="both"/>
        <w:rPr>
          <w:sz w:val="22"/>
          <w:szCs w:val="22"/>
          <w:lang w:val="en-JM"/>
        </w:rPr>
      </w:pPr>
      <w:r w:rsidRPr="002B4E2A">
        <w:rPr>
          <w:sz w:val="22"/>
          <w:szCs w:val="22"/>
          <w:lang w:val="en-JM"/>
        </w:rPr>
        <w:t xml:space="preserve"> </w:t>
      </w:r>
      <w:r w:rsidR="00267A5F">
        <w:rPr>
          <w:sz w:val="22"/>
          <w:szCs w:val="22"/>
          <w:lang w:val="en-JM"/>
        </w:rPr>
        <w:br w:type="page"/>
      </w:r>
    </w:p>
    <w:p w14:paraId="0242F9D6" w14:textId="77777777" w:rsidR="00542624" w:rsidRPr="002B4E2A" w:rsidRDefault="00542624" w:rsidP="00542624">
      <w:pPr>
        <w:pStyle w:val="ListParagraph"/>
        <w:ind w:left="0"/>
        <w:jc w:val="both"/>
        <w:rPr>
          <w:sz w:val="22"/>
          <w:szCs w:val="22"/>
          <w:lang w:val="en-JM"/>
        </w:rPr>
      </w:pPr>
    </w:p>
    <w:p w14:paraId="2ED2ADAA" w14:textId="77777777" w:rsidR="00542624" w:rsidRPr="002B4E2A" w:rsidRDefault="00542624" w:rsidP="00542624">
      <w:pPr>
        <w:jc w:val="center"/>
        <w:rPr>
          <w:rFonts w:ascii="Times New Roman" w:hAnsi="Times New Roman"/>
          <w:b/>
          <w:bCs/>
          <w:sz w:val="22"/>
          <w:szCs w:val="22"/>
        </w:rPr>
      </w:pPr>
      <w:r w:rsidRPr="002B4E2A">
        <w:rPr>
          <w:rFonts w:ascii="Times New Roman" w:hAnsi="Times New Roman"/>
          <w:b/>
          <w:bCs/>
          <w:sz w:val="22"/>
          <w:szCs w:val="22"/>
        </w:rPr>
        <w:t>Figure 2: EV Penetration within the Caribbean</w:t>
      </w:r>
    </w:p>
    <w:p w14:paraId="635D1777" w14:textId="77777777" w:rsidR="00542624" w:rsidRPr="002B4E2A" w:rsidRDefault="00542624" w:rsidP="00542624">
      <w:pPr>
        <w:jc w:val="both"/>
        <w:rPr>
          <w:rFonts w:ascii="Times New Roman" w:hAnsi="Times New Roman"/>
          <w:sz w:val="22"/>
          <w:szCs w:val="22"/>
        </w:rPr>
      </w:pPr>
      <w:r w:rsidRPr="002B4E2A">
        <w:rPr>
          <w:rFonts w:ascii="Times New Roman" w:hAnsi="Times New Roman"/>
          <w:noProof/>
          <w:sz w:val="22"/>
          <w:szCs w:val="22"/>
        </w:rPr>
        <w:drawing>
          <wp:inline distT="0" distB="0" distL="0" distR="0" wp14:anchorId="16AE4CBF" wp14:editId="37C2E7AC">
            <wp:extent cx="5731510" cy="2238375"/>
            <wp:effectExtent l="0" t="0" r="2540" b="0"/>
            <wp:docPr id="3" name="Picture 2" descr="A graph of a number of vehicles&#10;&#10;AI-generated content may be incorrect.">
              <a:extLst xmlns:a="http://schemas.openxmlformats.org/drawingml/2006/main">
                <a:ext uri="{FF2B5EF4-FFF2-40B4-BE49-F238E27FC236}">
                  <a16:creationId xmlns:a16="http://schemas.microsoft.com/office/drawing/2014/main" id="{620716AE-FA74-BB62-472F-5798DED2C5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aph of a number of vehicles&#10;&#10;AI-generated content may be incorrect.">
                      <a:extLst>
                        <a:ext uri="{FF2B5EF4-FFF2-40B4-BE49-F238E27FC236}">
                          <a16:creationId xmlns:a16="http://schemas.microsoft.com/office/drawing/2014/main" id="{620716AE-FA74-BB62-472F-5798DED2C5C7}"/>
                        </a:ext>
                      </a:extLst>
                    </pic:cNvPr>
                    <pic:cNvPicPr>
                      <a:picLocks noChangeAspect="1"/>
                    </pic:cNvPicPr>
                  </pic:nvPicPr>
                  <pic:blipFill>
                    <a:blip r:embed="rId15"/>
                    <a:srcRect t="7689" b="-7689"/>
                    <a:stretch/>
                  </pic:blipFill>
                  <pic:spPr>
                    <a:xfrm>
                      <a:off x="0" y="0"/>
                      <a:ext cx="5731510" cy="2238375"/>
                    </a:xfrm>
                    <a:prstGeom prst="rect">
                      <a:avLst/>
                    </a:prstGeom>
                  </pic:spPr>
                </pic:pic>
              </a:graphicData>
            </a:graphic>
          </wp:inline>
        </w:drawing>
      </w:r>
    </w:p>
    <w:p w14:paraId="055A1FBA" w14:textId="77777777" w:rsidR="00542624" w:rsidRPr="002B4E2A" w:rsidRDefault="00542624" w:rsidP="00542624">
      <w:pPr>
        <w:pStyle w:val="ListParagraph"/>
        <w:ind w:left="1080"/>
        <w:jc w:val="right"/>
        <w:rPr>
          <w:sz w:val="22"/>
          <w:szCs w:val="22"/>
        </w:rPr>
      </w:pPr>
      <w:r w:rsidRPr="002B4E2A">
        <w:rPr>
          <w:sz w:val="22"/>
          <w:szCs w:val="22"/>
        </w:rPr>
        <w:t>Source: CCREEE (2021). Energy Report Card (ERC)</w:t>
      </w:r>
    </w:p>
    <w:p w14:paraId="6D7FE0D5" w14:textId="77777777" w:rsidR="00542624" w:rsidRPr="002B4E2A" w:rsidRDefault="00542624" w:rsidP="00542624">
      <w:pPr>
        <w:pStyle w:val="ListParagraph"/>
        <w:ind w:left="0"/>
        <w:jc w:val="both"/>
        <w:rPr>
          <w:sz w:val="22"/>
          <w:szCs w:val="22"/>
          <w:lang w:val="en-JM"/>
        </w:rPr>
      </w:pPr>
    </w:p>
    <w:p w14:paraId="5DE14968" w14:textId="77777777" w:rsidR="00542624" w:rsidRPr="002B4E2A" w:rsidRDefault="00542624" w:rsidP="000A3D0D">
      <w:pPr>
        <w:pStyle w:val="ListParagraph"/>
        <w:numPr>
          <w:ilvl w:val="1"/>
          <w:numId w:val="12"/>
        </w:numPr>
        <w:ind w:left="0" w:firstLine="0"/>
        <w:contextualSpacing/>
        <w:jc w:val="both"/>
        <w:rPr>
          <w:sz w:val="22"/>
          <w:szCs w:val="22"/>
        </w:rPr>
      </w:pPr>
      <w:r w:rsidRPr="002B4E2A">
        <w:rPr>
          <w:sz w:val="22"/>
          <w:szCs w:val="22"/>
        </w:rPr>
        <w:t xml:space="preserve">Against this background, establishing a Multi-donor Caribbean E-Mobility Fund is considered critical to accelerating the Caribbean’s transition toward a resilient, low-carbon transport sector. This is </w:t>
      </w:r>
      <w:r w:rsidRPr="002B4E2A">
        <w:rPr>
          <w:sz w:val="22"/>
          <w:szCs w:val="22"/>
          <w:lang w:val="en-JM"/>
        </w:rPr>
        <w:t>aligned with the objectives of the</w:t>
      </w:r>
      <w:r w:rsidRPr="002B4E2A">
        <w:rPr>
          <w:sz w:val="22"/>
          <w:szCs w:val="22"/>
        </w:rPr>
        <w:t xml:space="preserve"> </w:t>
      </w:r>
      <w:r w:rsidRPr="002B4E2A">
        <w:rPr>
          <w:sz w:val="22"/>
          <w:szCs w:val="22"/>
          <w:lang w:val="en-JM"/>
        </w:rPr>
        <w:t>Regional Electric Vehicle Strategy (REVS), CDB’s Strategic Plan, SDF 11 Programme, CDB’s Climate Resilience Strategy, and the ASERT 2030 framework.</w:t>
      </w:r>
      <w:r w:rsidRPr="002B4E2A">
        <w:rPr>
          <w:sz w:val="22"/>
          <w:szCs w:val="22"/>
        </w:rPr>
        <w:t xml:space="preserve"> The Multi-donor Caribbean E-Mobility Fund will provide affordable and accessible financing and play a catalytic role in driving market transformation and stimulating demand for electric vehicles (EVs) and e-mobile marine and riverine transportation across the region. Its strategic objectives include:</w:t>
      </w:r>
    </w:p>
    <w:p w14:paraId="26CA08B4" w14:textId="77777777" w:rsidR="00542624" w:rsidRPr="002B4E2A" w:rsidRDefault="00542624" w:rsidP="00542624">
      <w:pPr>
        <w:pStyle w:val="ListParagraph"/>
        <w:ind w:left="0"/>
        <w:jc w:val="center"/>
        <w:rPr>
          <w:sz w:val="22"/>
          <w:szCs w:val="22"/>
        </w:rPr>
      </w:pPr>
    </w:p>
    <w:p w14:paraId="2FBCA6C7" w14:textId="77777777" w:rsidR="00542624" w:rsidRPr="002B4E2A" w:rsidRDefault="00542624" w:rsidP="000A3D0D">
      <w:pPr>
        <w:widowControl/>
        <w:numPr>
          <w:ilvl w:val="0"/>
          <w:numId w:val="9"/>
        </w:numPr>
        <w:tabs>
          <w:tab w:val="clear" w:pos="720"/>
        </w:tabs>
        <w:autoSpaceDE/>
        <w:autoSpaceDN/>
        <w:adjustRightInd/>
        <w:ind w:left="1440" w:hanging="720"/>
        <w:jc w:val="both"/>
        <w:rPr>
          <w:rFonts w:ascii="Times New Roman" w:hAnsi="Times New Roman"/>
          <w:sz w:val="22"/>
          <w:szCs w:val="22"/>
        </w:rPr>
      </w:pPr>
      <w:r w:rsidRPr="002B4E2A">
        <w:rPr>
          <w:rFonts w:ascii="Times New Roman" w:hAnsi="Times New Roman"/>
          <w:sz w:val="22"/>
          <w:szCs w:val="22"/>
        </w:rPr>
        <w:t xml:space="preserve">To make e-mobility more accessible to households, fleet operators, and public agencies by reducing the high upfront cost of EVs and charging infrastructure through concessional loans, guarantees, and grants. </w:t>
      </w:r>
    </w:p>
    <w:p w14:paraId="7356DB69" w14:textId="77777777" w:rsidR="00542624" w:rsidRPr="002B4E2A" w:rsidRDefault="00542624" w:rsidP="000A3D0D">
      <w:pPr>
        <w:widowControl/>
        <w:numPr>
          <w:ilvl w:val="0"/>
          <w:numId w:val="9"/>
        </w:numPr>
        <w:tabs>
          <w:tab w:val="clear" w:pos="720"/>
        </w:tabs>
        <w:autoSpaceDE/>
        <w:autoSpaceDN/>
        <w:adjustRightInd/>
        <w:ind w:left="1440" w:hanging="720"/>
        <w:jc w:val="both"/>
        <w:rPr>
          <w:rFonts w:ascii="Times New Roman" w:hAnsi="Times New Roman"/>
          <w:sz w:val="22"/>
          <w:szCs w:val="22"/>
        </w:rPr>
      </w:pPr>
      <w:r w:rsidRPr="002B4E2A">
        <w:rPr>
          <w:rFonts w:ascii="Times New Roman" w:hAnsi="Times New Roman"/>
          <w:sz w:val="22"/>
          <w:szCs w:val="22"/>
        </w:rPr>
        <w:t xml:space="preserve">To spur market demand, boast consumer confidence and </w:t>
      </w:r>
      <w:proofErr w:type="gramStart"/>
      <w:r w:rsidRPr="002B4E2A">
        <w:rPr>
          <w:rFonts w:ascii="Times New Roman" w:hAnsi="Times New Roman"/>
          <w:sz w:val="22"/>
          <w:szCs w:val="22"/>
        </w:rPr>
        <w:t>signals</w:t>
      </w:r>
      <w:proofErr w:type="gramEnd"/>
      <w:r w:rsidRPr="002B4E2A">
        <w:rPr>
          <w:rFonts w:ascii="Times New Roman" w:hAnsi="Times New Roman"/>
          <w:sz w:val="22"/>
          <w:szCs w:val="22"/>
        </w:rPr>
        <w:t xml:space="preserve"> for market growth.</w:t>
      </w:r>
    </w:p>
    <w:p w14:paraId="662C310C" w14:textId="77777777" w:rsidR="00542624" w:rsidRPr="002B4E2A" w:rsidRDefault="00542624" w:rsidP="000A3D0D">
      <w:pPr>
        <w:widowControl/>
        <w:numPr>
          <w:ilvl w:val="0"/>
          <w:numId w:val="9"/>
        </w:numPr>
        <w:tabs>
          <w:tab w:val="clear" w:pos="720"/>
        </w:tabs>
        <w:autoSpaceDE/>
        <w:autoSpaceDN/>
        <w:adjustRightInd/>
        <w:ind w:left="1440" w:hanging="720"/>
        <w:jc w:val="both"/>
        <w:rPr>
          <w:rFonts w:ascii="Times New Roman" w:hAnsi="Times New Roman"/>
          <w:sz w:val="22"/>
          <w:szCs w:val="22"/>
        </w:rPr>
      </w:pPr>
      <w:r w:rsidRPr="002B4E2A">
        <w:rPr>
          <w:rFonts w:ascii="Times New Roman" w:hAnsi="Times New Roman"/>
          <w:sz w:val="22"/>
          <w:szCs w:val="22"/>
        </w:rPr>
        <w:t>To support the deployment of EV charging stations, grid upgrades, and renewable-powered charging solutions, addressing critical gaps in the enabling infrastructure needed for widespread EV adoption.</w:t>
      </w:r>
    </w:p>
    <w:p w14:paraId="48627466" w14:textId="77777777" w:rsidR="00542624" w:rsidRPr="002B4E2A" w:rsidRDefault="00542624" w:rsidP="000A3D0D">
      <w:pPr>
        <w:widowControl/>
        <w:numPr>
          <w:ilvl w:val="0"/>
          <w:numId w:val="9"/>
        </w:numPr>
        <w:tabs>
          <w:tab w:val="clear" w:pos="720"/>
        </w:tabs>
        <w:autoSpaceDE/>
        <w:autoSpaceDN/>
        <w:adjustRightInd/>
        <w:ind w:left="1440" w:hanging="720"/>
        <w:jc w:val="both"/>
        <w:rPr>
          <w:rFonts w:ascii="Times New Roman" w:hAnsi="Times New Roman"/>
          <w:sz w:val="22"/>
          <w:szCs w:val="22"/>
        </w:rPr>
      </w:pPr>
      <w:r w:rsidRPr="002B4E2A">
        <w:rPr>
          <w:rFonts w:ascii="Times New Roman" w:hAnsi="Times New Roman"/>
          <w:sz w:val="22"/>
          <w:szCs w:val="22"/>
        </w:rPr>
        <w:t>To assist governments design and implement policies, incentives, and tariff structures that foster investor confidence and support long-term e-mobility planning and penetration.</w:t>
      </w:r>
    </w:p>
    <w:p w14:paraId="04183B22" w14:textId="77777777" w:rsidR="00542624" w:rsidRPr="002B4E2A" w:rsidRDefault="00542624" w:rsidP="000A3D0D">
      <w:pPr>
        <w:widowControl/>
        <w:numPr>
          <w:ilvl w:val="0"/>
          <w:numId w:val="9"/>
        </w:numPr>
        <w:tabs>
          <w:tab w:val="clear" w:pos="720"/>
        </w:tabs>
        <w:autoSpaceDE/>
        <w:autoSpaceDN/>
        <w:adjustRightInd/>
        <w:ind w:left="1440" w:hanging="720"/>
        <w:jc w:val="both"/>
        <w:rPr>
          <w:rFonts w:ascii="Times New Roman" w:hAnsi="Times New Roman"/>
          <w:sz w:val="22"/>
          <w:szCs w:val="22"/>
        </w:rPr>
      </w:pPr>
      <w:r w:rsidRPr="002B4E2A">
        <w:rPr>
          <w:rFonts w:ascii="Times New Roman" w:hAnsi="Times New Roman"/>
          <w:sz w:val="22"/>
          <w:szCs w:val="22"/>
        </w:rPr>
        <w:t>To equip local technicians, transport operators, energy providers, and financial institutions with the skills and tools required for a thriving e-mobility ecosystem.</w:t>
      </w:r>
    </w:p>
    <w:p w14:paraId="30A1452B" w14:textId="77777777" w:rsidR="00542624" w:rsidRPr="002B4E2A" w:rsidRDefault="00542624" w:rsidP="000A3D0D">
      <w:pPr>
        <w:widowControl/>
        <w:numPr>
          <w:ilvl w:val="0"/>
          <w:numId w:val="9"/>
        </w:numPr>
        <w:tabs>
          <w:tab w:val="clear" w:pos="720"/>
        </w:tabs>
        <w:autoSpaceDE/>
        <w:autoSpaceDN/>
        <w:adjustRightInd/>
        <w:ind w:left="1440" w:hanging="720"/>
        <w:jc w:val="both"/>
        <w:rPr>
          <w:rFonts w:ascii="Times New Roman" w:hAnsi="Times New Roman"/>
          <w:sz w:val="22"/>
          <w:szCs w:val="22"/>
        </w:rPr>
      </w:pPr>
      <w:r w:rsidRPr="002B4E2A">
        <w:rPr>
          <w:rFonts w:ascii="Times New Roman" w:hAnsi="Times New Roman"/>
          <w:sz w:val="22"/>
          <w:szCs w:val="22"/>
        </w:rPr>
        <w:t xml:space="preserve">To raise greater awareness and highlight the environmental and economic benefits of adopting </w:t>
      </w:r>
      <w:r w:rsidRPr="002B4E2A">
        <w:rPr>
          <w:rFonts w:ascii="Times New Roman" w:hAnsi="Times New Roman"/>
          <w:sz w:val="22"/>
          <w:szCs w:val="22"/>
          <w:lang w:val="en-JM"/>
        </w:rPr>
        <w:t xml:space="preserve">e-mobility </w:t>
      </w:r>
      <w:r w:rsidRPr="002B4E2A">
        <w:rPr>
          <w:rFonts w:ascii="Times New Roman" w:hAnsi="Times New Roman"/>
          <w:sz w:val="22"/>
          <w:szCs w:val="22"/>
        </w:rPr>
        <w:t>and renewable energy technologies.</w:t>
      </w:r>
    </w:p>
    <w:p w14:paraId="35E756D7" w14:textId="77777777" w:rsidR="00542624" w:rsidRPr="002B4E2A" w:rsidRDefault="00542624" w:rsidP="00542624">
      <w:pPr>
        <w:rPr>
          <w:rFonts w:ascii="Times New Roman" w:hAnsi="Times New Roman"/>
          <w:b/>
          <w:bCs/>
          <w:sz w:val="22"/>
          <w:szCs w:val="22"/>
        </w:rPr>
      </w:pPr>
    </w:p>
    <w:p w14:paraId="06FB563E" w14:textId="77777777" w:rsidR="00542624" w:rsidRPr="002B4E2A" w:rsidRDefault="00542624" w:rsidP="000A3D0D">
      <w:pPr>
        <w:pStyle w:val="ListParagraph"/>
        <w:numPr>
          <w:ilvl w:val="1"/>
          <w:numId w:val="12"/>
        </w:numPr>
        <w:ind w:left="0" w:firstLine="0"/>
        <w:contextualSpacing/>
        <w:jc w:val="both"/>
        <w:rPr>
          <w:b/>
          <w:bCs/>
          <w:sz w:val="22"/>
          <w:szCs w:val="22"/>
        </w:rPr>
      </w:pPr>
      <w:r w:rsidRPr="002B4E2A">
        <w:rPr>
          <w:sz w:val="22"/>
          <w:szCs w:val="22"/>
          <w:lang w:val="en-JM"/>
        </w:rPr>
        <w:t>Inter alia, the establishment of a Caribbean E-Mobility Fund will form a critical, innovative and transformative initiative (</w:t>
      </w:r>
      <w:proofErr w:type="spellStart"/>
      <w:r w:rsidRPr="002B4E2A">
        <w:rPr>
          <w:sz w:val="22"/>
          <w:szCs w:val="22"/>
          <w:lang w:val="en-JM"/>
        </w:rPr>
        <w:t>ASERTive</w:t>
      </w:r>
      <w:proofErr w:type="spellEnd"/>
      <w:r w:rsidRPr="002B4E2A">
        <w:rPr>
          <w:sz w:val="22"/>
          <w:szCs w:val="22"/>
          <w:lang w:val="en-JM"/>
        </w:rPr>
        <w:t>) to help catalyse and scale-up investments in e-mobility by addressing the main barriers</w:t>
      </w:r>
    </w:p>
    <w:p w14:paraId="69D4BAB2" w14:textId="77777777" w:rsidR="00542624" w:rsidRPr="002B4E2A" w:rsidRDefault="00542624" w:rsidP="00542624">
      <w:pPr>
        <w:rPr>
          <w:rFonts w:ascii="Times New Roman" w:hAnsi="Times New Roman"/>
          <w:b/>
          <w:bCs/>
          <w:sz w:val="22"/>
          <w:szCs w:val="22"/>
          <w:lang w:val="en-JM"/>
        </w:rPr>
      </w:pPr>
    </w:p>
    <w:p w14:paraId="210B2C70" w14:textId="77777777" w:rsidR="00542624" w:rsidRPr="002B4E2A" w:rsidRDefault="00542624" w:rsidP="004508EA">
      <w:pPr>
        <w:ind w:firstLine="720"/>
        <w:rPr>
          <w:rFonts w:ascii="Times New Roman" w:hAnsi="Times New Roman"/>
          <w:b/>
          <w:bCs/>
          <w:sz w:val="22"/>
          <w:szCs w:val="22"/>
          <w:lang w:val="en-JM"/>
        </w:rPr>
      </w:pPr>
      <w:r w:rsidRPr="002B4E2A">
        <w:rPr>
          <w:rFonts w:ascii="Times New Roman" w:hAnsi="Times New Roman"/>
          <w:b/>
          <w:bCs/>
          <w:sz w:val="22"/>
          <w:szCs w:val="22"/>
          <w:lang w:val="en-JM"/>
        </w:rPr>
        <w:t xml:space="preserve">Barriers </w:t>
      </w:r>
    </w:p>
    <w:p w14:paraId="44B47C22" w14:textId="77777777" w:rsidR="00542624" w:rsidRPr="002B4E2A" w:rsidRDefault="00542624" w:rsidP="00542624">
      <w:pPr>
        <w:rPr>
          <w:rFonts w:ascii="Times New Roman" w:hAnsi="Times New Roman"/>
          <w:b/>
          <w:bCs/>
          <w:sz w:val="22"/>
          <w:szCs w:val="22"/>
          <w:lang w:val="en-JM"/>
        </w:rPr>
      </w:pPr>
    </w:p>
    <w:p w14:paraId="5B0B0E13" w14:textId="77777777" w:rsidR="00542624" w:rsidRPr="002B4E2A" w:rsidRDefault="00542624" w:rsidP="000A3D0D">
      <w:pPr>
        <w:pStyle w:val="ListParagraph"/>
        <w:numPr>
          <w:ilvl w:val="1"/>
          <w:numId w:val="12"/>
        </w:numPr>
        <w:ind w:left="0" w:firstLine="0"/>
        <w:contextualSpacing/>
        <w:jc w:val="both"/>
        <w:rPr>
          <w:sz w:val="22"/>
          <w:szCs w:val="22"/>
        </w:rPr>
      </w:pPr>
      <w:r w:rsidRPr="002B4E2A">
        <w:rPr>
          <w:sz w:val="22"/>
          <w:szCs w:val="22"/>
        </w:rPr>
        <w:t xml:space="preserve">Despite the </w:t>
      </w:r>
      <w:proofErr w:type="spellStart"/>
      <w:r w:rsidRPr="002B4E2A">
        <w:rPr>
          <w:sz w:val="22"/>
          <w:szCs w:val="22"/>
        </w:rPr>
        <w:t>recognised</w:t>
      </w:r>
      <w:proofErr w:type="spellEnd"/>
      <w:r w:rsidRPr="002B4E2A">
        <w:rPr>
          <w:sz w:val="22"/>
          <w:szCs w:val="22"/>
        </w:rPr>
        <w:t xml:space="preserve"> potential of e-mobility technologies to significantly reduce greenhouse gas emissions from the transport sector, several structural, financial, and institutional barriers are impeding their widespread adoption across the region.  This is a major challenge, as the electrification of the transportation sector holds the potential to radically expedite the energy transition in all CDB BMCs.  This, because, on </w:t>
      </w:r>
      <w:proofErr w:type="gramStart"/>
      <w:r w:rsidRPr="002B4E2A">
        <w:rPr>
          <w:sz w:val="22"/>
          <w:szCs w:val="22"/>
        </w:rPr>
        <w:lastRenderedPageBreak/>
        <w:t>average</w:t>
      </w:r>
      <w:proofErr w:type="gramEnd"/>
      <w:r w:rsidRPr="002B4E2A">
        <w:rPr>
          <w:sz w:val="22"/>
          <w:szCs w:val="22"/>
        </w:rPr>
        <w:t xml:space="preserve"> the liquid fossil fuel imports account for more than 40% of the total fossil fuel imports and in some cases </w:t>
      </w:r>
      <w:proofErr w:type="gramStart"/>
      <w:r w:rsidRPr="002B4E2A">
        <w:rPr>
          <w:sz w:val="22"/>
          <w:szCs w:val="22"/>
        </w:rPr>
        <w:t>exceeds</w:t>
      </w:r>
      <w:proofErr w:type="gramEnd"/>
      <w:r w:rsidRPr="002B4E2A">
        <w:rPr>
          <w:sz w:val="22"/>
          <w:szCs w:val="22"/>
        </w:rPr>
        <w:t xml:space="preserve"> 50%. </w:t>
      </w:r>
    </w:p>
    <w:p w14:paraId="5227D40E" w14:textId="77777777" w:rsidR="00542624" w:rsidRPr="002B4E2A" w:rsidRDefault="00542624" w:rsidP="00542624">
      <w:pPr>
        <w:jc w:val="both"/>
        <w:rPr>
          <w:rFonts w:ascii="Times New Roman" w:hAnsi="Times New Roman"/>
          <w:sz w:val="22"/>
          <w:szCs w:val="22"/>
          <w:lang w:val="en-JM"/>
        </w:rPr>
      </w:pPr>
    </w:p>
    <w:p w14:paraId="5CFEFF2A" w14:textId="77777777" w:rsidR="00542624" w:rsidRPr="002B4E2A" w:rsidRDefault="00542624" w:rsidP="000A3D0D">
      <w:pPr>
        <w:pStyle w:val="ListParagraph"/>
        <w:numPr>
          <w:ilvl w:val="1"/>
          <w:numId w:val="12"/>
        </w:numPr>
        <w:ind w:left="0" w:firstLine="0"/>
        <w:contextualSpacing/>
        <w:jc w:val="both"/>
        <w:rPr>
          <w:sz w:val="22"/>
          <w:szCs w:val="22"/>
        </w:rPr>
      </w:pPr>
      <w:r w:rsidRPr="002B4E2A">
        <w:rPr>
          <w:sz w:val="22"/>
          <w:szCs w:val="22"/>
        </w:rPr>
        <w:t>Based on a recently completed Feasibility Study for the Funding Proposal, ‘Transforming Finance to Unlock Climate Action in the Caribbean</w:t>
      </w:r>
      <w:r w:rsidRPr="002B4E2A">
        <w:rPr>
          <w:rStyle w:val="FootnoteReference"/>
          <w:sz w:val="22"/>
          <w:szCs w:val="22"/>
          <w:lang w:val="en-JM"/>
        </w:rPr>
        <w:footnoteReference w:id="5"/>
      </w:r>
      <w:r w:rsidRPr="002B4E2A">
        <w:rPr>
          <w:sz w:val="22"/>
          <w:szCs w:val="22"/>
        </w:rPr>
        <w:t xml:space="preserve">’, which is to be funded, in part, by the GCF, the main barriers to increase adoption of e-mobility technologies in Belize, Jamaica and Saint Lucia are: </w:t>
      </w:r>
    </w:p>
    <w:p w14:paraId="3D8FE58B" w14:textId="77777777" w:rsidR="00542624" w:rsidRPr="002B4E2A" w:rsidRDefault="00542624" w:rsidP="00542624">
      <w:pPr>
        <w:pStyle w:val="ListParagraph"/>
        <w:ind w:left="0"/>
        <w:jc w:val="both"/>
        <w:rPr>
          <w:sz w:val="22"/>
          <w:szCs w:val="22"/>
        </w:rPr>
      </w:pPr>
    </w:p>
    <w:p w14:paraId="5465E5EE" w14:textId="77777777" w:rsidR="00542624" w:rsidRPr="002B4E2A" w:rsidRDefault="00542624" w:rsidP="004508EA">
      <w:pPr>
        <w:pStyle w:val="ListParagraph"/>
        <w:numPr>
          <w:ilvl w:val="0"/>
          <w:numId w:val="11"/>
        </w:numPr>
        <w:tabs>
          <w:tab w:val="clear" w:pos="720"/>
        </w:tabs>
        <w:ind w:left="1440" w:hanging="720"/>
        <w:contextualSpacing/>
        <w:jc w:val="both"/>
        <w:rPr>
          <w:sz w:val="22"/>
          <w:szCs w:val="22"/>
          <w:lang w:val="en-JM"/>
        </w:rPr>
      </w:pPr>
      <w:r w:rsidRPr="002B4E2A">
        <w:rPr>
          <w:i/>
          <w:iCs/>
          <w:sz w:val="22"/>
          <w:szCs w:val="22"/>
          <w:lang w:val="en-JM"/>
        </w:rPr>
        <w:t>High upfront costs and limited financing options</w:t>
      </w:r>
      <w:r w:rsidRPr="002B4E2A">
        <w:rPr>
          <w:sz w:val="22"/>
          <w:szCs w:val="22"/>
          <w:lang w:val="en-JM"/>
        </w:rPr>
        <w:t xml:space="preserve"> - EVs generally cost more than internal combustion engine (ICE) vehicles, and access to tailored financing solutions (e.g., lease-to-own or concessional loan products) is limited. Most banks perceive EVs as high-risk, unfamiliar assets, resulting in higher interest rates or outright financing ineligibility.</w:t>
      </w:r>
    </w:p>
    <w:p w14:paraId="6432AC88" w14:textId="77777777" w:rsidR="00542624" w:rsidRPr="002B4E2A" w:rsidRDefault="00542624" w:rsidP="004508EA">
      <w:pPr>
        <w:ind w:left="1440" w:hanging="720"/>
        <w:jc w:val="both"/>
        <w:rPr>
          <w:rFonts w:ascii="Times New Roman" w:hAnsi="Times New Roman"/>
          <w:sz w:val="22"/>
          <w:szCs w:val="22"/>
          <w:lang w:val="en-JM"/>
        </w:rPr>
      </w:pPr>
    </w:p>
    <w:p w14:paraId="0711CBC8" w14:textId="77777777" w:rsidR="00542624" w:rsidRPr="002B4E2A" w:rsidRDefault="00542624" w:rsidP="004508EA">
      <w:pPr>
        <w:widowControl/>
        <w:numPr>
          <w:ilvl w:val="0"/>
          <w:numId w:val="11"/>
        </w:numPr>
        <w:tabs>
          <w:tab w:val="clear" w:pos="720"/>
        </w:tabs>
        <w:autoSpaceDE/>
        <w:autoSpaceDN/>
        <w:adjustRightInd/>
        <w:ind w:left="1440" w:hanging="720"/>
        <w:jc w:val="both"/>
        <w:rPr>
          <w:rFonts w:ascii="Times New Roman" w:hAnsi="Times New Roman"/>
          <w:sz w:val="22"/>
          <w:szCs w:val="22"/>
          <w:lang w:val="en-JM"/>
        </w:rPr>
      </w:pPr>
      <w:r w:rsidRPr="002B4E2A">
        <w:rPr>
          <w:rFonts w:ascii="Times New Roman" w:hAnsi="Times New Roman"/>
          <w:i/>
          <w:iCs/>
          <w:sz w:val="22"/>
          <w:szCs w:val="22"/>
          <w:lang w:val="en-JM"/>
        </w:rPr>
        <w:t>Insufficient charging infrastructure</w:t>
      </w:r>
      <w:r w:rsidRPr="002B4E2A">
        <w:rPr>
          <w:rFonts w:ascii="Times New Roman" w:hAnsi="Times New Roman"/>
          <w:sz w:val="22"/>
          <w:szCs w:val="22"/>
          <w:lang w:val="en-JM"/>
        </w:rPr>
        <w:t xml:space="preserve"> - Initiatives like the BEL’s EV charging pilot in Belize and private sector-led deployment in Jamaica are underway; however, the network remains sparse, particularly in rural and mountainous areas. In Saint Lucia, limited infrastructure is further challenged by terrain-related range issues.</w:t>
      </w:r>
    </w:p>
    <w:p w14:paraId="50C35A1F" w14:textId="77777777" w:rsidR="00542624" w:rsidRPr="002B4E2A" w:rsidRDefault="00542624" w:rsidP="004508EA">
      <w:pPr>
        <w:ind w:left="1440" w:hanging="720"/>
        <w:jc w:val="both"/>
        <w:rPr>
          <w:rFonts w:ascii="Times New Roman" w:hAnsi="Times New Roman"/>
          <w:sz w:val="22"/>
          <w:szCs w:val="22"/>
          <w:lang w:val="en-JM"/>
        </w:rPr>
      </w:pPr>
    </w:p>
    <w:p w14:paraId="71654661" w14:textId="77777777" w:rsidR="00542624" w:rsidRPr="002B4E2A" w:rsidRDefault="00542624" w:rsidP="004508EA">
      <w:pPr>
        <w:widowControl/>
        <w:numPr>
          <w:ilvl w:val="0"/>
          <w:numId w:val="11"/>
        </w:numPr>
        <w:tabs>
          <w:tab w:val="clear" w:pos="720"/>
        </w:tabs>
        <w:autoSpaceDE/>
        <w:autoSpaceDN/>
        <w:adjustRightInd/>
        <w:ind w:left="1440" w:hanging="720"/>
        <w:jc w:val="both"/>
        <w:rPr>
          <w:rFonts w:ascii="Times New Roman" w:hAnsi="Times New Roman"/>
          <w:sz w:val="22"/>
          <w:szCs w:val="22"/>
          <w:lang w:val="en-JM"/>
        </w:rPr>
      </w:pPr>
      <w:r w:rsidRPr="002B4E2A">
        <w:rPr>
          <w:rFonts w:ascii="Times New Roman" w:hAnsi="Times New Roman"/>
          <w:i/>
          <w:iCs/>
          <w:sz w:val="22"/>
          <w:szCs w:val="22"/>
          <w:lang w:val="en-JM"/>
        </w:rPr>
        <w:t>Lack of awareness and consumer confidence</w:t>
      </w:r>
      <w:r w:rsidRPr="002B4E2A">
        <w:rPr>
          <w:rFonts w:ascii="Times New Roman" w:hAnsi="Times New Roman"/>
          <w:sz w:val="22"/>
          <w:szCs w:val="22"/>
          <w:lang w:val="en-JM"/>
        </w:rPr>
        <w:t xml:space="preserve"> - There is a “wait-and-see” mentality among consumers, fuelled by low public knowledge of EV benefits, unfamiliarity with technology, and concerns about maintenance, spare parts, and resale value.</w:t>
      </w:r>
    </w:p>
    <w:p w14:paraId="5549DF63" w14:textId="77777777" w:rsidR="00542624" w:rsidRPr="002B4E2A" w:rsidRDefault="00542624" w:rsidP="004508EA">
      <w:pPr>
        <w:ind w:left="1440" w:hanging="720"/>
        <w:jc w:val="both"/>
        <w:rPr>
          <w:rFonts w:ascii="Times New Roman" w:hAnsi="Times New Roman"/>
          <w:sz w:val="22"/>
          <w:szCs w:val="22"/>
          <w:lang w:val="en-JM"/>
        </w:rPr>
      </w:pPr>
    </w:p>
    <w:p w14:paraId="0E0BC564" w14:textId="77777777" w:rsidR="00542624" w:rsidRPr="002B4E2A" w:rsidRDefault="00542624" w:rsidP="004508EA">
      <w:pPr>
        <w:widowControl/>
        <w:numPr>
          <w:ilvl w:val="0"/>
          <w:numId w:val="11"/>
        </w:numPr>
        <w:tabs>
          <w:tab w:val="clear" w:pos="720"/>
        </w:tabs>
        <w:autoSpaceDE/>
        <w:autoSpaceDN/>
        <w:adjustRightInd/>
        <w:ind w:left="1440" w:hanging="720"/>
        <w:jc w:val="both"/>
        <w:rPr>
          <w:rFonts w:ascii="Times New Roman" w:hAnsi="Times New Roman"/>
          <w:sz w:val="22"/>
          <w:szCs w:val="22"/>
          <w:lang w:val="en-JM"/>
        </w:rPr>
      </w:pPr>
      <w:r w:rsidRPr="002B4E2A">
        <w:rPr>
          <w:rFonts w:ascii="Times New Roman" w:hAnsi="Times New Roman"/>
          <w:sz w:val="22"/>
          <w:szCs w:val="22"/>
          <w:lang w:val="en-JM"/>
        </w:rPr>
        <w:t>Limited vehicle availability and market representation - Dealerships offer few EV models, most of which are sourced from outside of the Caribbean. This restricts consumer choice and drives up prices.</w:t>
      </w:r>
    </w:p>
    <w:p w14:paraId="74A03A6F" w14:textId="77777777" w:rsidR="00542624" w:rsidRPr="002B4E2A" w:rsidRDefault="00542624" w:rsidP="004508EA">
      <w:pPr>
        <w:ind w:hanging="720"/>
        <w:jc w:val="both"/>
        <w:rPr>
          <w:rFonts w:ascii="Times New Roman" w:hAnsi="Times New Roman"/>
          <w:sz w:val="22"/>
          <w:szCs w:val="22"/>
          <w:lang w:val="en-JM"/>
        </w:rPr>
      </w:pPr>
    </w:p>
    <w:p w14:paraId="41EE9B80" w14:textId="77777777" w:rsidR="00542624" w:rsidRPr="002B4E2A" w:rsidRDefault="00542624" w:rsidP="004508EA">
      <w:pPr>
        <w:widowControl/>
        <w:numPr>
          <w:ilvl w:val="0"/>
          <w:numId w:val="11"/>
        </w:numPr>
        <w:tabs>
          <w:tab w:val="clear" w:pos="720"/>
        </w:tabs>
        <w:autoSpaceDE/>
        <w:autoSpaceDN/>
        <w:adjustRightInd/>
        <w:ind w:left="1440" w:hanging="720"/>
        <w:jc w:val="both"/>
        <w:rPr>
          <w:rFonts w:ascii="Times New Roman" w:hAnsi="Times New Roman"/>
          <w:sz w:val="22"/>
          <w:szCs w:val="22"/>
          <w:lang w:val="en-JM"/>
        </w:rPr>
      </w:pPr>
      <w:r w:rsidRPr="002B4E2A">
        <w:rPr>
          <w:rFonts w:ascii="Times New Roman" w:hAnsi="Times New Roman"/>
          <w:i/>
          <w:iCs/>
          <w:sz w:val="22"/>
          <w:szCs w:val="22"/>
          <w:lang w:val="en-JM"/>
        </w:rPr>
        <w:t>Weak policy support and inconsistent incentives</w:t>
      </w:r>
      <w:r w:rsidRPr="002B4E2A">
        <w:rPr>
          <w:rFonts w:ascii="Times New Roman" w:hAnsi="Times New Roman"/>
          <w:sz w:val="22"/>
          <w:szCs w:val="22"/>
          <w:lang w:val="en-JM"/>
        </w:rPr>
        <w:t xml:space="preserve"> - Although Saint Lucia has implemented zero tariffs on EVs and other countries like Belize are discussing policy reforms, fiscal incentives are not always clear, sustained, or comprehensive. In some cases, EVs are still taxed similarly to ICE vehicles.</w:t>
      </w:r>
    </w:p>
    <w:p w14:paraId="79D05BFB" w14:textId="77777777" w:rsidR="00542624" w:rsidRPr="002B4E2A" w:rsidRDefault="00542624" w:rsidP="004508EA">
      <w:pPr>
        <w:ind w:hanging="720"/>
        <w:jc w:val="both"/>
        <w:rPr>
          <w:rFonts w:ascii="Times New Roman" w:hAnsi="Times New Roman"/>
          <w:sz w:val="22"/>
          <w:szCs w:val="22"/>
          <w:lang w:val="en-JM"/>
        </w:rPr>
      </w:pPr>
    </w:p>
    <w:p w14:paraId="4965AE42" w14:textId="77777777" w:rsidR="00542624" w:rsidRPr="002B4E2A" w:rsidRDefault="00542624" w:rsidP="004508EA">
      <w:pPr>
        <w:widowControl/>
        <w:numPr>
          <w:ilvl w:val="0"/>
          <w:numId w:val="11"/>
        </w:numPr>
        <w:tabs>
          <w:tab w:val="clear" w:pos="720"/>
        </w:tabs>
        <w:autoSpaceDE/>
        <w:autoSpaceDN/>
        <w:adjustRightInd/>
        <w:ind w:left="1440" w:hanging="720"/>
        <w:jc w:val="both"/>
        <w:rPr>
          <w:rFonts w:ascii="Times New Roman" w:hAnsi="Times New Roman"/>
          <w:sz w:val="22"/>
          <w:szCs w:val="22"/>
          <w:lang w:val="en-JM"/>
        </w:rPr>
      </w:pPr>
      <w:r w:rsidRPr="002B4E2A">
        <w:rPr>
          <w:rFonts w:ascii="Times New Roman" w:hAnsi="Times New Roman"/>
          <w:i/>
          <w:iCs/>
          <w:sz w:val="22"/>
          <w:szCs w:val="22"/>
          <w:lang w:val="en-JM"/>
        </w:rPr>
        <w:t>High electricity prices and low fuel costs</w:t>
      </w:r>
      <w:r w:rsidRPr="002B4E2A">
        <w:rPr>
          <w:rFonts w:ascii="Times New Roman" w:hAnsi="Times New Roman"/>
          <w:sz w:val="22"/>
          <w:szCs w:val="22"/>
          <w:lang w:val="en-JM"/>
        </w:rPr>
        <w:t xml:space="preserve"> - In markets like Saint Lucia and Belize, high electricity tariffs (USD 0.38–0.40/kWh) and relatively low fuel prices reduce the cost advantage of EVs and extend payback periods beyond investor expectations (e.g., up to 32 years in Saint Lucia).</w:t>
      </w:r>
    </w:p>
    <w:p w14:paraId="5CDB0067" w14:textId="77777777" w:rsidR="00542624" w:rsidRPr="002B4E2A" w:rsidRDefault="00542624" w:rsidP="00542624">
      <w:pPr>
        <w:jc w:val="both"/>
        <w:rPr>
          <w:rFonts w:ascii="Times New Roman" w:hAnsi="Times New Roman"/>
          <w:sz w:val="22"/>
          <w:szCs w:val="22"/>
          <w:lang w:val="en-JM"/>
        </w:rPr>
      </w:pPr>
    </w:p>
    <w:p w14:paraId="58AB54DF" w14:textId="77777777" w:rsidR="00542624" w:rsidRPr="002B4E2A" w:rsidRDefault="00542624" w:rsidP="000A3D0D">
      <w:pPr>
        <w:pStyle w:val="ListParagraph"/>
        <w:numPr>
          <w:ilvl w:val="1"/>
          <w:numId w:val="12"/>
        </w:numPr>
        <w:ind w:left="0" w:firstLine="0"/>
        <w:contextualSpacing/>
        <w:jc w:val="both"/>
        <w:rPr>
          <w:sz w:val="22"/>
          <w:szCs w:val="22"/>
        </w:rPr>
      </w:pPr>
      <w:r w:rsidRPr="002B4E2A">
        <w:rPr>
          <w:sz w:val="22"/>
          <w:szCs w:val="22"/>
        </w:rPr>
        <w:t xml:space="preserve">To overcome these barriers and </w:t>
      </w:r>
      <w:proofErr w:type="spellStart"/>
      <w:r w:rsidRPr="002B4E2A">
        <w:rPr>
          <w:sz w:val="22"/>
          <w:szCs w:val="22"/>
        </w:rPr>
        <w:t>catalyse</w:t>
      </w:r>
      <w:proofErr w:type="spellEnd"/>
      <w:r w:rsidRPr="002B4E2A">
        <w:rPr>
          <w:sz w:val="22"/>
          <w:szCs w:val="22"/>
        </w:rPr>
        <w:t xml:space="preserve"> e-mobility technologies adoption and overcome existing barriers, a multi-pronged strategy is essential. Establishing dedicated E-Mobility financing mechanisms is crucial for accelerating the adoption of electric vehicles (EVs) and e-mobile marine and riverine transportation. By creating national or regional E-Mobility Funds or credit lines for development finance institutions (DFIs), countries can provide affordable and accessible financing options for purchasing electric vehicles (EVs) and e-mobile marine and riverine transportation. This can be achieved through concessional loans, guarantees, or leasing structures, particularly targeting tourism operators, commercial fleets, and urban commuters. Such initiatives can spur demand by reducing upfront costs and improving the business case for private investment in EVs and charging infrastructure. Additionally, local vendors and financiers, like ATL Jamaica, can offer attractive financing packages in partnership with DFIs and commercial banks, further enhancing the accessibility and affordability of EVs.</w:t>
      </w:r>
    </w:p>
    <w:p w14:paraId="3FE3C69A" w14:textId="7FA1F5C2" w:rsidR="004508EA" w:rsidRDefault="004508EA" w:rsidP="00542624">
      <w:pPr>
        <w:jc w:val="both"/>
        <w:rPr>
          <w:rFonts w:ascii="Times New Roman" w:hAnsi="Times New Roman"/>
          <w:sz w:val="22"/>
          <w:szCs w:val="22"/>
        </w:rPr>
      </w:pPr>
      <w:r>
        <w:rPr>
          <w:rFonts w:ascii="Times New Roman" w:hAnsi="Times New Roman"/>
          <w:sz w:val="22"/>
          <w:szCs w:val="22"/>
        </w:rPr>
        <w:br w:type="page"/>
      </w:r>
    </w:p>
    <w:p w14:paraId="2046E8C0" w14:textId="77777777" w:rsidR="00542624" w:rsidRPr="002B4E2A" w:rsidRDefault="00542624" w:rsidP="000A3D0D">
      <w:pPr>
        <w:pStyle w:val="ListParagraph"/>
        <w:numPr>
          <w:ilvl w:val="1"/>
          <w:numId w:val="12"/>
        </w:numPr>
        <w:ind w:left="0" w:firstLine="0"/>
        <w:contextualSpacing/>
        <w:jc w:val="both"/>
        <w:rPr>
          <w:sz w:val="22"/>
          <w:szCs w:val="22"/>
        </w:rPr>
      </w:pPr>
      <w:r w:rsidRPr="002B4E2A">
        <w:rPr>
          <w:sz w:val="22"/>
          <w:szCs w:val="22"/>
        </w:rPr>
        <w:lastRenderedPageBreak/>
        <w:t xml:space="preserve">Infrastructure and ecosystem development are equally important for the successful integration of EVs. Public-private partnerships (PPPs) should be encouraged to co-finance the rollout of charging infrastructure, especially in priority corridors and tourism hotspots. Strategic planning should consider terrain and power grid considerations when </w:t>
      </w:r>
      <w:proofErr w:type="gramStart"/>
      <w:r w:rsidRPr="002B4E2A">
        <w:rPr>
          <w:sz w:val="22"/>
          <w:szCs w:val="22"/>
        </w:rPr>
        <w:t>siting</w:t>
      </w:r>
      <w:proofErr w:type="gramEnd"/>
      <w:r w:rsidRPr="002B4E2A">
        <w:rPr>
          <w:sz w:val="22"/>
          <w:szCs w:val="22"/>
        </w:rPr>
        <w:t xml:space="preserve"> stations and selecting technology, such as fast chargers versus standard chargers. Governments can support this development by adopting comprehensive, long-term incentive frameworks, including tax exemptions on EVs and charging equipment or grants to offset incremental purchase costs, and incentives for utilities and private developers to invest in grid upgrades and charging networks. Public education campaigns are also vital to build consumer trust and confidence in EV technologies, while training for mechanics, technicians, and dealers is necessary to develop local capacity for EV servicing and maintenance. Technical assistance to financial institutions can also de-risk EV lending through market studies, portfolio guarantees, and product design support.</w:t>
      </w:r>
    </w:p>
    <w:p w14:paraId="5B5BC951" w14:textId="77777777" w:rsidR="00542624" w:rsidRPr="002B4E2A" w:rsidRDefault="00542624" w:rsidP="00542624">
      <w:pPr>
        <w:rPr>
          <w:rFonts w:ascii="Times New Roman" w:hAnsi="Times New Roman"/>
          <w:sz w:val="22"/>
          <w:szCs w:val="22"/>
          <w:lang w:val="en-JM"/>
        </w:rPr>
      </w:pPr>
    </w:p>
    <w:p w14:paraId="6B4711C6" w14:textId="77777777" w:rsidR="00542624" w:rsidRPr="002B4E2A" w:rsidRDefault="00542624" w:rsidP="000A3D0D">
      <w:pPr>
        <w:pStyle w:val="ListParagraph"/>
        <w:numPr>
          <w:ilvl w:val="0"/>
          <w:numId w:val="12"/>
        </w:numPr>
        <w:ind w:hanging="720"/>
        <w:contextualSpacing/>
        <w:rPr>
          <w:b/>
          <w:bCs/>
          <w:sz w:val="22"/>
          <w:szCs w:val="22"/>
          <w:u w:val="single"/>
        </w:rPr>
      </w:pPr>
      <w:r w:rsidRPr="002B4E2A">
        <w:rPr>
          <w:b/>
          <w:bCs/>
          <w:sz w:val="22"/>
          <w:szCs w:val="22"/>
          <w:u w:val="single"/>
        </w:rPr>
        <w:t xml:space="preserve">PROPOSED INTERVENTION  </w:t>
      </w:r>
    </w:p>
    <w:p w14:paraId="2081C19B" w14:textId="77777777" w:rsidR="00542624" w:rsidRPr="002B4E2A" w:rsidRDefault="00542624" w:rsidP="00542624">
      <w:pPr>
        <w:pStyle w:val="ListParagraph"/>
        <w:rPr>
          <w:b/>
          <w:bCs/>
          <w:sz w:val="22"/>
          <w:szCs w:val="22"/>
          <w:u w:val="single"/>
        </w:rPr>
      </w:pPr>
    </w:p>
    <w:p w14:paraId="2CED27B5" w14:textId="77777777" w:rsidR="00542624" w:rsidRPr="002B4E2A" w:rsidRDefault="00542624" w:rsidP="000A3D0D">
      <w:pPr>
        <w:pStyle w:val="ListParagraph"/>
        <w:numPr>
          <w:ilvl w:val="1"/>
          <w:numId w:val="12"/>
        </w:numPr>
        <w:ind w:left="0" w:firstLine="0"/>
        <w:contextualSpacing/>
        <w:jc w:val="both"/>
        <w:rPr>
          <w:sz w:val="22"/>
          <w:szCs w:val="22"/>
        </w:rPr>
      </w:pPr>
      <w:r w:rsidRPr="002B4E2A">
        <w:rPr>
          <w:sz w:val="22"/>
          <w:szCs w:val="22"/>
        </w:rPr>
        <w:t xml:space="preserve">The CDB proposes to establish a Caribbean E-Mobility Fund intended to </w:t>
      </w:r>
      <w:proofErr w:type="spellStart"/>
      <w:r w:rsidRPr="002B4E2A">
        <w:rPr>
          <w:sz w:val="22"/>
          <w:szCs w:val="22"/>
        </w:rPr>
        <w:t>catalyse</w:t>
      </w:r>
      <w:proofErr w:type="spellEnd"/>
      <w:r w:rsidRPr="002B4E2A">
        <w:rPr>
          <w:sz w:val="22"/>
          <w:szCs w:val="22"/>
        </w:rPr>
        <w:t xml:space="preserve"> financing for the Caribbean’s transition to a resilient low-carbon transport sector through strategic investments, the </w:t>
      </w:r>
      <w:proofErr w:type="gramStart"/>
      <w:r w:rsidRPr="002B4E2A">
        <w:rPr>
          <w:sz w:val="22"/>
          <w:szCs w:val="22"/>
        </w:rPr>
        <w:t>deployment</w:t>
      </w:r>
      <w:proofErr w:type="gramEnd"/>
      <w:r w:rsidRPr="002B4E2A">
        <w:rPr>
          <w:sz w:val="22"/>
          <w:szCs w:val="22"/>
        </w:rPr>
        <w:t xml:space="preserve"> EVs and associated technologies, policy reforms, and capacity building. The E-Mobility Fund will serve as a transformative financing instrument that reduces market entry barriers, </w:t>
      </w:r>
      <w:proofErr w:type="spellStart"/>
      <w:r w:rsidRPr="002B4E2A">
        <w:rPr>
          <w:sz w:val="22"/>
          <w:szCs w:val="22"/>
        </w:rPr>
        <w:t>mobilises</w:t>
      </w:r>
      <w:proofErr w:type="spellEnd"/>
      <w:r w:rsidRPr="002B4E2A">
        <w:rPr>
          <w:sz w:val="22"/>
          <w:szCs w:val="22"/>
        </w:rPr>
        <w:t xml:space="preserve"> private capital, and creates a self-sustaining momentum for electric mobility adoption across the Caribbean.</w:t>
      </w:r>
    </w:p>
    <w:p w14:paraId="211920C6" w14:textId="77777777" w:rsidR="00542624" w:rsidRPr="002B4E2A" w:rsidRDefault="00542624" w:rsidP="00542624">
      <w:pPr>
        <w:jc w:val="both"/>
        <w:rPr>
          <w:rFonts w:ascii="Times New Roman" w:hAnsi="Times New Roman"/>
          <w:sz w:val="22"/>
          <w:szCs w:val="22"/>
          <w:lang w:val="en-JM"/>
        </w:rPr>
      </w:pPr>
    </w:p>
    <w:p w14:paraId="5C0B137C" w14:textId="77777777" w:rsidR="00542624" w:rsidRPr="002B4E2A" w:rsidRDefault="00542624" w:rsidP="000A3D0D">
      <w:pPr>
        <w:pStyle w:val="ListParagraph"/>
        <w:numPr>
          <w:ilvl w:val="1"/>
          <w:numId w:val="12"/>
        </w:numPr>
        <w:ind w:left="0" w:firstLine="0"/>
        <w:contextualSpacing/>
        <w:jc w:val="both"/>
        <w:rPr>
          <w:b/>
          <w:sz w:val="22"/>
          <w:szCs w:val="22"/>
          <w:lang w:val="en-JM"/>
        </w:rPr>
      </w:pPr>
      <w:r w:rsidRPr="002B4E2A">
        <w:rPr>
          <w:sz w:val="22"/>
          <w:szCs w:val="22"/>
          <w:lang w:val="en-JM"/>
        </w:rPr>
        <w:t xml:space="preserve">It is proposed that the </w:t>
      </w:r>
      <w:r w:rsidRPr="002B4E2A">
        <w:rPr>
          <w:sz w:val="22"/>
          <w:szCs w:val="22"/>
        </w:rPr>
        <w:t xml:space="preserve">Caribbean E-Mobility Fund offers financing related to two pillars of finance: (1) </w:t>
      </w:r>
      <w:r w:rsidRPr="002B4E2A">
        <w:rPr>
          <w:b/>
          <w:sz w:val="22"/>
          <w:szCs w:val="22"/>
          <w:lang w:val="en-JM"/>
        </w:rPr>
        <w:t>Technical Assistance for creating an enabling environment; and (</w:t>
      </w:r>
      <w:r w:rsidRPr="002B4E2A">
        <w:rPr>
          <w:sz w:val="22"/>
          <w:szCs w:val="22"/>
          <w:lang w:val="en-JM"/>
        </w:rPr>
        <w:t>2)</w:t>
      </w:r>
      <w:r w:rsidRPr="002B4E2A">
        <w:rPr>
          <w:b/>
          <w:sz w:val="22"/>
          <w:szCs w:val="22"/>
          <w:lang w:val="en-JM"/>
        </w:rPr>
        <w:t xml:space="preserve"> </w:t>
      </w:r>
      <w:r w:rsidRPr="002B4E2A">
        <w:rPr>
          <w:b/>
          <w:sz w:val="22"/>
          <w:szCs w:val="22"/>
        </w:rPr>
        <w:t>Technological Transformation and Infrastructure Development for E-mobility</w:t>
      </w:r>
    </w:p>
    <w:p w14:paraId="2FF767CC" w14:textId="77777777" w:rsidR="00542624" w:rsidRPr="002B4E2A" w:rsidRDefault="00542624" w:rsidP="00542624">
      <w:pPr>
        <w:jc w:val="both"/>
        <w:rPr>
          <w:rFonts w:ascii="Times New Roman" w:hAnsi="Times New Roman"/>
          <w:b/>
          <w:bCs/>
          <w:sz w:val="22"/>
          <w:szCs w:val="22"/>
        </w:rPr>
      </w:pPr>
    </w:p>
    <w:p w14:paraId="4155B83A" w14:textId="77777777" w:rsidR="00542624" w:rsidRDefault="00542624" w:rsidP="00D4178F">
      <w:pPr>
        <w:ind w:firstLine="720"/>
        <w:jc w:val="both"/>
        <w:rPr>
          <w:rFonts w:ascii="Times New Roman" w:hAnsi="Times New Roman"/>
          <w:b/>
          <w:bCs/>
          <w:sz w:val="22"/>
          <w:szCs w:val="22"/>
          <w:lang w:val="en-JM"/>
        </w:rPr>
      </w:pPr>
      <w:r w:rsidRPr="002B4E2A">
        <w:rPr>
          <w:rFonts w:ascii="Times New Roman" w:hAnsi="Times New Roman"/>
          <w:b/>
          <w:bCs/>
          <w:sz w:val="22"/>
          <w:szCs w:val="22"/>
        </w:rPr>
        <w:t xml:space="preserve">Pillar 1: </w:t>
      </w:r>
      <w:r w:rsidRPr="002B4E2A">
        <w:rPr>
          <w:rFonts w:ascii="Times New Roman" w:hAnsi="Times New Roman"/>
          <w:b/>
          <w:bCs/>
          <w:sz w:val="22"/>
          <w:szCs w:val="22"/>
          <w:lang w:val="en-JM"/>
        </w:rPr>
        <w:t xml:space="preserve">Providing Technical Assistance for creating an enabling environment. </w:t>
      </w:r>
    </w:p>
    <w:p w14:paraId="22CCB5FE" w14:textId="77777777" w:rsidR="00605D13" w:rsidRPr="002B4E2A" w:rsidRDefault="00605D13" w:rsidP="00542624">
      <w:pPr>
        <w:jc w:val="both"/>
        <w:rPr>
          <w:rFonts w:ascii="Times New Roman" w:hAnsi="Times New Roman"/>
          <w:b/>
          <w:bCs/>
          <w:sz w:val="22"/>
          <w:szCs w:val="22"/>
          <w:lang w:val="en-JM"/>
        </w:rPr>
      </w:pPr>
    </w:p>
    <w:p w14:paraId="10896EFA" w14:textId="77777777" w:rsidR="00542624" w:rsidRPr="002B4E2A" w:rsidRDefault="00542624" w:rsidP="000A3D0D">
      <w:pPr>
        <w:pStyle w:val="ListParagraph"/>
        <w:numPr>
          <w:ilvl w:val="1"/>
          <w:numId w:val="12"/>
        </w:numPr>
        <w:ind w:left="0" w:firstLine="0"/>
        <w:contextualSpacing/>
        <w:jc w:val="both"/>
        <w:rPr>
          <w:sz w:val="22"/>
          <w:szCs w:val="22"/>
        </w:rPr>
      </w:pPr>
      <w:r w:rsidRPr="002B4E2A">
        <w:rPr>
          <w:sz w:val="22"/>
          <w:szCs w:val="22"/>
        </w:rPr>
        <w:t xml:space="preserve">The Caribbean E-Mobility Fund will deliver targeted technical assistance to support CARICOM Member States in creating an enabling environment for e-mobility adoption. This includes the development and </w:t>
      </w:r>
      <w:proofErr w:type="spellStart"/>
      <w:r w:rsidRPr="002B4E2A">
        <w:rPr>
          <w:sz w:val="22"/>
          <w:szCs w:val="22"/>
        </w:rPr>
        <w:t>harmonisation</w:t>
      </w:r>
      <w:proofErr w:type="spellEnd"/>
      <w:r w:rsidRPr="002B4E2A">
        <w:rPr>
          <w:sz w:val="22"/>
          <w:szCs w:val="22"/>
        </w:rPr>
        <w:t xml:space="preserve"> of national e-mobility policies, legal and regulatory frameworks, incentives, and innovative financing mechanisms to drive e-mobility technology deployment. Countries will benefit from tailored e-mobility roadmaps and technical tools such as economic and financial models, business plans, and strategies for fleet management. Guidelines will also be developed for battery disposal, recycling, and </w:t>
      </w:r>
      <w:proofErr w:type="gramStart"/>
      <w:r w:rsidRPr="002B4E2A">
        <w:rPr>
          <w:sz w:val="22"/>
          <w:szCs w:val="22"/>
        </w:rPr>
        <w:t>repurposing</w:t>
      </w:r>
      <w:proofErr w:type="gramEnd"/>
      <w:r w:rsidRPr="002B4E2A">
        <w:rPr>
          <w:sz w:val="22"/>
          <w:szCs w:val="22"/>
        </w:rPr>
        <w:t xml:space="preserve"> to promote sustainable end-of-life practices and support a circular economy.</w:t>
      </w:r>
    </w:p>
    <w:p w14:paraId="03732180" w14:textId="77777777" w:rsidR="00542624" w:rsidRPr="002B4E2A" w:rsidRDefault="00542624" w:rsidP="00542624">
      <w:pPr>
        <w:jc w:val="both"/>
        <w:rPr>
          <w:rFonts w:ascii="Times New Roman" w:hAnsi="Times New Roman"/>
          <w:sz w:val="22"/>
          <w:szCs w:val="22"/>
          <w:lang w:val="en-JM"/>
        </w:rPr>
      </w:pPr>
    </w:p>
    <w:p w14:paraId="72D8D336" w14:textId="77777777" w:rsidR="00542624" w:rsidRPr="002B4E2A" w:rsidRDefault="00542624" w:rsidP="000A3D0D">
      <w:pPr>
        <w:pStyle w:val="ListParagraph"/>
        <w:numPr>
          <w:ilvl w:val="1"/>
          <w:numId w:val="12"/>
        </w:numPr>
        <w:ind w:left="0" w:firstLine="0"/>
        <w:contextualSpacing/>
        <w:jc w:val="both"/>
        <w:rPr>
          <w:sz w:val="22"/>
          <w:szCs w:val="22"/>
          <w:lang w:val="en-JM"/>
        </w:rPr>
      </w:pPr>
      <w:r w:rsidRPr="002B4E2A">
        <w:rPr>
          <w:sz w:val="22"/>
          <w:szCs w:val="22"/>
          <w:lang w:val="en-JM"/>
        </w:rPr>
        <w:t>Caribbean E-Mobility Fund will also support the implementation capacity-building initiatives aimed at developing the human capital and institutional knowledge required to support the transition. This includes training and certification programmes for transport operators, emergency responders, energy service providers, Electric Motor Technicians, and financial institutions. Targeted training for financial institutions will build their capacity to assess EV-related risks and structure suitable financial products for different groups of customers. These efforts will be complemented by public education campaigns to raise awareness about the benefits and safety of EVs, as well as knowledge-sharing events and expos in collaboration with the private sector to promote technology adoption, industry dialogue, and best practices.</w:t>
      </w:r>
    </w:p>
    <w:p w14:paraId="032BA2CD" w14:textId="77777777" w:rsidR="00542624" w:rsidRPr="002B4E2A" w:rsidRDefault="00542624" w:rsidP="00542624">
      <w:pPr>
        <w:pStyle w:val="ListParagraph"/>
        <w:ind w:left="0"/>
        <w:jc w:val="both"/>
        <w:rPr>
          <w:sz w:val="22"/>
          <w:szCs w:val="22"/>
          <w:lang w:val="en-JM"/>
        </w:rPr>
      </w:pPr>
    </w:p>
    <w:p w14:paraId="3C114067" w14:textId="77777777" w:rsidR="00542624" w:rsidRPr="002B4E2A" w:rsidRDefault="00542624" w:rsidP="000A3D0D">
      <w:pPr>
        <w:pStyle w:val="ListParagraph"/>
        <w:numPr>
          <w:ilvl w:val="1"/>
          <w:numId w:val="12"/>
        </w:numPr>
        <w:ind w:left="0" w:firstLine="0"/>
        <w:contextualSpacing/>
        <w:jc w:val="both"/>
        <w:rPr>
          <w:sz w:val="22"/>
          <w:szCs w:val="22"/>
          <w:lang w:val="en-JM"/>
        </w:rPr>
      </w:pPr>
      <w:r w:rsidRPr="002B4E2A">
        <w:rPr>
          <w:sz w:val="22"/>
          <w:szCs w:val="22"/>
          <w:lang w:val="en-JM"/>
        </w:rPr>
        <w:t xml:space="preserve">The indicative list of activities to be funded by the TA programme are: </w:t>
      </w:r>
    </w:p>
    <w:p w14:paraId="7CE09685" w14:textId="77777777" w:rsidR="00542624" w:rsidRPr="002B4E2A" w:rsidRDefault="00542624" w:rsidP="00542624">
      <w:pPr>
        <w:pStyle w:val="ListParagraph"/>
        <w:ind w:left="0"/>
        <w:jc w:val="both"/>
        <w:rPr>
          <w:sz w:val="22"/>
          <w:szCs w:val="22"/>
          <w:lang w:val="en-JM"/>
        </w:rPr>
      </w:pPr>
    </w:p>
    <w:p w14:paraId="4EFB5AC3" w14:textId="77777777" w:rsidR="00542624" w:rsidRPr="002B4E2A" w:rsidRDefault="00542624" w:rsidP="000A3D0D">
      <w:pPr>
        <w:widowControl/>
        <w:numPr>
          <w:ilvl w:val="0"/>
          <w:numId w:val="10"/>
        </w:numPr>
        <w:tabs>
          <w:tab w:val="clear" w:pos="720"/>
        </w:tabs>
        <w:autoSpaceDE/>
        <w:autoSpaceDN/>
        <w:adjustRightInd/>
        <w:ind w:left="1440" w:hanging="720"/>
        <w:jc w:val="both"/>
        <w:rPr>
          <w:rFonts w:ascii="Times New Roman" w:hAnsi="Times New Roman"/>
          <w:sz w:val="22"/>
          <w:szCs w:val="22"/>
          <w:lang w:val="en-JM"/>
        </w:rPr>
      </w:pPr>
      <w:r w:rsidRPr="002B4E2A">
        <w:rPr>
          <w:rFonts w:ascii="Times New Roman" w:hAnsi="Times New Roman"/>
          <w:sz w:val="22"/>
          <w:szCs w:val="22"/>
          <w:lang w:val="en-JM"/>
        </w:rPr>
        <w:t>Policy Development and Harmonisation including developing and implementing e-mobility policies, incentives, innovative financing mechanisms and legal frameworks.</w:t>
      </w:r>
    </w:p>
    <w:p w14:paraId="1BD5BACA" w14:textId="77777777" w:rsidR="00542624" w:rsidRPr="002B4E2A" w:rsidRDefault="00542624" w:rsidP="000A3D0D">
      <w:pPr>
        <w:widowControl/>
        <w:numPr>
          <w:ilvl w:val="0"/>
          <w:numId w:val="10"/>
        </w:numPr>
        <w:tabs>
          <w:tab w:val="clear" w:pos="720"/>
        </w:tabs>
        <w:autoSpaceDE/>
        <w:autoSpaceDN/>
        <w:adjustRightInd/>
        <w:ind w:left="1440" w:hanging="720"/>
        <w:jc w:val="both"/>
        <w:rPr>
          <w:rFonts w:ascii="Times New Roman" w:hAnsi="Times New Roman"/>
          <w:sz w:val="22"/>
          <w:szCs w:val="22"/>
          <w:lang w:val="en-JM"/>
        </w:rPr>
      </w:pPr>
      <w:r w:rsidRPr="002B4E2A">
        <w:rPr>
          <w:rFonts w:ascii="Times New Roman" w:hAnsi="Times New Roman"/>
          <w:sz w:val="22"/>
          <w:szCs w:val="22"/>
          <w:lang w:val="en-JM"/>
        </w:rPr>
        <w:t>Technical Tools and Guidelines including developing economic and financial models, projects/business plans, fleet management strategies, and waste management and battery recycling and disposal guidelines.</w:t>
      </w:r>
    </w:p>
    <w:p w14:paraId="716BA9F3" w14:textId="77777777" w:rsidR="00542624" w:rsidRPr="002B4E2A" w:rsidRDefault="00542624" w:rsidP="000A3D0D">
      <w:pPr>
        <w:widowControl/>
        <w:numPr>
          <w:ilvl w:val="0"/>
          <w:numId w:val="10"/>
        </w:numPr>
        <w:tabs>
          <w:tab w:val="clear" w:pos="720"/>
        </w:tabs>
        <w:autoSpaceDE/>
        <w:autoSpaceDN/>
        <w:adjustRightInd/>
        <w:ind w:left="1440" w:hanging="720"/>
        <w:jc w:val="both"/>
        <w:rPr>
          <w:rFonts w:ascii="Times New Roman" w:hAnsi="Times New Roman"/>
          <w:sz w:val="22"/>
          <w:szCs w:val="22"/>
          <w:lang w:val="en-JM"/>
        </w:rPr>
      </w:pPr>
      <w:r w:rsidRPr="002B4E2A">
        <w:rPr>
          <w:rFonts w:ascii="Times New Roman" w:hAnsi="Times New Roman"/>
          <w:sz w:val="22"/>
          <w:szCs w:val="22"/>
          <w:lang w:val="en-JM"/>
        </w:rPr>
        <w:lastRenderedPageBreak/>
        <w:t>Technical feasibility studies for project development and EV deployments, including environmental, economic, and social impact assessments and EV supply chain analyses.</w:t>
      </w:r>
    </w:p>
    <w:p w14:paraId="4A63D5EC" w14:textId="77777777" w:rsidR="00542624" w:rsidRPr="002B4E2A" w:rsidRDefault="00542624" w:rsidP="000A3D0D">
      <w:pPr>
        <w:widowControl/>
        <w:numPr>
          <w:ilvl w:val="0"/>
          <w:numId w:val="10"/>
        </w:numPr>
        <w:tabs>
          <w:tab w:val="clear" w:pos="720"/>
        </w:tabs>
        <w:autoSpaceDE/>
        <w:autoSpaceDN/>
        <w:adjustRightInd/>
        <w:ind w:left="1440" w:hanging="720"/>
        <w:jc w:val="both"/>
        <w:rPr>
          <w:rFonts w:ascii="Times New Roman" w:hAnsi="Times New Roman"/>
          <w:sz w:val="22"/>
          <w:szCs w:val="22"/>
          <w:lang w:val="en-JM"/>
        </w:rPr>
      </w:pPr>
      <w:r w:rsidRPr="002B4E2A">
        <w:rPr>
          <w:rFonts w:ascii="Times New Roman" w:hAnsi="Times New Roman"/>
          <w:sz w:val="22"/>
          <w:szCs w:val="22"/>
          <w:lang w:val="en-JM"/>
        </w:rPr>
        <w:t>Capacity Building including providing training on EV business operations, safety protocols, operations and maintenance, grid integration, and financing.</w:t>
      </w:r>
    </w:p>
    <w:p w14:paraId="7312A84E" w14:textId="77777777" w:rsidR="00542624" w:rsidRPr="002B4E2A" w:rsidRDefault="00542624" w:rsidP="000A3D0D">
      <w:pPr>
        <w:widowControl/>
        <w:numPr>
          <w:ilvl w:val="0"/>
          <w:numId w:val="10"/>
        </w:numPr>
        <w:tabs>
          <w:tab w:val="clear" w:pos="720"/>
        </w:tabs>
        <w:autoSpaceDE/>
        <w:autoSpaceDN/>
        <w:adjustRightInd/>
        <w:ind w:left="1440" w:hanging="720"/>
        <w:jc w:val="both"/>
        <w:rPr>
          <w:rFonts w:ascii="Times New Roman" w:hAnsi="Times New Roman"/>
          <w:sz w:val="22"/>
          <w:szCs w:val="22"/>
          <w:lang w:val="en-JM"/>
        </w:rPr>
      </w:pPr>
      <w:r w:rsidRPr="002B4E2A">
        <w:rPr>
          <w:rFonts w:ascii="Times New Roman" w:hAnsi="Times New Roman"/>
          <w:sz w:val="22"/>
          <w:szCs w:val="22"/>
          <w:lang w:val="en-JM"/>
        </w:rPr>
        <w:t>Public Engagement and Knowledge Sharing including promoting E-mobility Fund, EVs adaptation and supporting/hosting EV expos in partnership with the private sector.</w:t>
      </w:r>
    </w:p>
    <w:p w14:paraId="2DCFB5EB" w14:textId="77777777" w:rsidR="00542624" w:rsidRPr="002B4E2A" w:rsidRDefault="00542624" w:rsidP="00542624">
      <w:pPr>
        <w:jc w:val="both"/>
        <w:rPr>
          <w:rFonts w:ascii="Times New Roman" w:hAnsi="Times New Roman"/>
          <w:sz w:val="22"/>
          <w:szCs w:val="22"/>
          <w:lang w:val="en-JM"/>
        </w:rPr>
      </w:pPr>
    </w:p>
    <w:p w14:paraId="1482BC56" w14:textId="77777777" w:rsidR="00542624" w:rsidRPr="002B4E2A" w:rsidRDefault="00542624" w:rsidP="00D4178F">
      <w:pPr>
        <w:pStyle w:val="ListParagraph"/>
        <w:ind w:left="1620" w:hanging="900"/>
        <w:jc w:val="both"/>
        <w:rPr>
          <w:b/>
          <w:bCs/>
          <w:sz w:val="22"/>
          <w:szCs w:val="22"/>
        </w:rPr>
      </w:pPr>
      <w:r w:rsidRPr="002B4E2A">
        <w:rPr>
          <w:b/>
          <w:bCs/>
          <w:sz w:val="22"/>
          <w:szCs w:val="22"/>
        </w:rPr>
        <w:t>Pillar 2: Supporting Technological Transformation and Infrastructure Development for E-mobility</w:t>
      </w:r>
    </w:p>
    <w:p w14:paraId="767FD90D" w14:textId="77777777" w:rsidR="00542624" w:rsidRPr="002B4E2A" w:rsidRDefault="00542624" w:rsidP="00542624">
      <w:pPr>
        <w:pStyle w:val="ListParagraph"/>
        <w:ind w:left="0"/>
        <w:jc w:val="both"/>
        <w:rPr>
          <w:b/>
          <w:bCs/>
          <w:sz w:val="22"/>
          <w:szCs w:val="22"/>
        </w:rPr>
      </w:pPr>
    </w:p>
    <w:p w14:paraId="21B6AF33" w14:textId="77777777" w:rsidR="00542624" w:rsidRPr="002B4E2A" w:rsidRDefault="00542624" w:rsidP="000A3D0D">
      <w:pPr>
        <w:pStyle w:val="ListParagraph"/>
        <w:numPr>
          <w:ilvl w:val="1"/>
          <w:numId w:val="12"/>
        </w:numPr>
        <w:ind w:left="0" w:firstLine="0"/>
        <w:contextualSpacing/>
        <w:jc w:val="both"/>
        <w:rPr>
          <w:sz w:val="22"/>
          <w:szCs w:val="22"/>
          <w:lang w:val="en-JM"/>
        </w:rPr>
      </w:pPr>
      <w:r w:rsidRPr="002B4E2A">
        <w:rPr>
          <w:sz w:val="22"/>
          <w:szCs w:val="22"/>
          <w:lang w:val="en-JM"/>
        </w:rPr>
        <w:t>The Caribbean E-Mobility Fund will facilitate technology deployment across the Caribbean region via three windows of financing. The first modality is the Private Sector Finance and Incentive Programme, which will provide access to affordable financing options through partnerships with development finance institutions, commercial banks, and other financial intermediaries. By offering concessional loans and guarantees, the programme aims to de-risk investments for early adopters and vulnerable user groups such as micro, small and medium size enterprises.</w:t>
      </w:r>
      <w:r w:rsidRPr="002B4E2A" w:rsidDel="00D505F6">
        <w:rPr>
          <w:sz w:val="22"/>
          <w:szCs w:val="22"/>
          <w:highlight w:val="yellow"/>
          <w:lang w:val="en-JM"/>
        </w:rPr>
        <w:t xml:space="preserve"> </w:t>
      </w:r>
    </w:p>
    <w:p w14:paraId="786C0B85" w14:textId="77777777" w:rsidR="00542624" w:rsidRPr="002B4E2A" w:rsidRDefault="00542624" w:rsidP="00542624">
      <w:pPr>
        <w:jc w:val="both"/>
        <w:rPr>
          <w:rFonts w:ascii="Times New Roman" w:hAnsi="Times New Roman"/>
          <w:sz w:val="22"/>
          <w:szCs w:val="22"/>
          <w:lang w:val="en-JM"/>
        </w:rPr>
      </w:pPr>
    </w:p>
    <w:p w14:paraId="6402DEE8" w14:textId="77777777" w:rsidR="00542624" w:rsidRPr="002B4E2A" w:rsidRDefault="00542624" w:rsidP="000A3D0D">
      <w:pPr>
        <w:pStyle w:val="ListParagraph"/>
        <w:numPr>
          <w:ilvl w:val="1"/>
          <w:numId w:val="12"/>
        </w:numPr>
        <w:ind w:left="0" w:firstLine="0"/>
        <w:contextualSpacing/>
        <w:jc w:val="both"/>
        <w:rPr>
          <w:sz w:val="22"/>
          <w:szCs w:val="22"/>
          <w:lang w:val="en-JM"/>
        </w:rPr>
      </w:pPr>
      <w:r w:rsidRPr="002B4E2A">
        <w:rPr>
          <w:sz w:val="22"/>
          <w:szCs w:val="22"/>
          <w:lang w:val="en-JM"/>
        </w:rPr>
        <w:t xml:space="preserve">The second modality is a Public Sector Transformation Programme, which that focuses on transitioning public sector fleets to electric vehicles. This includes the deployment of electric buses, taxis, and official government vehicles. Caribbean E-Mobility Fund will support this transition through innovative financing structures such as a matching grant scheme and public-private partnerships (PPPs). </w:t>
      </w:r>
    </w:p>
    <w:p w14:paraId="5D2E5235" w14:textId="77777777" w:rsidR="00542624" w:rsidRPr="002B4E2A" w:rsidRDefault="00542624" w:rsidP="00542624">
      <w:pPr>
        <w:jc w:val="both"/>
        <w:rPr>
          <w:rFonts w:ascii="Times New Roman" w:hAnsi="Times New Roman"/>
          <w:sz w:val="22"/>
          <w:szCs w:val="22"/>
          <w:lang w:val="en-JM"/>
        </w:rPr>
      </w:pPr>
    </w:p>
    <w:p w14:paraId="5514929F" w14:textId="77777777" w:rsidR="00542624" w:rsidRPr="002B4E2A" w:rsidRDefault="00542624" w:rsidP="000A3D0D">
      <w:pPr>
        <w:pStyle w:val="ListParagraph"/>
        <w:numPr>
          <w:ilvl w:val="1"/>
          <w:numId w:val="12"/>
        </w:numPr>
        <w:ind w:left="0" w:firstLine="0"/>
        <w:contextualSpacing/>
        <w:jc w:val="both"/>
        <w:rPr>
          <w:sz w:val="22"/>
          <w:szCs w:val="22"/>
          <w:lang w:val="en-JM"/>
        </w:rPr>
      </w:pPr>
      <w:r w:rsidRPr="002B4E2A">
        <w:rPr>
          <w:sz w:val="22"/>
          <w:szCs w:val="22"/>
          <w:lang w:val="en-JM"/>
        </w:rPr>
        <w:t xml:space="preserve">The third modality is an Infrastructure Deployment Programme, which is critical to creating a supportive charging ecosystem in each country. This modality with allow access for financing to fund the installation of EV charging stations at residential and commercial buildings and transportation hubs, including bus and taxi terminals. In addition, Caribbean E-Mobility Fund will also promote the integration of renewable energy sources to power charging infrastructure and support necessary upgrades to national grid infrastructure to accommodate increased electricity demand. </w:t>
      </w:r>
    </w:p>
    <w:p w14:paraId="1149AFA9" w14:textId="77777777" w:rsidR="00542624" w:rsidRPr="002B4E2A" w:rsidRDefault="00542624" w:rsidP="00542624">
      <w:pPr>
        <w:jc w:val="center"/>
        <w:rPr>
          <w:rFonts w:ascii="Times New Roman" w:hAnsi="Times New Roman"/>
          <w:b/>
          <w:bCs/>
          <w:sz w:val="22"/>
          <w:szCs w:val="22"/>
          <w:lang w:val="en-JM"/>
        </w:rPr>
      </w:pPr>
    </w:p>
    <w:p w14:paraId="52E4AE53" w14:textId="18D5D427" w:rsidR="00542624" w:rsidRPr="002B4E2A" w:rsidRDefault="00542624" w:rsidP="00542624">
      <w:pPr>
        <w:rPr>
          <w:rFonts w:ascii="Times New Roman" w:hAnsi="Times New Roman"/>
          <w:b/>
          <w:bCs/>
          <w:sz w:val="22"/>
          <w:szCs w:val="22"/>
          <w:lang w:val="en-JM"/>
        </w:rPr>
      </w:pPr>
    </w:p>
    <w:p w14:paraId="2A008E61" w14:textId="77777777" w:rsidR="00542624" w:rsidRPr="002B4E2A" w:rsidRDefault="00542624" w:rsidP="00542624">
      <w:pPr>
        <w:jc w:val="center"/>
        <w:rPr>
          <w:rFonts w:ascii="Times New Roman" w:hAnsi="Times New Roman"/>
          <w:b/>
          <w:bCs/>
          <w:sz w:val="22"/>
          <w:szCs w:val="22"/>
          <w:lang w:val="en-JM"/>
        </w:rPr>
      </w:pPr>
      <w:r w:rsidRPr="002B4E2A">
        <w:rPr>
          <w:rFonts w:ascii="Times New Roman" w:hAnsi="Times New Roman"/>
          <w:b/>
          <w:bCs/>
          <w:sz w:val="22"/>
          <w:szCs w:val="22"/>
          <w:lang w:val="en-JM"/>
        </w:rPr>
        <w:t>Figure 3: Proposed Funding Windows of the Caribbean E-Mobility Fund</w:t>
      </w:r>
    </w:p>
    <w:p w14:paraId="7262EC1D" w14:textId="02D4ED90" w:rsidR="00D4178F" w:rsidRDefault="00542624" w:rsidP="00542624">
      <w:pPr>
        <w:rPr>
          <w:rFonts w:ascii="Times New Roman" w:hAnsi="Times New Roman"/>
          <w:noProof/>
          <w:sz w:val="22"/>
          <w:szCs w:val="22"/>
        </w:rPr>
      </w:pPr>
      <w:r w:rsidRPr="002B4E2A">
        <w:rPr>
          <w:rFonts w:ascii="Times New Roman" w:hAnsi="Times New Roman"/>
          <w:noProof/>
          <w:sz w:val="22"/>
          <w:szCs w:val="22"/>
        </w:rPr>
        <w:drawing>
          <wp:inline distT="0" distB="0" distL="0" distR="0" wp14:anchorId="4B3E725F" wp14:editId="35B68BE4">
            <wp:extent cx="5731510" cy="3246755"/>
            <wp:effectExtent l="0" t="0" r="2540" b="0"/>
            <wp:docPr id="1904007806" name="Picture 4"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007806" name="Picture 4" descr="A diagram of a company&#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3246755"/>
                    </a:xfrm>
                    <a:prstGeom prst="rect">
                      <a:avLst/>
                    </a:prstGeom>
                    <a:noFill/>
                    <a:ln>
                      <a:noFill/>
                    </a:ln>
                  </pic:spPr>
                </pic:pic>
              </a:graphicData>
            </a:graphic>
          </wp:inline>
        </w:drawing>
      </w:r>
      <w:r w:rsidR="00D4178F">
        <w:rPr>
          <w:rFonts w:ascii="Times New Roman" w:hAnsi="Times New Roman"/>
          <w:noProof/>
          <w:sz w:val="22"/>
          <w:szCs w:val="22"/>
        </w:rPr>
        <w:br w:type="page"/>
      </w:r>
    </w:p>
    <w:p w14:paraId="6BC45291" w14:textId="76E004BC" w:rsidR="00542624" w:rsidRPr="002B4E2A" w:rsidRDefault="00542624" w:rsidP="00D4178F">
      <w:pPr>
        <w:ind w:firstLine="720"/>
        <w:jc w:val="both"/>
        <w:rPr>
          <w:rFonts w:ascii="Times New Roman" w:hAnsi="Times New Roman"/>
          <w:b/>
          <w:bCs/>
          <w:sz w:val="22"/>
          <w:szCs w:val="22"/>
        </w:rPr>
      </w:pPr>
      <w:r w:rsidRPr="002B4E2A">
        <w:rPr>
          <w:rFonts w:ascii="Times New Roman" w:hAnsi="Times New Roman"/>
          <w:b/>
          <w:bCs/>
          <w:sz w:val="22"/>
          <w:szCs w:val="22"/>
        </w:rPr>
        <w:lastRenderedPageBreak/>
        <w:t>Implementation</w:t>
      </w:r>
    </w:p>
    <w:p w14:paraId="65A065C8" w14:textId="77777777" w:rsidR="00542624" w:rsidRPr="002B4E2A" w:rsidRDefault="00542624" w:rsidP="00542624">
      <w:pPr>
        <w:jc w:val="both"/>
        <w:rPr>
          <w:rFonts w:ascii="Times New Roman" w:hAnsi="Times New Roman"/>
          <w:b/>
          <w:bCs/>
          <w:sz w:val="22"/>
          <w:szCs w:val="22"/>
        </w:rPr>
      </w:pPr>
    </w:p>
    <w:p w14:paraId="556D9314" w14:textId="77777777" w:rsidR="00542624" w:rsidRPr="002B4E2A" w:rsidRDefault="00542624" w:rsidP="000A3D0D">
      <w:pPr>
        <w:pStyle w:val="ListParagraph"/>
        <w:numPr>
          <w:ilvl w:val="1"/>
          <w:numId w:val="12"/>
        </w:numPr>
        <w:ind w:left="0" w:firstLine="0"/>
        <w:contextualSpacing/>
        <w:jc w:val="both"/>
        <w:rPr>
          <w:sz w:val="22"/>
          <w:szCs w:val="22"/>
        </w:rPr>
      </w:pPr>
      <w:r w:rsidRPr="002B4E2A">
        <w:rPr>
          <w:sz w:val="22"/>
          <w:szCs w:val="22"/>
        </w:rPr>
        <w:t xml:space="preserve">CDB will administer the Multi-donor Caribbean E-Mobility Fund and spearhead </w:t>
      </w:r>
      <w:proofErr w:type="gramStart"/>
      <w:r w:rsidRPr="002B4E2A">
        <w:rPr>
          <w:sz w:val="22"/>
          <w:szCs w:val="22"/>
          <w:lang w:val="en-JM"/>
        </w:rPr>
        <w:t>implement</w:t>
      </w:r>
      <w:proofErr w:type="gramEnd"/>
      <w:r w:rsidRPr="002B4E2A">
        <w:rPr>
          <w:sz w:val="22"/>
          <w:szCs w:val="22"/>
          <w:lang w:val="en-JM"/>
        </w:rPr>
        <w:t xml:space="preserve"> of its activities working closely with executing entities in each Borrowing Member Country (BMC). It is not envisioned that the CDB will require new institutional arrangements for the capitalisation and operationalisation of the Fund. Fund raising for capitalisation will be spearheaded by the President’s Office and Strategy, whereas operationalisation will draw on the expertise across the CDB, especially the Project Department working closely with the Finance Division and the Office of the General Counsel.</w:t>
      </w:r>
    </w:p>
    <w:p w14:paraId="67B055E8" w14:textId="77777777" w:rsidR="00542624" w:rsidRPr="002B4E2A" w:rsidRDefault="00542624" w:rsidP="00542624">
      <w:pPr>
        <w:pStyle w:val="ListParagraph"/>
        <w:ind w:left="1080"/>
        <w:jc w:val="both"/>
        <w:rPr>
          <w:sz w:val="22"/>
          <w:szCs w:val="22"/>
        </w:rPr>
      </w:pPr>
      <w:r w:rsidRPr="002B4E2A">
        <w:rPr>
          <w:sz w:val="22"/>
          <w:szCs w:val="22"/>
        </w:rPr>
        <w:t xml:space="preserve"> </w:t>
      </w:r>
    </w:p>
    <w:p w14:paraId="72DC97D8" w14:textId="77777777" w:rsidR="00542624" w:rsidRPr="002B4E2A" w:rsidRDefault="00542624" w:rsidP="000A3D0D">
      <w:pPr>
        <w:pStyle w:val="ListParagraph"/>
        <w:numPr>
          <w:ilvl w:val="1"/>
          <w:numId w:val="12"/>
        </w:numPr>
        <w:ind w:left="0" w:firstLine="0"/>
        <w:contextualSpacing/>
        <w:jc w:val="both"/>
        <w:rPr>
          <w:sz w:val="22"/>
          <w:szCs w:val="22"/>
        </w:rPr>
      </w:pPr>
      <w:r w:rsidRPr="002B4E2A">
        <w:rPr>
          <w:sz w:val="22"/>
          <w:szCs w:val="22"/>
        </w:rPr>
        <w:t xml:space="preserve">The CDB is currently working closely with Caribbean Centre for Renewable Energy and Energy Efficiency (CCREEE), Deutsche Gesellschaft für </w:t>
      </w:r>
      <w:proofErr w:type="spellStart"/>
      <w:r w:rsidRPr="002B4E2A">
        <w:rPr>
          <w:sz w:val="22"/>
          <w:szCs w:val="22"/>
        </w:rPr>
        <w:t>Internationale</w:t>
      </w:r>
      <w:proofErr w:type="spellEnd"/>
      <w:r w:rsidRPr="002B4E2A">
        <w:rPr>
          <w:sz w:val="22"/>
          <w:szCs w:val="22"/>
        </w:rPr>
        <w:t xml:space="preserve"> Zusammenarbeit (GIZ), University of the West Indies (UWI), Climate Analytics (CA) and ministries with responsibility for Energy and or Transport in the implementation of project title, “</w:t>
      </w:r>
      <w:r w:rsidRPr="002B4E2A">
        <w:rPr>
          <w:i/>
          <w:iCs/>
          <w:sz w:val="22"/>
          <w:szCs w:val="22"/>
        </w:rPr>
        <w:t>NDC-TEC: Supporting the implementation of NDCs in the Caribbean – transforming the transport and energy sectors towards a low-carbon and climate-resilient future</w:t>
      </w:r>
      <w:r w:rsidRPr="002B4E2A">
        <w:rPr>
          <w:sz w:val="22"/>
          <w:szCs w:val="22"/>
        </w:rPr>
        <w:t>”</w:t>
      </w:r>
      <w:r w:rsidRPr="002B4E2A">
        <w:rPr>
          <w:rStyle w:val="FootnoteReference"/>
          <w:sz w:val="22"/>
          <w:szCs w:val="22"/>
        </w:rPr>
        <w:footnoteReference w:id="6"/>
      </w:r>
      <w:r w:rsidRPr="002B4E2A">
        <w:rPr>
          <w:sz w:val="22"/>
          <w:szCs w:val="22"/>
        </w:rPr>
        <w:t>. This Programme will unearth critical information necessary to support the scale-up and replication of e-mobility initiatives across the Caribbean. The programme has developed and launched a university course on electric vehicle technologies and executed a Training of Trainers course involved over 83 participants from 11 Caribbean countries.  The programme is currently executing studies on the end-of-life of EVs, green procurement recommendations, and incentive mechanisms for EVs. Lastly, critical to demonstrate feasibility and fill knowledge gaps related to the different type of e-mobile technologies, applicable to the Caribbean, the programme is piloting investments in Saint Lucia, Jamaica and Grenada. These include: (1) integrating electric vehicles into government fleets in Saint Lucia; (2) electrifying public transport in Jamaica; and (3) exploring the use of electric water transportation for Coast Guard and fishery in Grenada.</w:t>
      </w:r>
    </w:p>
    <w:p w14:paraId="13BA2F42" w14:textId="77777777" w:rsidR="00542624" w:rsidRPr="002B4E2A" w:rsidRDefault="00542624" w:rsidP="00542624">
      <w:pPr>
        <w:pStyle w:val="ListParagraph"/>
        <w:ind w:left="1080"/>
        <w:jc w:val="both"/>
        <w:rPr>
          <w:sz w:val="22"/>
          <w:szCs w:val="22"/>
        </w:rPr>
      </w:pPr>
    </w:p>
    <w:p w14:paraId="68B3BF21" w14:textId="77777777" w:rsidR="00542624" w:rsidRPr="002B4E2A" w:rsidRDefault="00542624" w:rsidP="000A3D0D">
      <w:pPr>
        <w:pStyle w:val="ListParagraph"/>
        <w:numPr>
          <w:ilvl w:val="1"/>
          <w:numId w:val="12"/>
        </w:numPr>
        <w:ind w:left="0" w:firstLine="0"/>
        <w:contextualSpacing/>
        <w:jc w:val="both"/>
        <w:rPr>
          <w:sz w:val="22"/>
          <w:szCs w:val="22"/>
        </w:rPr>
      </w:pPr>
      <w:r w:rsidRPr="002B4E2A">
        <w:rPr>
          <w:sz w:val="22"/>
          <w:szCs w:val="22"/>
        </w:rPr>
        <w:t>The Multi-donor Caribbean E-Mobility Fund envisions building on the outputs of this programme as well as the established technical knowledge-</w:t>
      </w:r>
      <w:proofErr w:type="gramStart"/>
      <w:r w:rsidRPr="002B4E2A">
        <w:rPr>
          <w:sz w:val="22"/>
          <w:szCs w:val="22"/>
        </w:rPr>
        <w:t>base</w:t>
      </w:r>
      <w:proofErr w:type="gramEnd"/>
      <w:r w:rsidRPr="002B4E2A">
        <w:rPr>
          <w:sz w:val="22"/>
          <w:szCs w:val="22"/>
        </w:rPr>
        <w:t xml:space="preserve"> and partnerships established.    </w:t>
      </w:r>
    </w:p>
    <w:p w14:paraId="04332FC7" w14:textId="77777777" w:rsidR="00542624" w:rsidRPr="002B4E2A" w:rsidRDefault="00542624" w:rsidP="00542624">
      <w:pPr>
        <w:jc w:val="both"/>
        <w:rPr>
          <w:rFonts w:ascii="Times New Roman" w:hAnsi="Times New Roman"/>
          <w:b/>
          <w:bCs/>
          <w:sz w:val="22"/>
          <w:szCs w:val="22"/>
        </w:rPr>
      </w:pPr>
    </w:p>
    <w:p w14:paraId="3ABCA7D4" w14:textId="77777777" w:rsidR="00542624" w:rsidRPr="002B4E2A" w:rsidRDefault="00542624" w:rsidP="004A31A9">
      <w:pPr>
        <w:ind w:firstLine="720"/>
        <w:jc w:val="both"/>
        <w:rPr>
          <w:rFonts w:ascii="Times New Roman" w:hAnsi="Times New Roman"/>
          <w:b/>
          <w:bCs/>
          <w:sz w:val="22"/>
          <w:szCs w:val="22"/>
        </w:rPr>
      </w:pPr>
      <w:proofErr w:type="spellStart"/>
      <w:r w:rsidRPr="002B4E2A">
        <w:rPr>
          <w:rFonts w:ascii="Times New Roman" w:hAnsi="Times New Roman"/>
          <w:b/>
          <w:bCs/>
          <w:sz w:val="22"/>
          <w:szCs w:val="22"/>
        </w:rPr>
        <w:t>Capitalisation</w:t>
      </w:r>
      <w:proofErr w:type="spellEnd"/>
      <w:r w:rsidRPr="002B4E2A">
        <w:rPr>
          <w:rFonts w:ascii="Times New Roman" w:hAnsi="Times New Roman"/>
          <w:b/>
          <w:bCs/>
          <w:sz w:val="22"/>
          <w:szCs w:val="22"/>
        </w:rPr>
        <w:t xml:space="preserve"> of Caribbean E-mobility Fund</w:t>
      </w:r>
    </w:p>
    <w:p w14:paraId="727F553E" w14:textId="77777777" w:rsidR="00542624" w:rsidRPr="002B4E2A" w:rsidRDefault="00542624" w:rsidP="00542624">
      <w:pPr>
        <w:jc w:val="both"/>
        <w:rPr>
          <w:rFonts w:ascii="Times New Roman" w:hAnsi="Times New Roman"/>
          <w:b/>
          <w:bCs/>
          <w:sz w:val="22"/>
          <w:szCs w:val="22"/>
        </w:rPr>
      </w:pPr>
    </w:p>
    <w:p w14:paraId="19F61493" w14:textId="77777777" w:rsidR="00542624" w:rsidRPr="002B4E2A" w:rsidRDefault="00542624" w:rsidP="000A3D0D">
      <w:pPr>
        <w:pStyle w:val="ListParagraph"/>
        <w:numPr>
          <w:ilvl w:val="1"/>
          <w:numId w:val="12"/>
        </w:numPr>
        <w:ind w:left="0" w:firstLine="0"/>
        <w:contextualSpacing/>
        <w:jc w:val="both"/>
        <w:rPr>
          <w:sz w:val="22"/>
          <w:szCs w:val="22"/>
          <w:lang w:val="en-JM"/>
        </w:rPr>
      </w:pPr>
      <w:r w:rsidRPr="002B4E2A">
        <w:rPr>
          <w:sz w:val="22"/>
          <w:szCs w:val="22"/>
          <w:lang w:val="en-JM"/>
        </w:rPr>
        <w:t xml:space="preserve">It is proposed that the </w:t>
      </w:r>
      <w:r w:rsidRPr="002B4E2A">
        <w:rPr>
          <w:sz w:val="22"/>
          <w:szCs w:val="22"/>
        </w:rPr>
        <w:t>Multi-donor Trust Fund</w:t>
      </w:r>
      <w:r w:rsidRPr="002B4E2A">
        <w:rPr>
          <w:sz w:val="22"/>
          <w:szCs w:val="22"/>
          <w:lang w:val="en-JM"/>
        </w:rPr>
        <w:t xml:space="preserve"> is capitalised initially using resources from the CDB’s own resources. These initial injections will be leveraged to crowd-in additional financing from the Green Climate Fund (GCF) and other DFIs, development partners and the private sector. It is envisioned that the financing from GCF and DFIs will flow directly into the </w:t>
      </w:r>
      <w:proofErr w:type="gramStart"/>
      <w:r w:rsidRPr="002B4E2A">
        <w:rPr>
          <w:sz w:val="22"/>
          <w:szCs w:val="22"/>
          <w:lang w:val="en-JM"/>
        </w:rPr>
        <w:t>Fund;</w:t>
      </w:r>
      <w:proofErr w:type="gramEnd"/>
      <w:r w:rsidRPr="002B4E2A">
        <w:rPr>
          <w:sz w:val="22"/>
          <w:szCs w:val="22"/>
          <w:lang w:val="en-JM"/>
        </w:rPr>
        <w:t xml:space="preserve"> whereas private sector capital could be utilised as matching or cofinancing for the activities to be implemented by the </w:t>
      </w:r>
      <w:r w:rsidRPr="002B4E2A">
        <w:rPr>
          <w:sz w:val="22"/>
          <w:szCs w:val="22"/>
        </w:rPr>
        <w:t>Caribbean E-mobility Fund</w:t>
      </w:r>
      <w:r w:rsidRPr="002B4E2A">
        <w:rPr>
          <w:sz w:val="22"/>
          <w:szCs w:val="22"/>
          <w:lang w:val="en-JM"/>
        </w:rPr>
        <w:t xml:space="preserve">. It is important to note that the fund is not intended to displace private capital. </w:t>
      </w:r>
    </w:p>
    <w:p w14:paraId="1080185B" w14:textId="77777777" w:rsidR="00542624" w:rsidRPr="002B4E2A" w:rsidRDefault="00542624" w:rsidP="00542624">
      <w:pPr>
        <w:pStyle w:val="ListParagraph"/>
        <w:ind w:left="0"/>
        <w:jc w:val="both"/>
        <w:rPr>
          <w:sz w:val="22"/>
          <w:szCs w:val="22"/>
          <w:lang w:val="en-JM"/>
        </w:rPr>
      </w:pPr>
    </w:p>
    <w:p w14:paraId="1D332371" w14:textId="77777777" w:rsidR="00542624" w:rsidRPr="002B4E2A" w:rsidRDefault="00542624" w:rsidP="000A3D0D">
      <w:pPr>
        <w:pStyle w:val="ListParagraph"/>
        <w:numPr>
          <w:ilvl w:val="1"/>
          <w:numId w:val="12"/>
        </w:numPr>
        <w:ind w:left="0" w:firstLine="0"/>
        <w:contextualSpacing/>
        <w:jc w:val="both"/>
        <w:rPr>
          <w:sz w:val="22"/>
          <w:szCs w:val="22"/>
          <w:lang w:val="en-JM"/>
        </w:rPr>
      </w:pPr>
      <w:r w:rsidRPr="002B4E2A">
        <w:rPr>
          <w:sz w:val="22"/>
          <w:szCs w:val="22"/>
          <w:lang w:val="en-JM"/>
        </w:rPr>
        <w:t xml:space="preserve">The Multi-donor Trust Fund will blend sources of financing, enabling the Fund to offer concessional rate that is needed to impactfully de-risk the market and spur greater demand and penetration of e-mobility technologies and infrastructure across the Caribbean. </w:t>
      </w:r>
    </w:p>
    <w:p w14:paraId="4DE36B5C" w14:textId="77777777" w:rsidR="00542624" w:rsidRPr="002B4E2A" w:rsidRDefault="00542624" w:rsidP="00542624">
      <w:pPr>
        <w:pStyle w:val="ListParagraph"/>
        <w:ind w:left="0"/>
        <w:jc w:val="both"/>
        <w:rPr>
          <w:sz w:val="22"/>
          <w:szCs w:val="22"/>
          <w:lang w:val="en-JM"/>
        </w:rPr>
      </w:pPr>
    </w:p>
    <w:p w14:paraId="3AA96197" w14:textId="77777777" w:rsidR="00542624" w:rsidRPr="002B4E2A" w:rsidRDefault="00542624" w:rsidP="00542624">
      <w:pPr>
        <w:pStyle w:val="ListParagraph"/>
        <w:ind w:left="0"/>
        <w:jc w:val="both"/>
        <w:rPr>
          <w:sz w:val="22"/>
          <w:szCs w:val="22"/>
          <w:lang w:val="en-JM"/>
        </w:rPr>
      </w:pPr>
    </w:p>
    <w:p w14:paraId="32A4BD29" w14:textId="67D1250F" w:rsidR="004A31A9" w:rsidRDefault="004A31A9" w:rsidP="00542624">
      <w:pPr>
        <w:pStyle w:val="ListParagraph"/>
        <w:ind w:left="0"/>
        <w:jc w:val="both"/>
        <w:rPr>
          <w:sz w:val="22"/>
          <w:szCs w:val="22"/>
          <w:lang w:val="en-JM"/>
        </w:rPr>
      </w:pPr>
      <w:r>
        <w:rPr>
          <w:sz w:val="22"/>
          <w:szCs w:val="22"/>
          <w:lang w:val="en-JM"/>
        </w:rPr>
        <w:br w:type="page"/>
      </w:r>
    </w:p>
    <w:p w14:paraId="33AF663E" w14:textId="77777777" w:rsidR="00542624" w:rsidRPr="002B4E2A" w:rsidRDefault="00542624" w:rsidP="00542624">
      <w:pPr>
        <w:pStyle w:val="ListParagraph"/>
        <w:ind w:left="0"/>
        <w:jc w:val="both"/>
        <w:rPr>
          <w:sz w:val="22"/>
          <w:szCs w:val="22"/>
          <w:lang w:val="en-JM"/>
        </w:rPr>
      </w:pPr>
    </w:p>
    <w:p w14:paraId="289A82F0" w14:textId="77777777" w:rsidR="00542624" w:rsidRPr="002B4E2A" w:rsidRDefault="00542624" w:rsidP="00542624">
      <w:pPr>
        <w:jc w:val="center"/>
        <w:rPr>
          <w:rFonts w:ascii="Times New Roman" w:hAnsi="Times New Roman"/>
          <w:b/>
          <w:bCs/>
          <w:sz w:val="22"/>
          <w:szCs w:val="22"/>
          <w:lang w:val="en-JM"/>
        </w:rPr>
      </w:pPr>
      <w:r w:rsidRPr="002B4E2A">
        <w:rPr>
          <w:rFonts w:ascii="Times New Roman" w:hAnsi="Times New Roman"/>
          <w:b/>
          <w:bCs/>
          <w:sz w:val="22"/>
          <w:szCs w:val="22"/>
          <w:lang w:val="en-JM"/>
        </w:rPr>
        <w:t>Figure 4: Potential Funding Sources for Capitalising the Caribbean E-Mobility Fund</w:t>
      </w:r>
    </w:p>
    <w:p w14:paraId="65D3EA5D" w14:textId="77777777" w:rsidR="00542624" w:rsidRPr="002B4E2A" w:rsidRDefault="00542624" w:rsidP="00542624">
      <w:pPr>
        <w:jc w:val="center"/>
        <w:rPr>
          <w:rFonts w:ascii="Times New Roman" w:hAnsi="Times New Roman"/>
          <w:b/>
          <w:bCs/>
          <w:sz w:val="22"/>
          <w:szCs w:val="22"/>
          <w:lang w:val="en-JM"/>
        </w:rPr>
      </w:pPr>
    </w:p>
    <w:p w14:paraId="4A9DF4D9" w14:textId="77777777" w:rsidR="00542624" w:rsidRPr="002B4E2A" w:rsidRDefault="00542624" w:rsidP="00542624">
      <w:pPr>
        <w:rPr>
          <w:rFonts w:ascii="Times New Roman" w:hAnsi="Times New Roman"/>
          <w:sz w:val="22"/>
          <w:szCs w:val="22"/>
        </w:rPr>
      </w:pPr>
      <w:r w:rsidRPr="002B4E2A">
        <w:rPr>
          <w:rFonts w:ascii="Times New Roman" w:hAnsi="Times New Roman"/>
          <w:noProof/>
          <w:sz w:val="22"/>
          <w:szCs w:val="22"/>
          <w:lang w:val="en-JM"/>
        </w:rPr>
        <w:drawing>
          <wp:inline distT="0" distB="0" distL="0" distR="0" wp14:anchorId="37217A74" wp14:editId="1A6378B4">
            <wp:extent cx="5949950" cy="3898900"/>
            <wp:effectExtent l="0" t="0" r="0" b="25400"/>
            <wp:docPr id="989318483"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8C7037F" w14:textId="77777777" w:rsidR="00542624" w:rsidRDefault="00542624" w:rsidP="00542624">
      <w:pPr>
        <w:rPr>
          <w:rFonts w:ascii="Times New Roman" w:hAnsi="Times New Roman"/>
          <w:sz w:val="22"/>
          <w:szCs w:val="22"/>
        </w:rPr>
      </w:pPr>
    </w:p>
    <w:p w14:paraId="2A5C4CAD" w14:textId="77777777" w:rsidR="004A31A9" w:rsidRPr="002B4E2A" w:rsidRDefault="004A31A9" w:rsidP="00542624">
      <w:pPr>
        <w:rPr>
          <w:rFonts w:ascii="Times New Roman" w:hAnsi="Times New Roman"/>
          <w:sz w:val="22"/>
          <w:szCs w:val="22"/>
        </w:rPr>
      </w:pPr>
    </w:p>
    <w:p w14:paraId="75DDF0BB" w14:textId="77777777" w:rsidR="00542624" w:rsidRPr="004A31A9" w:rsidRDefault="00542624" w:rsidP="000A3D0D">
      <w:pPr>
        <w:pStyle w:val="ListParagraph"/>
        <w:numPr>
          <w:ilvl w:val="0"/>
          <w:numId w:val="12"/>
        </w:numPr>
        <w:spacing w:after="160" w:line="278" w:lineRule="auto"/>
        <w:ind w:hanging="720"/>
        <w:contextualSpacing/>
        <w:rPr>
          <w:b/>
          <w:sz w:val="22"/>
          <w:szCs w:val="22"/>
          <w:u w:val="single"/>
        </w:rPr>
      </w:pPr>
      <w:r w:rsidRPr="004A31A9">
        <w:rPr>
          <w:b/>
          <w:sz w:val="22"/>
          <w:szCs w:val="22"/>
          <w:u w:val="single"/>
        </w:rPr>
        <w:t>CONCLUSION</w:t>
      </w:r>
    </w:p>
    <w:p w14:paraId="5E692EB7" w14:textId="77777777" w:rsidR="00542624" w:rsidRPr="002B4E2A" w:rsidRDefault="00542624" w:rsidP="00542624">
      <w:pPr>
        <w:jc w:val="both"/>
        <w:rPr>
          <w:rFonts w:ascii="Times New Roman" w:hAnsi="Times New Roman"/>
          <w:sz w:val="22"/>
          <w:szCs w:val="22"/>
        </w:rPr>
      </w:pPr>
      <w:r w:rsidRPr="002B4E2A">
        <w:rPr>
          <w:rFonts w:ascii="Times New Roman" w:hAnsi="Times New Roman"/>
          <w:sz w:val="22"/>
          <w:szCs w:val="22"/>
        </w:rPr>
        <w:t>3.01</w:t>
      </w:r>
      <w:r w:rsidRPr="002B4E2A">
        <w:rPr>
          <w:rFonts w:ascii="Times New Roman" w:hAnsi="Times New Roman"/>
          <w:sz w:val="22"/>
          <w:szCs w:val="22"/>
        </w:rPr>
        <w:tab/>
        <w:t xml:space="preserve">The importation of fuel amounts to approximately 10% of GDP in CARICOM member States. Moreover 39% of total fuel consumption is attributed to transportation. Targeting the transport sector is therefore critical to reduce countries’ reliance on the import of fossil fuels and achieving the ambitious NDC targets set by some CARICOM member States. The Caribbean E-Mobility Fund will support strategic investments, deployment of EVs (and related technologies) and create an enabling environment through policy reforms and capacity building. This Fund is critical to enable the Caribbean’s transition to a resilient, low-carbon transport sector.  A mix of funding sources is proposed in order to </w:t>
      </w:r>
      <w:proofErr w:type="spellStart"/>
      <w:r w:rsidRPr="002B4E2A">
        <w:rPr>
          <w:rFonts w:ascii="Times New Roman" w:hAnsi="Times New Roman"/>
          <w:sz w:val="22"/>
          <w:szCs w:val="22"/>
        </w:rPr>
        <w:t>maximise</w:t>
      </w:r>
      <w:proofErr w:type="spellEnd"/>
      <w:r w:rsidRPr="002B4E2A">
        <w:rPr>
          <w:rFonts w:ascii="Times New Roman" w:hAnsi="Times New Roman"/>
          <w:sz w:val="22"/>
          <w:szCs w:val="22"/>
        </w:rPr>
        <w:t xml:space="preserve"> the level of concessionally needed to de-risk the market, crowd-in private sector investment and ease the burden on government revenue as, notwithstanding some overall improvement in debt sustainability indicators, nearly half of the Bank’s BMCs still have debt to GDP ratios in excess of 60%, with ongoing risks to debt sustainability. </w:t>
      </w:r>
    </w:p>
    <w:p w14:paraId="04321B32" w14:textId="77777777" w:rsidR="00542624" w:rsidRPr="002B4E2A" w:rsidRDefault="00542624" w:rsidP="00542624">
      <w:pPr>
        <w:jc w:val="both"/>
        <w:rPr>
          <w:rFonts w:ascii="Times New Roman" w:hAnsi="Times New Roman"/>
          <w:sz w:val="22"/>
          <w:szCs w:val="22"/>
        </w:rPr>
      </w:pPr>
    </w:p>
    <w:p w14:paraId="6C435A47" w14:textId="77777777" w:rsidR="004A31A9" w:rsidRDefault="004A31A9">
      <w:pPr>
        <w:widowControl/>
        <w:autoSpaceDE/>
        <w:autoSpaceDN/>
        <w:adjustRightInd/>
        <w:spacing w:after="160" w:line="259" w:lineRule="auto"/>
        <w:rPr>
          <w:rFonts w:ascii="Times New Roman" w:hAnsi="Times New Roman"/>
          <w:b/>
          <w:bCs/>
          <w:kern w:val="36"/>
          <w:sz w:val="22"/>
          <w:szCs w:val="22"/>
          <w:u w:val="single"/>
        </w:rPr>
        <w:sectPr w:rsidR="004A31A9" w:rsidSect="00BC046C">
          <w:footerReference w:type="default" r:id="rId22"/>
          <w:pgSz w:w="12240" w:h="15840"/>
          <w:pgMar w:top="1440" w:right="1440" w:bottom="1440" w:left="1440" w:header="720" w:footer="720" w:gutter="0"/>
          <w:pgNumType w:start="1"/>
          <w:cols w:space="720"/>
          <w:titlePg/>
          <w:docGrid w:linePitch="360"/>
        </w:sectPr>
      </w:pPr>
    </w:p>
    <w:p w14:paraId="2FF67016" w14:textId="5DB509EC" w:rsidR="00F21B60" w:rsidRDefault="00F21B60" w:rsidP="00663D25">
      <w:pPr>
        <w:pStyle w:val="Heading1"/>
        <w:spacing w:before="0" w:beforeAutospacing="0" w:after="0" w:afterAutospacing="0"/>
        <w:rPr>
          <w:sz w:val="22"/>
          <w:szCs w:val="22"/>
        </w:rPr>
      </w:pPr>
      <w:r w:rsidRPr="002B4E2A">
        <w:rPr>
          <w:sz w:val="22"/>
          <w:szCs w:val="22"/>
        </w:rPr>
        <w:lastRenderedPageBreak/>
        <w:t xml:space="preserve">APPENDIX </w:t>
      </w:r>
      <w:r w:rsidR="00414D5E" w:rsidRPr="002B4E2A">
        <w:rPr>
          <w:sz w:val="22"/>
          <w:szCs w:val="22"/>
        </w:rPr>
        <w:t>B</w:t>
      </w:r>
    </w:p>
    <w:p w14:paraId="5F0940A6" w14:textId="77777777" w:rsidR="00663D25" w:rsidRPr="002B4E2A" w:rsidRDefault="00663D25" w:rsidP="00663D25">
      <w:pPr>
        <w:pStyle w:val="Heading1"/>
        <w:spacing w:before="0" w:beforeAutospacing="0" w:after="0" w:afterAutospacing="0"/>
        <w:rPr>
          <w:sz w:val="22"/>
          <w:szCs w:val="22"/>
        </w:rPr>
      </w:pPr>
    </w:p>
    <w:p w14:paraId="51E44503" w14:textId="79E5EC9C" w:rsidR="00F21B60" w:rsidRPr="002B4E2A" w:rsidRDefault="00F21B60" w:rsidP="00663D25">
      <w:pPr>
        <w:pStyle w:val="Heading2"/>
        <w:numPr>
          <w:ilvl w:val="0"/>
          <w:numId w:val="0"/>
        </w:numPr>
        <w:jc w:val="center"/>
        <w:rPr>
          <w:lang w:val="en-GB"/>
        </w:rPr>
      </w:pPr>
      <w:r w:rsidRPr="002B4E2A">
        <w:rPr>
          <w:lang w:val="en-GB"/>
        </w:rPr>
        <w:t xml:space="preserve">SUMMARY OF </w:t>
      </w:r>
      <w:r w:rsidRPr="002B4E2A">
        <w:t>THE</w:t>
      </w:r>
      <w:r w:rsidRPr="002B4E2A">
        <w:rPr>
          <w:lang w:val="en-GB"/>
        </w:rPr>
        <w:t xml:space="preserve"> </w:t>
      </w:r>
      <w:r w:rsidR="007A1F81" w:rsidRPr="002B4E2A">
        <w:rPr>
          <w:lang w:val="en-GB"/>
        </w:rPr>
        <w:t xml:space="preserve">POTENTIAL BENEFITS </w:t>
      </w:r>
      <w:r w:rsidRPr="002B4E2A">
        <w:rPr>
          <w:lang w:val="en-GB"/>
        </w:rPr>
        <w:t xml:space="preserve">OF </w:t>
      </w:r>
      <w:r w:rsidR="004F5C36" w:rsidRPr="002B4E2A">
        <w:rPr>
          <w:lang w:val="en-GB"/>
        </w:rPr>
        <w:t>E-MOBILITY FUND</w:t>
      </w:r>
    </w:p>
    <w:p w14:paraId="3D386379" w14:textId="77777777" w:rsidR="00F21B60" w:rsidRPr="002B4E2A" w:rsidRDefault="00F21B60" w:rsidP="00663D25">
      <w:pPr>
        <w:ind w:left="360"/>
        <w:jc w:val="both"/>
        <w:rPr>
          <w:rFonts w:ascii="Times New Roman" w:hAnsi="Times New Roman"/>
          <w:b/>
          <w:bCs/>
          <w:kern w:val="2"/>
          <w:sz w:val="22"/>
          <w:szCs w:val="22"/>
          <w:u w:val="single"/>
          <w:lang w:val="en-GB"/>
          <w14:ligatures w14:val="standardContextual"/>
        </w:rPr>
      </w:pPr>
    </w:p>
    <w:p w14:paraId="54A6A807" w14:textId="77777777" w:rsidR="00F904B3" w:rsidRDefault="00F904B3" w:rsidP="00663D25">
      <w:pPr>
        <w:widowControl/>
        <w:autoSpaceDE/>
        <w:autoSpaceDN/>
        <w:adjustRightInd/>
        <w:jc w:val="both"/>
        <w:rPr>
          <w:rFonts w:ascii="Times New Roman" w:hAnsi="Times New Roman"/>
          <w:sz w:val="22"/>
          <w:szCs w:val="22"/>
          <w:lang w:eastAsia="zh-CN"/>
        </w:rPr>
      </w:pPr>
      <w:r w:rsidRPr="002B4E2A">
        <w:rPr>
          <w:rFonts w:ascii="Times New Roman" w:hAnsi="Times New Roman"/>
          <w:sz w:val="22"/>
          <w:szCs w:val="22"/>
          <w:lang w:eastAsia="zh-CN"/>
        </w:rPr>
        <w:t>The proposed Caribbean E-Mobility Fund is expected to deliver wide-ranging developmental benefits across environmental, economic, social, and institutional dimensions, contributing meaningfully to the sustainable energy and climate resilience goals of Borrowing Member Countries (BMCs). Key benefits include:</w:t>
      </w:r>
    </w:p>
    <w:p w14:paraId="45561E8F" w14:textId="77777777" w:rsidR="00663D25" w:rsidRPr="002B4E2A" w:rsidRDefault="00663D25" w:rsidP="00663D25">
      <w:pPr>
        <w:widowControl/>
        <w:autoSpaceDE/>
        <w:autoSpaceDN/>
        <w:adjustRightInd/>
        <w:jc w:val="both"/>
        <w:rPr>
          <w:rFonts w:ascii="Times New Roman" w:hAnsi="Times New Roman"/>
          <w:sz w:val="22"/>
          <w:szCs w:val="22"/>
          <w:lang w:eastAsia="zh-CN"/>
        </w:rPr>
      </w:pPr>
    </w:p>
    <w:p w14:paraId="1888F7E7" w14:textId="7A2906AC" w:rsidR="00F904B3" w:rsidRDefault="00F904B3" w:rsidP="00663D25">
      <w:pPr>
        <w:pStyle w:val="ListParagraph"/>
        <w:numPr>
          <w:ilvl w:val="1"/>
          <w:numId w:val="10"/>
        </w:numPr>
        <w:ind w:left="720" w:hanging="720"/>
        <w:rPr>
          <w:rStyle w:val="Strong"/>
          <w:sz w:val="22"/>
          <w:szCs w:val="22"/>
          <w:lang w:eastAsia="zh-CN"/>
        </w:rPr>
      </w:pPr>
      <w:r w:rsidRPr="00D34085">
        <w:rPr>
          <w:rStyle w:val="Strong"/>
          <w:sz w:val="22"/>
          <w:szCs w:val="22"/>
          <w:lang w:eastAsia="zh-CN"/>
        </w:rPr>
        <w:t>Environmental Benefits</w:t>
      </w:r>
    </w:p>
    <w:p w14:paraId="754B2BBD" w14:textId="77777777" w:rsidR="00663D25" w:rsidRPr="00D34085" w:rsidRDefault="00663D25" w:rsidP="00663D25">
      <w:pPr>
        <w:pStyle w:val="ListParagraph"/>
        <w:rPr>
          <w:rStyle w:val="Strong"/>
          <w:sz w:val="22"/>
          <w:szCs w:val="22"/>
          <w:lang w:eastAsia="zh-CN"/>
        </w:rPr>
      </w:pPr>
    </w:p>
    <w:p w14:paraId="599B06D9" w14:textId="77777777" w:rsidR="00F904B3" w:rsidRPr="002B4E2A" w:rsidRDefault="00F904B3" w:rsidP="00663D25">
      <w:pPr>
        <w:widowControl/>
        <w:numPr>
          <w:ilvl w:val="0"/>
          <w:numId w:val="3"/>
        </w:numPr>
        <w:tabs>
          <w:tab w:val="clear" w:pos="720"/>
          <w:tab w:val="num" w:pos="1440"/>
        </w:tabs>
        <w:autoSpaceDE/>
        <w:autoSpaceDN/>
        <w:adjustRightInd/>
        <w:ind w:left="1440" w:hanging="720"/>
        <w:jc w:val="both"/>
        <w:rPr>
          <w:rFonts w:ascii="Times New Roman" w:hAnsi="Times New Roman"/>
          <w:sz w:val="22"/>
          <w:szCs w:val="22"/>
          <w:lang w:eastAsia="zh-CN"/>
        </w:rPr>
      </w:pPr>
      <w:r w:rsidRPr="002B4E2A">
        <w:rPr>
          <w:rFonts w:ascii="Times New Roman" w:hAnsi="Times New Roman"/>
          <w:sz w:val="22"/>
          <w:szCs w:val="22"/>
          <w:lang w:eastAsia="zh-CN"/>
        </w:rPr>
        <w:t>Reduction in greenhouse gas (GHG) emissions from the transport sector, supporting BMCs in achieving their Nationally Determined Contributions (NDCs) under the Paris Agreement.</w:t>
      </w:r>
    </w:p>
    <w:p w14:paraId="2B6299EF" w14:textId="77777777" w:rsidR="00F904B3" w:rsidRPr="002B4E2A" w:rsidRDefault="00F904B3" w:rsidP="00663D25">
      <w:pPr>
        <w:widowControl/>
        <w:numPr>
          <w:ilvl w:val="0"/>
          <w:numId w:val="3"/>
        </w:numPr>
        <w:tabs>
          <w:tab w:val="clear" w:pos="720"/>
          <w:tab w:val="num" w:pos="1440"/>
        </w:tabs>
        <w:autoSpaceDE/>
        <w:autoSpaceDN/>
        <w:adjustRightInd/>
        <w:ind w:left="1440" w:hanging="720"/>
        <w:jc w:val="both"/>
        <w:rPr>
          <w:rFonts w:ascii="Times New Roman" w:hAnsi="Times New Roman"/>
          <w:sz w:val="22"/>
          <w:szCs w:val="22"/>
          <w:lang w:eastAsia="zh-CN"/>
        </w:rPr>
      </w:pPr>
      <w:r w:rsidRPr="002B4E2A">
        <w:rPr>
          <w:rFonts w:ascii="Times New Roman" w:hAnsi="Times New Roman"/>
          <w:sz w:val="22"/>
          <w:szCs w:val="22"/>
          <w:lang w:eastAsia="zh-CN"/>
        </w:rPr>
        <w:t>Improved urban air quality through decreased vehicular emissions, contributing to public health outcomes.</w:t>
      </w:r>
    </w:p>
    <w:p w14:paraId="00B83D45" w14:textId="77777777" w:rsidR="00F904B3" w:rsidRDefault="00F904B3" w:rsidP="00663D25">
      <w:pPr>
        <w:widowControl/>
        <w:numPr>
          <w:ilvl w:val="0"/>
          <w:numId w:val="3"/>
        </w:numPr>
        <w:tabs>
          <w:tab w:val="clear" w:pos="720"/>
          <w:tab w:val="num" w:pos="1440"/>
        </w:tabs>
        <w:autoSpaceDE/>
        <w:autoSpaceDN/>
        <w:adjustRightInd/>
        <w:ind w:left="1440" w:hanging="720"/>
        <w:jc w:val="both"/>
        <w:rPr>
          <w:rFonts w:ascii="Times New Roman" w:hAnsi="Times New Roman"/>
          <w:sz w:val="22"/>
          <w:szCs w:val="22"/>
          <w:lang w:eastAsia="zh-CN"/>
        </w:rPr>
      </w:pPr>
      <w:r w:rsidRPr="002B4E2A">
        <w:rPr>
          <w:rFonts w:ascii="Times New Roman" w:hAnsi="Times New Roman"/>
          <w:sz w:val="22"/>
          <w:szCs w:val="22"/>
          <w:lang w:eastAsia="zh-CN"/>
        </w:rPr>
        <w:t>Promotion of sustainable end-of-life battery management (e.g., recycling, reuse), advancing circular economy practices in the region.</w:t>
      </w:r>
    </w:p>
    <w:p w14:paraId="1ED08EF2" w14:textId="77777777" w:rsidR="00663D25" w:rsidRPr="002B4E2A" w:rsidRDefault="00663D25" w:rsidP="00663D25">
      <w:pPr>
        <w:widowControl/>
        <w:autoSpaceDE/>
        <w:autoSpaceDN/>
        <w:adjustRightInd/>
        <w:ind w:left="1440"/>
        <w:jc w:val="both"/>
        <w:rPr>
          <w:rFonts w:ascii="Times New Roman" w:hAnsi="Times New Roman"/>
          <w:sz w:val="22"/>
          <w:szCs w:val="22"/>
          <w:lang w:eastAsia="zh-CN"/>
        </w:rPr>
      </w:pPr>
    </w:p>
    <w:p w14:paraId="37133292" w14:textId="34EE473B" w:rsidR="00F904B3" w:rsidRDefault="00F904B3" w:rsidP="00663D25">
      <w:pPr>
        <w:pStyle w:val="ListParagraph"/>
        <w:numPr>
          <w:ilvl w:val="1"/>
          <w:numId w:val="10"/>
        </w:numPr>
        <w:ind w:left="720" w:hanging="720"/>
        <w:rPr>
          <w:rStyle w:val="Strong"/>
          <w:sz w:val="22"/>
          <w:szCs w:val="22"/>
          <w:lang w:eastAsia="zh-CN"/>
        </w:rPr>
      </w:pPr>
      <w:r w:rsidRPr="00663D25">
        <w:rPr>
          <w:rStyle w:val="Strong"/>
          <w:sz w:val="22"/>
          <w:szCs w:val="22"/>
          <w:lang w:eastAsia="zh-CN"/>
        </w:rPr>
        <w:t>Energy and Climate Resilience Benefits</w:t>
      </w:r>
    </w:p>
    <w:p w14:paraId="4540728E" w14:textId="77777777" w:rsidR="00663D25" w:rsidRPr="00663D25" w:rsidRDefault="00663D25" w:rsidP="00663D25">
      <w:pPr>
        <w:pStyle w:val="ListParagraph"/>
        <w:rPr>
          <w:rStyle w:val="Strong"/>
          <w:sz w:val="22"/>
          <w:szCs w:val="22"/>
          <w:lang w:eastAsia="zh-CN"/>
        </w:rPr>
      </w:pPr>
    </w:p>
    <w:p w14:paraId="7687CED9" w14:textId="77777777" w:rsidR="00F904B3" w:rsidRPr="002B4E2A" w:rsidRDefault="00F904B3" w:rsidP="00663D25">
      <w:pPr>
        <w:widowControl/>
        <w:numPr>
          <w:ilvl w:val="0"/>
          <w:numId w:val="4"/>
        </w:numPr>
        <w:tabs>
          <w:tab w:val="clear" w:pos="720"/>
          <w:tab w:val="num" w:pos="1440"/>
        </w:tabs>
        <w:autoSpaceDE/>
        <w:autoSpaceDN/>
        <w:adjustRightInd/>
        <w:ind w:left="1440" w:hanging="720"/>
        <w:jc w:val="both"/>
        <w:rPr>
          <w:rFonts w:ascii="Times New Roman" w:hAnsi="Times New Roman"/>
          <w:sz w:val="22"/>
          <w:szCs w:val="22"/>
          <w:lang w:eastAsia="zh-CN"/>
        </w:rPr>
      </w:pPr>
      <w:r w:rsidRPr="002B4E2A">
        <w:rPr>
          <w:rFonts w:ascii="Times New Roman" w:hAnsi="Times New Roman"/>
          <w:sz w:val="22"/>
          <w:szCs w:val="22"/>
          <w:lang w:eastAsia="zh-CN"/>
        </w:rPr>
        <w:t>Enhanced energy security through reduced dependence on imported petroleum fuels.</w:t>
      </w:r>
    </w:p>
    <w:p w14:paraId="53174EE5" w14:textId="77777777" w:rsidR="00F904B3" w:rsidRPr="002B4E2A" w:rsidRDefault="00F904B3" w:rsidP="00663D25">
      <w:pPr>
        <w:widowControl/>
        <w:numPr>
          <w:ilvl w:val="0"/>
          <w:numId w:val="4"/>
        </w:numPr>
        <w:tabs>
          <w:tab w:val="clear" w:pos="720"/>
          <w:tab w:val="num" w:pos="1440"/>
        </w:tabs>
        <w:autoSpaceDE/>
        <w:autoSpaceDN/>
        <w:adjustRightInd/>
        <w:ind w:left="1440" w:hanging="720"/>
        <w:jc w:val="both"/>
        <w:rPr>
          <w:rFonts w:ascii="Times New Roman" w:hAnsi="Times New Roman"/>
          <w:sz w:val="22"/>
          <w:szCs w:val="22"/>
          <w:lang w:eastAsia="zh-CN"/>
        </w:rPr>
      </w:pPr>
      <w:r w:rsidRPr="002B4E2A">
        <w:rPr>
          <w:rFonts w:ascii="Times New Roman" w:hAnsi="Times New Roman"/>
          <w:sz w:val="22"/>
          <w:szCs w:val="22"/>
          <w:lang w:eastAsia="zh-CN"/>
        </w:rPr>
        <w:t>Greater integration of renewable energy (RE) into national grids via green-powered charging infrastructure.</w:t>
      </w:r>
    </w:p>
    <w:p w14:paraId="403A8EF8" w14:textId="77777777" w:rsidR="00F904B3" w:rsidRDefault="00F904B3" w:rsidP="00663D25">
      <w:pPr>
        <w:widowControl/>
        <w:numPr>
          <w:ilvl w:val="0"/>
          <w:numId w:val="4"/>
        </w:numPr>
        <w:tabs>
          <w:tab w:val="clear" w:pos="720"/>
          <w:tab w:val="num" w:pos="1440"/>
        </w:tabs>
        <w:autoSpaceDE/>
        <w:autoSpaceDN/>
        <w:adjustRightInd/>
        <w:ind w:left="1440" w:hanging="720"/>
        <w:jc w:val="both"/>
        <w:rPr>
          <w:rFonts w:ascii="Times New Roman" w:hAnsi="Times New Roman"/>
          <w:sz w:val="22"/>
          <w:szCs w:val="22"/>
          <w:lang w:eastAsia="zh-CN"/>
        </w:rPr>
      </w:pPr>
      <w:r w:rsidRPr="002B4E2A">
        <w:rPr>
          <w:rFonts w:ascii="Times New Roman" w:hAnsi="Times New Roman"/>
          <w:sz w:val="22"/>
          <w:szCs w:val="22"/>
          <w:lang w:eastAsia="zh-CN"/>
        </w:rPr>
        <w:t>Contribution to grid stability and long-term energy diversification.</w:t>
      </w:r>
    </w:p>
    <w:p w14:paraId="4E41D221" w14:textId="77777777" w:rsidR="00663D25" w:rsidRPr="002B4E2A" w:rsidRDefault="00663D25" w:rsidP="00663D25">
      <w:pPr>
        <w:widowControl/>
        <w:autoSpaceDE/>
        <w:autoSpaceDN/>
        <w:adjustRightInd/>
        <w:ind w:left="720"/>
        <w:rPr>
          <w:rFonts w:ascii="Times New Roman" w:hAnsi="Times New Roman"/>
          <w:sz w:val="22"/>
          <w:szCs w:val="22"/>
          <w:lang w:eastAsia="zh-CN"/>
        </w:rPr>
      </w:pPr>
    </w:p>
    <w:p w14:paraId="218B8987" w14:textId="22CEE228" w:rsidR="00F904B3" w:rsidRDefault="00F904B3" w:rsidP="00663D25">
      <w:pPr>
        <w:pStyle w:val="ListParagraph"/>
        <w:numPr>
          <w:ilvl w:val="1"/>
          <w:numId w:val="10"/>
        </w:numPr>
        <w:ind w:left="720" w:hanging="720"/>
        <w:rPr>
          <w:rStyle w:val="Strong"/>
          <w:sz w:val="22"/>
          <w:szCs w:val="22"/>
        </w:rPr>
      </w:pPr>
      <w:r w:rsidRPr="00663D25">
        <w:rPr>
          <w:rStyle w:val="Strong"/>
          <w:sz w:val="22"/>
          <w:szCs w:val="22"/>
        </w:rPr>
        <w:t>Economic and Financial Benefits</w:t>
      </w:r>
    </w:p>
    <w:p w14:paraId="08C24B0F" w14:textId="77777777" w:rsidR="00663D25" w:rsidRPr="00663D25" w:rsidRDefault="00663D25" w:rsidP="00663D25">
      <w:pPr>
        <w:pStyle w:val="ListParagraph"/>
        <w:rPr>
          <w:rStyle w:val="Strong"/>
          <w:sz w:val="22"/>
          <w:szCs w:val="22"/>
        </w:rPr>
      </w:pPr>
    </w:p>
    <w:p w14:paraId="0127B3D3" w14:textId="77777777" w:rsidR="00F904B3" w:rsidRPr="002B4E2A" w:rsidRDefault="00F904B3" w:rsidP="00663D25">
      <w:pPr>
        <w:widowControl/>
        <w:numPr>
          <w:ilvl w:val="0"/>
          <w:numId w:val="5"/>
        </w:numPr>
        <w:tabs>
          <w:tab w:val="clear" w:pos="720"/>
          <w:tab w:val="num" w:pos="1440"/>
        </w:tabs>
        <w:autoSpaceDE/>
        <w:autoSpaceDN/>
        <w:adjustRightInd/>
        <w:ind w:left="1440" w:hanging="720"/>
        <w:jc w:val="both"/>
        <w:rPr>
          <w:rFonts w:ascii="Times New Roman" w:hAnsi="Times New Roman"/>
          <w:sz w:val="22"/>
          <w:szCs w:val="22"/>
          <w:lang w:eastAsia="zh-CN"/>
        </w:rPr>
      </w:pPr>
      <w:proofErr w:type="spellStart"/>
      <w:r w:rsidRPr="002B4E2A">
        <w:rPr>
          <w:rFonts w:ascii="Times New Roman" w:hAnsi="Times New Roman"/>
          <w:sz w:val="22"/>
          <w:szCs w:val="22"/>
          <w:lang w:eastAsia="zh-CN"/>
        </w:rPr>
        <w:t>Mobilisation</w:t>
      </w:r>
      <w:proofErr w:type="spellEnd"/>
      <w:r w:rsidRPr="002B4E2A">
        <w:rPr>
          <w:rFonts w:ascii="Times New Roman" w:hAnsi="Times New Roman"/>
          <w:sz w:val="22"/>
          <w:szCs w:val="22"/>
          <w:lang w:eastAsia="zh-CN"/>
        </w:rPr>
        <w:t xml:space="preserve"> of concessional and blended financing from climate funds and development finance institutions (DFIs), including the Green Climate Fund (GCF).</w:t>
      </w:r>
    </w:p>
    <w:p w14:paraId="6B2A4678" w14:textId="77777777" w:rsidR="00F904B3" w:rsidRPr="002B4E2A" w:rsidRDefault="00F904B3" w:rsidP="00663D25">
      <w:pPr>
        <w:widowControl/>
        <w:numPr>
          <w:ilvl w:val="0"/>
          <w:numId w:val="5"/>
        </w:numPr>
        <w:tabs>
          <w:tab w:val="clear" w:pos="720"/>
          <w:tab w:val="num" w:pos="1440"/>
        </w:tabs>
        <w:autoSpaceDE/>
        <w:autoSpaceDN/>
        <w:adjustRightInd/>
        <w:ind w:left="1440" w:hanging="720"/>
        <w:jc w:val="both"/>
        <w:rPr>
          <w:rFonts w:ascii="Times New Roman" w:hAnsi="Times New Roman"/>
          <w:sz w:val="22"/>
          <w:szCs w:val="22"/>
          <w:lang w:eastAsia="zh-CN"/>
        </w:rPr>
      </w:pPr>
      <w:r w:rsidRPr="002B4E2A">
        <w:rPr>
          <w:rFonts w:ascii="Times New Roman" w:hAnsi="Times New Roman"/>
          <w:sz w:val="22"/>
          <w:szCs w:val="22"/>
          <w:lang w:eastAsia="zh-CN"/>
        </w:rPr>
        <w:t>De-</w:t>
      </w:r>
      <w:proofErr w:type="gramStart"/>
      <w:r w:rsidRPr="002B4E2A">
        <w:rPr>
          <w:rFonts w:ascii="Times New Roman" w:hAnsi="Times New Roman"/>
          <w:sz w:val="22"/>
          <w:szCs w:val="22"/>
          <w:lang w:eastAsia="zh-CN"/>
        </w:rPr>
        <w:t>risking of</w:t>
      </w:r>
      <w:proofErr w:type="gramEnd"/>
      <w:r w:rsidRPr="002B4E2A">
        <w:rPr>
          <w:rFonts w:ascii="Times New Roman" w:hAnsi="Times New Roman"/>
          <w:sz w:val="22"/>
          <w:szCs w:val="22"/>
          <w:lang w:eastAsia="zh-CN"/>
        </w:rPr>
        <w:t xml:space="preserve"> investments in electric vehicles (EVs) and associated infrastructure, especially for micro, small and medium-sized enterprises (MSMEs).</w:t>
      </w:r>
    </w:p>
    <w:p w14:paraId="4FDE58DD" w14:textId="77777777" w:rsidR="00F904B3" w:rsidRDefault="00F904B3" w:rsidP="00663D25">
      <w:pPr>
        <w:widowControl/>
        <w:numPr>
          <w:ilvl w:val="0"/>
          <w:numId w:val="5"/>
        </w:numPr>
        <w:tabs>
          <w:tab w:val="clear" w:pos="720"/>
          <w:tab w:val="num" w:pos="1440"/>
        </w:tabs>
        <w:autoSpaceDE/>
        <w:autoSpaceDN/>
        <w:adjustRightInd/>
        <w:ind w:left="1440" w:hanging="720"/>
        <w:jc w:val="both"/>
        <w:rPr>
          <w:rFonts w:ascii="Times New Roman" w:hAnsi="Times New Roman"/>
          <w:sz w:val="22"/>
          <w:szCs w:val="22"/>
          <w:lang w:eastAsia="zh-CN"/>
        </w:rPr>
      </w:pPr>
      <w:r w:rsidRPr="002B4E2A">
        <w:rPr>
          <w:rFonts w:ascii="Times New Roman" w:hAnsi="Times New Roman"/>
          <w:sz w:val="22"/>
          <w:szCs w:val="22"/>
          <w:lang w:eastAsia="zh-CN"/>
        </w:rPr>
        <w:t>Support for local economic development and job creation in emerging sectors such as EV maintenance, charging infrastructure deployment, and fleet operations.</w:t>
      </w:r>
    </w:p>
    <w:p w14:paraId="34BF3215" w14:textId="77777777" w:rsidR="00663D25" w:rsidRPr="002B4E2A" w:rsidRDefault="00663D25" w:rsidP="00663D25">
      <w:pPr>
        <w:widowControl/>
        <w:autoSpaceDE/>
        <w:autoSpaceDN/>
        <w:adjustRightInd/>
        <w:ind w:left="720"/>
        <w:rPr>
          <w:rFonts w:ascii="Times New Roman" w:hAnsi="Times New Roman"/>
          <w:sz w:val="22"/>
          <w:szCs w:val="22"/>
          <w:lang w:eastAsia="zh-CN"/>
        </w:rPr>
      </w:pPr>
    </w:p>
    <w:p w14:paraId="2003F1A0" w14:textId="57E6A510" w:rsidR="00F904B3" w:rsidRDefault="00F904B3" w:rsidP="00663D25">
      <w:pPr>
        <w:pStyle w:val="ListParagraph"/>
        <w:numPr>
          <w:ilvl w:val="1"/>
          <w:numId w:val="10"/>
        </w:numPr>
        <w:ind w:left="720" w:hanging="720"/>
        <w:rPr>
          <w:rStyle w:val="Strong"/>
          <w:sz w:val="22"/>
          <w:szCs w:val="22"/>
        </w:rPr>
      </w:pPr>
      <w:r w:rsidRPr="00663D25">
        <w:rPr>
          <w:rStyle w:val="Strong"/>
          <w:sz w:val="22"/>
          <w:szCs w:val="22"/>
        </w:rPr>
        <w:t>Transport Sector Transformation</w:t>
      </w:r>
    </w:p>
    <w:p w14:paraId="6E3F8539" w14:textId="77777777" w:rsidR="00663D25" w:rsidRPr="00663D25" w:rsidRDefault="00663D25" w:rsidP="00663D25">
      <w:pPr>
        <w:pStyle w:val="ListParagraph"/>
        <w:rPr>
          <w:rStyle w:val="Strong"/>
          <w:sz w:val="22"/>
          <w:szCs w:val="22"/>
        </w:rPr>
      </w:pPr>
    </w:p>
    <w:p w14:paraId="52594AB6" w14:textId="77777777" w:rsidR="00F904B3" w:rsidRPr="002B4E2A" w:rsidRDefault="00F904B3" w:rsidP="00663D25">
      <w:pPr>
        <w:widowControl/>
        <w:numPr>
          <w:ilvl w:val="0"/>
          <w:numId w:val="6"/>
        </w:numPr>
        <w:tabs>
          <w:tab w:val="clear" w:pos="720"/>
        </w:tabs>
        <w:autoSpaceDE/>
        <w:autoSpaceDN/>
        <w:adjustRightInd/>
        <w:ind w:left="1440" w:hanging="720"/>
        <w:jc w:val="both"/>
        <w:rPr>
          <w:rFonts w:ascii="Times New Roman" w:hAnsi="Times New Roman"/>
          <w:sz w:val="22"/>
          <w:szCs w:val="22"/>
          <w:lang w:eastAsia="zh-CN"/>
        </w:rPr>
      </w:pPr>
      <w:r w:rsidRPr="002B4E2A">
        <w:rPr>
          <w:rFonts w:ascii="Times New Roman" w:hAnsi="Times New Roman"/>
          <w:sz w:val="22"/>
          <w:szCs w:val="22"/>
          <w:lang w:eastAsia="zh-CN"/>
        </w:rPr>
        <w:t>Acceleration of EV deployment across public and private fleets, including public transport, government vehicles, and commercial operators.</w:t>
      </w:r>
    </w:p>
    <w:p w14:paraId="4693FBD0" w14:textId="77777777" w:rsidR="00F904B3" w:rsidRPr="002B4E2A" w:rsidRDefault="00F904B3" w:rsidP="00663D25">
      <w:pPr>
        <w:widowControl/>
        <w:numPr>
          <w:ilvl w:val="0"/>
          <w:numId w:val="6"/>
        </w:numPr>
        <w:tabs>
          <w:tab w:val="clear" w:pos="720"/>
        </w:tabs>
        <w:autoSpaceDE/>
        <w:autoSpaceDN/>
        <w:adjustRightInd/>
        <w:ind w:left="1440" w:hanging="720"/>
        <w:jc w:val="both"/>
        <w:rPr>
          <w:rFonts w:ascii="Times New Roman" w:hAnsi="Times New Roman"/>
          <w:sz w:val="22"/>
          <w:szCs w:val="22"/>
          <w:lang w:eastAsia="zh-CN"/>
        </w:rPr>
      </w:pPr>
      <w:r w:rsidRPr="002B4E2A">
        <w:rPr>
          <w:rFonts w:ascii="Times New Roman" w:hAnsi="Times New Roman"/>
          <w:sz w:val="22"/>
          <w:szCs w:val="22"/>
          <w:lang w:eastAsia="zh-CN"/>
        </w:rPr>
        <w:t xml:space="preserve">Expanded and </w:t>
      </w:r>
      <w:proofErr w:type="spellStart"/>
      <w:r w:rsidRPr="002B4E2A">
        <w:rPr>
          <w:rFonts w:ascii="Times New Roman" w:hAnsi="Times New Roman"/>
          <w:sz w:val="22"/>
          <w:szCs w:val="22"/>
          <w:lang w:eastAsia="zh-CN"/>
        </w:rPr>
        <w:t>modernised</w:t>
      </w:r>
      <w:proofErr w:type="spellEnd"/>
      <w:r w:rsidRPr="002B4E2A">
        <w:rPr>
          <w:rFonts w:ascii="Times New Roman" w:hAnsi="Times New Roman"/>
          <w:sz w:val="22"/>
          <w:szCs w:val="22"/>
          <w:lang w:eastAsia="zh-CN"/>
        </w:rPr>
        <w:t xml:space="preserve"> EV charging infrastructure, including in underserved areas and transport hubs.</w:t>
      </w:r>
    </w:p>
    <w:p w14:paraId="36303048" w14:textId="77777777" w:rsidR="00F904B3" w:rsidRDefault="00F904B3" w:rsidP="00663D25">
      <w:pPr>
        <w:widowControl/>
        <w:numPr>
          <w:ilvl w:val="0"/>
          <w:numId w:val="6"/>
        </w:numPr>
        <w:tabs>
          <w:tab w:val="clear" w:pos="720"/>
        </w:tabs>
        <w:autoSpaceDE/>
        <w:autoSpaceDN/>
        <w:adjustRightInd/>
        <w:ind w:left="1440" w:hanging="720"/>
        <w:jc w:val="both"/>
        <w:rPr>
          <w:rFonts w:ascii="Times New Roman" w:hAnsi="Times New Roman"/>
          <w:sz w:val="22"/>
          <w:szCs w:val="22"/>
          <w:lang w:eastAsia="zh-CN"/>
        </w:rPr>
      </w:pPr>
      <w:r w:rsidRPr="002B4E2A">
        <w:rPr>
          <w:rFonts w:ascii="Times New Roman" w:hAnsi="Times New Roman"/>
          <w:sz w:val="22"/>
          <w:szCs w:val="22"/>
          <w:lang w:eastAsia="zh-CN"/>
        </w:rPr>
        <w:t xml:space="preserve">Advancement of </w:t>
      </w:r>
      <w:proofErr w:type="spellStart"/>
      <w:r w:rsidRPr="002B4E2A">
        <w:rPr>
          <w:rFonts w:ascii="Times New Roman" w:hAnsi="Times New Roman"/>
          <w:sz w:val="22"/>
          <w:szCs w:val="22"/>
          <w:lang w:eastAsia="zh-CN"/>
        </w:rPr>
        <w:t>digitalisation</w:t>
      </w:r>
      <w:proofErr w:type="spellEnd"/>
      <w:r w:rsidRPr="002B4E2A">
        <w:rPr>
          <w:rFonts w:ascii="Times New Roman" w:hAnsi="Times New Roman"/>
          <w:sz w:val="22"/>
          <w:szCs w:val="22"/>
          <w:lang w:eastAsia="zh-CN"/>
        </w:rPr>
        <w:t xml:space="preserve"> and data-driven transport planning through integration with EV systems.</w:t>
      </w:r>
    </w:p>
    <w:p w14:paraId="5EF26E8E" w14:textId="77777777" w:rsidR="00663D25" w:rsidRPr="002B4E2A" w:rsidRDefault="00663D25" w:rsidP="00663D25">
      <w:pPr>
        <w:widowControl/>
        <w:autoSpaceDE/>
        <w:autoSpaceDN/>
        <w:adjustRightInd/>
        <w:ind w:left="720"/>
        <w:rPr>
          <w:rFonts w:ascii="Times New Roman" w:hAnsi="Times New Roman"/>
          <w:sz w:val="22"/>
          <w:szCs w:val="22"/>
          <w:lang w:eastAsia="zh-CN"/>
        </w:rPr>
      </w:pPr>
    </w:p>
    <w:p w14:paraId="71B90C33" w14:textId="6D8918E1" w:rsidR="00F904B3" w:rsidRDefault="00F904B3" w:rsidP="00663D25">
      <w:pPr>
        <w:pStyle w:val="ListParagraph"/>
        <w:numPr>
          <w:ilvl w:val="1"/>
          <w:numId w:val="10"/>
        </w:numPr>
        <w:ind w:left="720" w:hanging="720"/>
        <w:rPr>
          <w:rStyle w:val="Strong"/>
          <w:sz w:val="22"/>
          <w:szCs w:val="22"/>
        </w:rPr>
      </w:pPr>
      <w:r w:rsidRPr="00663D25">
        <w:rPr>
          <w:rStyle w:val="Strong"/>
          <w:sz w:val="22"/>
          <w:szCs w:val="22"/>
        </w:rPr>
        <w:t>Institutional and Policy Strengthening</w:t>
      </w:r>
    </w:p>
    <w:p w14:paraId="54BA6987" w14:textId="77777777" w:rsidR="00663D25" w:rsidRPr="00663D25" w:rsidRDefault="00663D25" w:rsidP="00663D25">
      <w:pPr>
        <w:pStyle w:val="ListParagraph"/>
        <w:rPr>
          <w:rStyle w:val="Strong"/>
          <w:sz w:val="22"/>
          <w:szCs w:val="22"/>
        </w:rPr>
      </w:pPr>
    </w:p>
    <w:p w14:paraId="6315FCC2" w14:textId="77777777" w:rsidR="00F904B3" w:rsidRPr="002B4E2A" w:rsidRDefault="00F904B3" w:rsidP="00663D25">
      <w:pPr>
        <w:widowControl/>
        <w:numPr>
          <w:ilvl w:val="0"/>
          <w:numId w:val="7"/>
        </w:numPr>
        <w:tabs>
          <w:tab w:val="clear" w:pos="720"/>
          <w:tab w:val="num" w:pos="1440"/>
        </w:tabs>
        <w:autoSpaceDE/>
        <w:autoSpaceDN/>
        <w:adjustRightInd/>
        <w:ind w:left="1440" w:hanging="720"/>
        <w:jc w:val="both"/>
        <w:rPr>
          <w:rFonts w:ascii="Times New Roman" w:hAnsi="Times New Roman"/>
          <w:sz w:val="22"/>
          <w:szCs w:val="22"/>
          <w:lang w:eastAsia="zh-CN"/>
        </w:rPr>
      </w:pPr>
      <w:r w:rsidRPr="002B4E2A">
        <w:rPr>
          <w:rFonts w:ascii="Times New Roman" w:hAnsi="Times New Roman"/>
          <w:sz w:val="22"/>
          <w:szCs w:val="22"/>
          <w:lang w:eastAsia="zh-CN"/>
        </w:rPr>
        <w:t xml:space="preserve">Support for the development and </w:t>
      </w:r>
      <w:proofErr w:type="spellStart"/>
      <w:r w:rsidRPr="002B4E2A">
        <w:rPr>
          <w:rFonts w:ascii="Times New Roman" w:hAnsi="Times New Roman"/>
          <w:sz w:val="22"/>
          <w:szCs w:val="22"/>
          <w:lang w:eastAsia="zh-CN"/>
        </w:rPr>
        <w:t>harmonisation</w:t>
      </w:r>
      <w:proofErr w:type="spellEnd"/>
      <w:r w:rsidRPr="002B4E2A">
        <w:rPr>
          <w:rFonts w:ascii="Times New Roman" w:hAnsi="Times New Roman"/>
          <w:sz w:val="22"/>
          <w:szCs w:val="22"/>
          <w:lang w:eastAsia="zh-CN"/>
        </w:rPr>
        <w:t xml:space="preserve"> of national EV policies, incentives, and tariff structures.</w:t>
      </w:r>
    </w:p>
    <w:p w14:paraId="5D8E7E9C" w14:textId="77777777" w:rsidR="00F904B3" w:rsidRPr="002B4E2A" w:rsidRDefault="00F904B3" w:rsidP="00663D25">
      <w:pPr>
        <w:widowControl/>
        <w:numPr>
          <w:ilvl w:val="0"/>
          <w:numId w:val="7"/>
        </w:numPr>
        <w:tabs>
          <w:tab w:val="clear" w:pos="720"/>
          <w:tab w:val="num" w:pos="1440"/>
        </w:tabs>
        <w:autoSpaceDE/>
        <w:autoSpaceDN/>
        <w:adjustRightInd/>
        <w:ind w:left="1440" w:hanging="720"/>
        <w:jc w:val="both"/>
        <w:rPr>
          <w:rFonts w:ascii="Times New Roman" w:hAnsi="Times New Roman"/>
          <w:sz w:val="22"/>
          <w:szCs w:val="22"/>
          <w:lang w:eastAsia="zh-CN"/>
        </w:rPr>
      </w:pPr>
      <w:proofErr w:type="gramStart"/>
      <w:r w:rsidRPr="002B4E2A">
        <w:rPr>
          <w:rFonts w:ascii="Times New Roman" w:hAnsi="Times New Roman"/>
          <w:sz w:val="22"/>
          <w:szCs w:val="22"/>
          <w:lang w:eastAsia="zh-CN"/>
        </w:rPr>
        <w:t>Strengthened</w:t>
      </w:r>
      <w:proofErr w:type="gramEnd"/>
      <w:r w:rsidRPr="002B4E2A">
        <w:rPr>
          <w:rFonts w:ascii="Times New Roman" w:hAnsi="Times New Roman"/>
          <w:sz w:val="22"/>
          <w:szCs w:val="22"/>
          <w:lang w:eastAsia="zh-CN"/>
        </w:rPr>
        <w:t xml:space="preserve"> institutional capacity for e-mobility planning, investment appraisal, and project implementation.</w:t>
      </w:r>
    </w:p>
    <w:p w14:paraId="3E9C023C" w14:textId="77777777" w:rsidR="00F904B3" w:rsidRDefault="00F904B3" w:rsidP="00663D25">
      <w:pPr>
        <w:widowControl/>
        <w:numPr>
          <w:ilvl w:val="0"/>
          <w:numId w:val="7"/>
        </w:numPr>
        <w:tabs>
          <w:tab w:val="clear" w:pos="720"/>
          <w:tab w:val="num" w:pos="1440"/>
        </w:tabs>
        <w:autoSpaceDE/>
        <w:autoSpaceDN/>
        <w:adjustRightInd/>
        <w:ind w:left="1440" w:hanging="720"/>
        <w:jc w:val="both"/>
        <w:rPr>
          <w:rFonts w:ascii="Times New Roman" w:hAnsi="Times New Roman"/>
          <w:sz w:val="22"/>
          <w:szCs w:val="22"/>
          <w:lang w:eastAsia="zh-CN"/>
        </w:rPr>
      </w:pPr>
      <w:r w:rsidRPr="002B4E2A">
        <w:rPr>
          <w:rFonts w:ascii="Times New Roman" w:hAnsi="Times New Roman"/>
          <w:sz w:val="22"/>
          <w:szCs w:val="22"/>
          <w:lang w:eastAsia="zh-CN"/>
        </w:rPr>
        <w:lastRenderedPageBreak/>
        <w:t>Alignment with regional initiatives such as the CARICOM Regional Electric Vehicle Strategy (REVS) and CDB’s ASERT-2030 framework.</w:t>
      </w:r>
    </w:p>
    <w:p w14:paraId="375390AA" w14:textId="77777777" w:rsidR="00663D25" w:rsidRPr="002B4E2A" w:rsidRDefault="00663D25" w:rsidP="00663D25">
      <w:pPr>
        <w:widowControl/>
        <w:autoSpaceDE/>
        <w:autoSpaceDN/>
        <w:adjustRightInd/>
        <w:ind w:left="720"/>
        <w:rPr>
          <w:rFonts w:ascii="Times New Roman" w:hAnsi="Times New Roman"/>
          <w:sz w:val="22"/>
          <w:szCs w:val="22"/>
          <w:lang w:eastAsia="zh-CN"/>
        </w:rPr>
      </w:pPr>
    </w:p>
    <w:p w14:paraId="020E904B" w14:textId="4997CA6C" w:rsidR="00F904B3" w:rsidRDefault="00F904B3" w:rsidP="00663D25">
      <w:pPr>
        <w:pStyle w:val="ListParagraph"/>
        <w:numPr>
          <w:ilvl w:val="1"/>
          <w:numId w:val="10"/>
        </w:numPr>
        <w:ind w:left="720" w:hanging="720"/>
        <w:rPr>
          <w:rStyle w:val="Strong"/>
          <w:sz w:val="22"/>
          <w:szCs w:val="22"/>
        </w:rPr>
      </w:pPr>
      <w:r w:rsidRPr="00663D25">
        <w:rPr>
          <w:rStyle w:val="Strong"/>
          <w:sz w:val="22"/>
          <w:szCs w:val="22"/>
        </w:rPr>
        <w:t>Social and Gender Equity Benefits</w:t>
      </w:r>
    </w:p>
    <w:p w14:paraId="5A8E15F9" w14:textId="77777777" w:rsidR="00663D25" w:rsidRPr="00663D25" w:rsidRDefault="00663D25" w:rsidP="00663D25">
      <w:pPr>
        <w:pStyle w:val="ListParagraph"/>
        <w:rPr>
          <w:rStyle w:val="Strong"/>
          <w:sz w:val="22"/>
          <w:szCs w:val="22"/>
        </w:rPr>
      </w:pPr>
    </w:p>
    <w:p w14:paraId="03C22E38" w14:textId="77777777" w:rsidR="00F904B3" w:rsidRPr="002B4E2A" w:rsidRDefault="00F904B3" w:rsidP="00663D25">
      <w:pPr>
        <w:widowControl/>
        <w:numPr>
          <w:ilvl w:val="0"/>
          <w:numId w:val="8"/>
        </w:numPr>
        <w:tabs>
          <w:tab w:val="clear" w:pos="720"/>
          <w:tab w:val="num" w:pos="1440"/>
        </w:tabs>
        <w:autoSpaceDE/>
        <w:autoSpaceDN/>
        <w:adjustRightInd/>
        <w:ind w:left="1440" w:hanging="720"/>
        <w:jc w:val="both"/>
        <w:rPr>
          <w:rFonts w:ascii="Times New Roman" w:hAnsi="Times New Roman"/>
          <w:sz w:val="22"/>
          <w:szCs w:val="22"/>
          <w:lang w:eastAsia="zh-CN"/>
        </w:rPr>
      </w:pPr>
      <w:r w:rsidRPr="002B4E2A">
        <w:rPr>
          <w:rFonts w:ascii="Times New Roman" w:hAnsi="Times New Roman"/>
          <w:sz w:val="22"/>
          <w:szCs w:val="22"/>
          <w:lang w:eastAsia="zh-CN"/>
        </w:rPr>
        <w:t>Increased access to safe, affordable, and sustainable transport solutions, particularly for vulnerable and underserved populations.</w:t>
      </w:r>
    </w:p>
    <w:p w14:paraId="4B73CAD3" w14:textId="77777777" w:rsidR="00F904B3" w:rsidRPr="002B4E2A" w:rsidRDefault="00F904B3" w:rsidP="00663D25">
      <w:pPr>
        <w:widowControl/>
        <w:numPr>
          <w:ilvl w:val="0"/>
          <w:numId w:val="8"/>
        </w:numPr>
        <w:tabs>
          <w:tab w:val="clear" w:pos="720"/>
          <w:tab w:val="num" w:pos="1440"/>
        </w:tabs>
        <w:autoSpaceDE/>
        <w:autoSpaceDN/>
        <w:adjustRightInd/>
        <w:ind w:left="1440" w:hanging="720"/>
        <w:jc w:val="both"/>
        <w:rPr>
          <w:rFonts w:ascii="Times New Roman" w:hAnsi="Times New Roman"/>
          <w:sz w:val="22"/>
          <w:szCs w:val="22"/>
          <w:lang w:eastAsia="zh-CN"/>
        </w:rPr>
      </w:pPr>
      <w:r w:rsidRPr="002B4E2A">
        <w:rPr>
          <w:rFonts w:ascii="Times New Roman" w:hAnsi="Times New Roman"/>
          <w:sz w:val="22"/>
          <w:szCs w:val="22"/>
          <w:lang w:eastAsia="zh-CN"/>
        </w:rPr>
        <w:t>Enhanced public awareness of the environmental and economic advantages of e-mobility.</w:t>
      </w:r>
    </w:p>
    <w:p w14:paraId="3438DF21" w14:textId="77777777" w:rsidR="00F904B3" w:rsidRPr="002B4E2A" w:rsidRDefault="00F904B3" w:rsidP="00663D25">
      <w:pPr>
        <w:widowControl/>
        <w:numPr>
          <w:ilvl w:val="0"/>
          <w:numId w:val="8"/>
        </w:numPr>
        <w:tabs>
          <w:tab w:val="clear" w:pos="720"/>
          <w:tab w:val="num" w:pos="1440"/>
        </w:tabs>
        <w:autoSpaceDE/>
        <w:autoSpaceDN/>
        <w:adjustRightInd/>
        <w:ind w:left="1440" w:hanging="720"/>
        <w:jc w:val="both"/>
        <w:rPr>
          <w:rFonts w:ascii="Times New Roman" w:hAnsi="Times New Roman"/>
          <w:sz w:val="22"/>
          <w:szCs w:val="22"/>
          <w:lang w:eastAsia="zh-CN"/>
        </w:rPr>
      </w:pPr>
      <w:r w:rsidRPr="002B4E2A">
        <w:rPr>
          <w:rFonts w:ascii="Times New Roman" w:hAnsi="Times New Roman"/>
          <w:sz w:val="22"/>
          <w:szCs w:val="22"/>
          <w:lang w:eastAsia="zh-CN"/>
        </w:rPr>
        <w:t>Opportunities for gender mainstreaming through targeted skills development and inclusive procurement practices.</w:t>
      </w:r>
    </w:p>
    <w:p w14:paraId="4F3E3D89" w14:textId="77777777" w:rsidR="00663D25" w:rsidRDefault="00663D25">
      <w:pPr>
        <w:widowControl/>
        <w:autoSpaceDE/>
        <w:autoSpaceDN/>
        <w:adjustRightInd/>
        <w:spacing w:after="160" w:line="259" w:lineRule="auto"/>
        <w:rPr>
          <w:rFonts w:ascii="Times New Roman" w:hAnsi="Times New Roman"/>
          <w:b/>
          <w:bCs/>
          <w:sz w:val="22"/>
          <w:szCs w:val="22"/>
        </w:rPr>
      </w:pPr>
    </w:p>
    <w:p w14:paraId="19A547EE" w14:textId="77777777" w:rsidR="00663D25" w:rsidRDefault="00663D25">
      <w:pPr>
        <w:widowControl/>
        <w:autoSpaceDE/>
        <w:autoSpaceDN/>
        <w:adjustRightInd/>
        <w:spacing w:after="160" w:line="259" w:lineRule="auto"/>
        <w:rPr>
          <w:rFonts w:ascii="Times New Roman" w:hAnsi="Times New Roman"/>
          <w:b/>
          <w:bCs/>
          <w:sz w:val="22"/>
          <w:szCs w:val="22"/>
        </w:rPr>
      </w:pPr>
    </w:p>
    <w:p w14:paraId="4EA2E41D" w14:textId="77777777" w:rsidR="00663D25" w:rsidRDefault="00663D25">
      <w:pPr>
        <w:widowControl/>
        <w:autoSpaceDE/>
        <w:autoSpaceDN/>
        <w:adjustRightInd/>
        <w:spacing w:after="160" w:line="259" w:lineRule="auto"/>
        <w:rPr>
          <w:rFonts w:ascii="Times New Roman" w:hAnsi="Times New Roman"/>
          <w:b/>
          <w:bCs/>
          <w:sz w:val="22"/>
          <w:szCs w:val="22"/>
        </w:rPr>
      </w:pPr>
    </w:p>
    <w:p w14:paraId="2285318F" w14:textId="77777777" w:rsidR="00663D25" w:rsidRDefault="00663D25">
      <w:pPr>
        <w:widowControl/>
        <w:autoSpaceDE/>
        <w:autoSpaceDN/>
        <w:adjustRightInd/>
        <w:spacing w:after="160" w:line="259" w:lineRule="auto"/>
        <w:rPr>
          <w:rFonts w:ascii="Times New Roman" w:hAnsi="Times New Roman"/>
          <w:b/>
          <w:bCs/>
          <w:sz w:val="22"/>
          <w:szCs w:val="22"/>
        </w:rPr>
        <w:sectPr w:rsidR="00663D25" w:rsidSect="00D34085">
          <w:footerReference w:type="default" r:id="rId23"/>
          <w:pgSz w:w="12240" w:h="15840"/>
          <w:pgMar w:top="1440" w:right="1440" w:bottom="1440" w:left="1440" w:header="720" w:footer="720" w:gutter="0"/>
          <w:pgNumType w:start="1"/>
          <w:cols w:space="720"/>
          <w:titlePg/>
          <w:docGrid w:linePitch="360"/>
        </w:sectPr>
      </w:pPr>
    </w:p>
    <w:p w14:paraId="2E9168B9" w14:textId="17526122" w:rsidR="009076D2" w:rsidRPr="002B4E2A" w:rsidRDefault="009076D2" w:rsidP="00663D25">
      <w:pPr>
        <w:pStyle w:val="Heading1"/>
        <w:rPr>
          <w:sz w:val="22"/>
          <w:szCs w:val="22"/>
        </w:rPr>
      </w:pPr>
      <w:r w:rsidRPr="002B4E2A">
        <w:rPr>
          <w:sz w:val="22"/>
          <w:szCs w:val="22"/>
        </w:rPr>
        <w:lastRenderedPageBreak/>
        <w:t>APPENDIX C</w:t>
      </w:r>
    </w:p>
    <w:p w14:paraId="7DF1FD3A" w14:textId="0B26600E" w:rsidR="00F21B60" w:rsidRPr="002B4E2A" w:rsidRDefault="00AF1EDD" w:rsidP="00AF1EDD">
      <w:pPr>
        <w:pStyle w:val="Heading2"/>
        <w:numPr>
          <w:ilvl w:val="0"/>
          <w:numId w:val="0"/>
        </w:numPr>
        <w:jc w:val="center"/>
      </w:pPr>
      <w:r w:rsidRPr="002B4E2A">
        <w:t>GCF Concept Note Template V3.0</w:t>
      </w:r>
    </w:p>
    <w:p w14:paraId="2C749503" w14:textId="77777777" w:rsidR="00AF1EDD" w:rsidRPr="002B4E2A" w:rsidRDefault="00AF1EDD" w:rsidP="00AF1EDD">
      <w:pPr>
        <w:rPr>
          <w:rFonts w:ascii="Times New Roman" w:hAnsi="Times New Roman"/>
          <w:sz w:val="22"/>
          <w:szCs w:val="22"/>
        </w:rPr>
      </w:pPr>
    </w:p>
    <w:sectPr w:rsidR="00AF1EDD" w:rsidRPr="002B4E2A" w:rsidSect="00D3408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28466" w14:textId="77777777" w:rsidR="006C6DE6" w:rsidRDefault="006C6DE6" w:rsidP="004F6839">
      <w:r>
        <w:separator/>
      </w:r>
    </w:p>
  </w:endnote>
  <w:endnote w:type="continuationSeparator" w:id="0">
    <w:p w14:paraId="178FE5E5" w14:textId="77777777" w:rsidR="006C6DE6" w:rsidRDefault="006C6DE6" w:rsidP="004F6839">
      <w:r>
        <w:continuationSeparator/>
      </w:r>
    </w:p>
  </w:endnote>
  <w:endnote w:type="continuationNotice" w:id="1">
    <w:p w14:paraId="0CE4728A" w14:textId="77777777" w:rsidR="006C6DE6" w:rsidRDefault="006C6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521636"/>
      <w:docPartObj>
        <w:docPartGallery w:val="Page Numbers (Bottom of Page)"/>
        <w:docPartUnique/>
      </w:docPartObj>
    </w:sdtPr>
    <w:sdtEndPr>
      <w:rPr>
        <w:rFonts w:ascii="Times New Roman" w:hAnsi="Times New Roman" w:cs="Times New Roman"/>
        <w:noProof/>
      </w:rPr>
    </w:sdtEndPr>
    <w:sdtContent>
      <w:p w14:paraId="43AA40CB" w14:textId="35D47EAE" w:rsidR="00127A39" w:rsidRPr="00DA3E8A" w:rsidRDefault="00127A39">
        <w:pPr>
          <w:pStyle w:val="Footer"/>
          <w:jc w:val="center"/>
          <w:rPr>
            <w:rFonts w:ascii="Times New Roman" w:hAnsi="Times New Roman" w:cs="Times New Roman"/>
          </w:rPr>
        </w:pPr>
        <w:r w:rsidRPr="00DA3E8A">
          <w:rPr>
            <w:rFonts w:ascii="Times New Roman" w:hAnsi="Times New Roman" w:cs="Times New Roman"/>
          </w:rPr>
          <w:fldChar w:fldCharType="begin"/>
        </w:r>
        <w:r w:rsidRPr="00DA3E8A">
          <w:rPr>
            <w:rFonts w:ascii="Times New Roman" w:hAnsi="Times New Roman" w:cs="Times New Roman"/>
          </w:rPr>
          <w:instrText xml:space="preserve"> PAGE   \* MERGEFORMAT </w:instrText>
        </w:r>
        <w:r w:rsidRPr="00DA3E8A">
          <w:rPr>
            <w:rFonts w:ascii="Times New Roman" w:hAnsi="Times New Roman" w:cs="Times New Roman"/>
          </w:rPr>
          <w:fldChar w:fldCharType="separate"/>
        </w:r>
        <w:r w:rsidRPr="00DA3E8A">
          <w:rPr>
            <w:rFonts w:ascii="Times New Roman" w:hAnsi="Times New Roman" w:cs="Times New Roman"/>
            <w:noProof/>
          </w:rPr>
          <w:t>2</w:t>
        </w:r>
        <w:r w:rsidRPr="00DA3E8A">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5446499"/>
      <w:docPartObj>
        <w:docPartGallery w:val="Page Numbers (Bottom of Page)"/>
        <w:docPartUnique/>
      </w:docPartObj>
    </w:sdtPr>
    <w:sdtEndPr>
      <w:rPr>
        <w:rFonts w:ascii="Times New Roman" w:hAnsi="Times New Roman" w:cs="Times New Roman"/>
        <w:noProof/>
      </w:rPr>
    </w:sdtEndPr>
    <w:sdtContent>
      <w:p w14:paraId="2F1235ED" w14:textId="127E093E" w:rsidR="004A31A9" w:rsidRPr="00BC046C" w:rsidRDefault="004A31A9">
        <w:pPr>
          <w:pStyle w:val="Footer"/>
          <w:jc w:val="center"/>
          <w:rPr>
            <w:rFonts w:ascii="Times New Roman" w:hAnsi="Times New Roman" w:cs="Times New Roman"/>
          </w:rPr>
        </w:pPr>
        <w:r w:rsidRPr="00BC046C">
          <w:rPr>
            <w:rFonts w:ascii="Times New Roman" w:hAnsi="Times New Roman" w:cs="Times New Roman"/>
          </w:rPr>
          <w:fldChar w:fldCharType="begin"/>
        </w:r>
        <w:r w:rsidRPr="00BC046C">
          <w:rPr>
            <w:rFonts w:ascii="Times New Roman" w:hAnsi="Times New Roman" w:cs="Times New Roman"/>
          </w:rPr>
          <w:instrText xml:space="preserve"> PAGE   \* MERGEFORMAT </w:instrText>
        </w:r>
        <w:r w:rsidRPr="00BC046C">
          <w:rPr>
            <w:rFonts w:ascii="Times New Roman" w:hAnsi="Times New Roman" w:cs="Times New Roman"/>
          </w:rPr>
          <w:fldChar w:fldCharType="separate"/>
        </w:r>
        <w:r w:rsidRPr="00BC046C">
          <w:rPr>
            <w:rFonts w:ascii="Times New Roman" w:hAnsi="Times New Roman" w:cs="Times New Roman"/>
            <w:noProof/>
          </w:rPr>
          <w:t>2</w:t>
        </w:r>
        <w:r w:rsidRPr="00BC046C">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0381272"/>
      <w:docPartObj>
        <w:docPartGallery w:val="Page Numbers (Bottom of Page)"/>
        <w:docPartUnique/>
      </w:docPartObj>
    </w:sdtPr>
    <w:sdtEndPr>
      <w:rPr>
        <w:rFonts w:ascii="Times New Roman" w:hAnsi="Times New Roman" w:cs="Times New Roman"/>
        <w:noProof/>
      </w:rPr>
    </w:sdtEndPr>
    <w:sdtContent>
      <w:p w14:paraId="3008D609" w14:textId="77777777" w:rsidR="00D34085" w:rsidRPr="00BC046C" w:rsidRDefault="00D34085">
        <w:pPr>
          <w:pStyle w:val="Footer"/>
          <w:jc w:val="center"/>
          <w:rPr>
            <w:rFonts w:ascii="Times New Roman" w:hAnsi="Times New Roman" w:cs="Times New Roman"/>
          </w:rPr>
        </w:pPr>
        <w:r w:rsidRPr="00BC046C">
          <w:rPr>
            <w:rFonts w:ascii="Times New Roman" w:hAnsi="Times New Roman" w:cs="Times New Roman"/>
          </w:rPr>
          <w:fldChar w:fldCharType="begin"/>
        </w:r>
        <w:r w:rsidRPr="00BC046C">
          <w:rPr>
            <w:rFonts w:ascii="Times New Roman" w:hAnsi="Times New Roman" w:cs="Times New Roman"/>
          </w:rPr>
          <w:instrText xml:space="preserve"> PAGE   \* MERGEFORMAT </w:instrText>
        </w:r>
        <w:r w:rsidRPr="00BC046C">
          <w:rPr>
            <w:rFonts w:ascii="Times New Roman" w:hAnsi="Times New Roman" w:cs="Times New Roman"/>
          </w:rPr>
          <w:fldChar w:fldCharType="separate"/>
        </w:r>
        <w:r w:rsidRPr="00BC046C">
          <w:rPr>
            <w:rFonts w:ascii="Times New Roman" w:hAnsi="Times New Roman" w:cs="Times New Roman"/>
            <w:noProof/>
          </w:rPr>
          <w:t>2</w:t>
        </w:r>
        <w:r w:rsidRPr="00BC046C">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CCFF7" w14:textId="77777777" w:rsidR="006C6DE6" w:rsidRDefault="006C6DE6" w:rsidP="004F6839">
      <w:r>
        <w:separator/>
      </w:r>
    </w:p>
  </w:footnote>
  <w:footnote w:type="continuationSeparator" w:id="0">
    <w:p w14:paraId="1E428E18" w14:textId="77777777" w:rsidR="006C6DE6" w:rsidRDefault="006C6DE6" w:rsidP="004F6839">
      <w:r>
        <w:continuationSeparator/>
      </w:r>
    </w:p>
  </w:footnote>
  <w:footnote w:type="continuationNotice" w:id="1">
    <w:p w14:paraId="34E90C9C" w14:textId="77777777" w:rsidR="006C6DE6" w:rsidRDefault="006C6DE6"/>
  </w:footnote>
  <w:footnote w:id="2">
    <w:p w14:paraId="751A4C95" w14:textId="77777777" w:rsidR="00542624" w:rsidRPr="00393DB3" w:rsidRDefault="00542624" w:rsidP="00542624">
      <w:pPr>
        <w:pStyle w:val="FootnoteText"/>
        <w:rPr>
          <w:sz w:val="16"/>
          <w:szCs w:val="16"/>
        </w:rPr>
      </w:pPr>
      <w:r w:rsidRPr="00393DB3">
        <w:rPr>
          <w:rStyle w:val="FootnoteReference"/>
          <w:sz w:val="16"/>
          <w:szCs w:val="16"/>
        </w:rPr>
        <w:footnoteRef/>
      </w:r>
      <w:r w:rsidRPr="00393DB3">
        <w:rPr>
          <w:sz w:val="16"/>
          <w:szCs w:val="16"/>
        </w:rPr>
        <w:t xml:space="preserve"> Hereafter EVs is used to refer to all forms of e-mobility technologies including those associated with </w:t>
      </w:r>
      <w:r w:rsidRPr="00393DB3">
        <w:rPr>
          <w:rFonts w:cs="Times New Roman"/>
          <w:sz w:val="16"/>
          <w:szCs w:val="16"/>
          <w:lang w:val="en-JM"/>
        </w:rPr>
        <w:t>marine and riverine transportation</w:t>
      </w:r>
      <w:r w:rsidRPr="00393DB3">
        <w:rPr>
          <w:sz w:val="16"/>
          <w:szCs w:val="16"/>
        </w:rPr>
        <w:t xml:space="preserve"> </w:t>
      </w:r>
    </w:p>
  </w:footnote>
  <w:footnote w:id="3">
    <w:p w14:paraId="0CF8DD01" w14:textId="77777777" w:rsidR="00542624" w:rsidRPr="00425985" w:rsidRDefault="00542624" w:rsidP="00542624">
      <w:pPr>
        <w:pStyle w:val="FootnoteText"/>
        <w:rPr>
          <w:rFonts w:cs="Times New Roman"/>
          <w:sz w:val="16"/>
          <w:szCs w:val="16"/>
        </w:rPr>
      </w:pPr>
      <w:r w:rsidRPr="00425985">
        <w:rPr>
          <w:rStyle w:val="FootnoteReference"/>
          <w:rFonts w:cs="Times New Roman"/>
          <w:sz w:val="16"/>
          <w:szCs w:val="16"/>
        </w:rPr>
        <w:footnoteRef/>
      </w:r>
      <w:r w:rsidRPr="00425985">
        <w:rPr>
          <w:rFonts w:cs="Times New Roman"/>
          <w:sz w:val="16"/>
          <w:szCs w:val="16"/>
        </w:rPr>
        <w:t xml:space="preserve"> Caribbean Centre for Renewable Energy and Energy Efficiency (CCREEE) (2020). The Future of E-Mobility in the Caribbean. Retrieved from: </w:t>
      </w:r>
      <w:hyperlink r:id="rId1" w:history="1">
        <w:r w:rsidRPr="00425985">
          <w:rPr>
            <w:rStyle w:val="Hyperlink"/>
            <w:rFonts w:cs="Times New Roman"/>
            <w:sz w:val="16"/>
            <w:szCs w:val="16"/>
          </w:rPr>
          <w:t>ccreee_brief_future_of_emobility_final.pdf</w:t>
        </w:r>
      </w:hyperlink>
    </w:p>
  </w:footnote>
  <w:footnote w:id="4">
    <w:p w14:paraId="42431FFE" w14:textId="5676625E" w:rsidR="00542624" w:rsidRPr="00267A5F" w:rsidRDefault="00542624" w:rsidP="00267A5F">
      <w:pPr>
        <w:pStyle w:val="FootnoteText"/>
        <w:ind w:left="270" w:hanging="270"/>
        <w:jc w:val="both"/>
        <w:rPr>
          <w:rFonts w:ascii="Times New Roman" w:hAnsi="Times New Roman" w:cs="Times New Roman"/>
          <w:sz w:val="18"/>
          <w:szCs w:val="18"/>
        </w:rPr>
      </w:pPr>
      <w:r w:rsidRPr="00267A5F">
        <w:rPr>
          <w:rStyle w:val="FootnoteReference"/>
          <w:rFonts w:ascii="Times New Roman" w:hAnsi="Times New Roman" w:cs="Times New Roman"/>
          <w:sz w:val="18"/>
          <w:szCs w:val="18"/>
        </w:rPr>
        <w:footnoteRef/>
      </w:r>
      <w:r w:rsidRPr="00267A5F">
        <w:rPr>
          <w:rFonts w:ascii="Times New Roman" w:hAnsi="Times New Roman" w:cs="Times New Roman"/>
          <w:sz w:val="18"/>
          <w:szCs w:val="18"/>
        </w:rPr>
        <w:t xml:space="preserve"> CARICOM. CARICOM Regional Electric Vehicles Strategy (REVS) Framework. Retrieved from: </w:t>
      </w:r>
      <w:hyperlink r:id="rId2" w:history="1">
        <w:r w:rsidRPr="00267A5F">
          <w:rPr>
            <w:rStyle w:val="Hyperlink"/>
            <w:rFonts w:ascii="Times New Roman" w:hAnsi="Times New Roman" w:cs="Times New Roman"/>
            <w:sz w:val="18"/>
            <w:szCs w:val="18"/>
          </w:rPr>
          <w:t>regional_electric_vehicle_strategy_revs_framework.pdf</w:t>
        </w:r>
      </w:hyperlink>
    </w:p>
  </w:footnote>
  <w:footnote w:id="5">
    <w:p w14:paraId="242F28B2" w14:textId="77777777" w:rsidR="00542624" w:rsidRPr="004508EA" w:rsidRDefault="00542624" w:rsidP="004508EA">
      <w:pPr>
        <w:pStyle w:val="FootnoteText"/>
        <w:ind w:left="180" w:hanging="180"/>
        <w:jc w:val="both"/>
        <w:rPr>
          <w:rFonts w:ascii="Times New Roman" w:hAnsi="Times New Roman" w:cs="Times New Roman"/>
          <w:sz w:val="18"/>
          <w:szCs w:val="18"/>
        </w:rPr>
      </w:pPr>
      <w:r w:rsidRPr="004508EA">
        <w:rPr>
          <w:rStyle w:val="FootnoteReference"/>
          <w:rFonts w:ascii="Times New Roman" w:hAnsi="Times New Roman" w:cs="Times New Roman"/>
          <w:sz w:val="18"/>
          <w:szCs w:val="18"/>
        </w:rPr>
        <w:footnoteRef/>
      </w:r>
      <w:r w:rsidRPr="004508EA">
        <w:rPr>
          <w:rFonts w:ascii="Times New Roman" w:hAnsi="Times New Roman" w:cs="Times New Roman"/>
          <w:sz w:val="18"/>
          <w:szCs w:val="18"/>
        </w:rPr>
        <w:t xml:space="preserve"> Caribbean Development Bank (2024). Draft Transforming Financing to Unlock Climate Action in the Caribbean, Annex 2 Feasibility Study. </w:t>
      </w:r>
    </w:p>
  </w:footnote>
  <w:footnote w:id="6">
    <w:p w14:paraId="4038EAD6" w14:textId="77777777" w:rsidR="00542624" w:rsidRPr="008D114A" w:rsidRDefault="00542624" w:rsidP="00542624">
      <w:pPr>
        <w:pStyle w:val="FootnoteText"/>
      </w:pPr>
      <w:r>
        <w:rPr>
          <w:rStyle w:val="FootnoteReference"/>
        </w:rPr>
        <w:footnoteRef/>
      </w:r>
      <w:r>
        <w:t xml:space="preserve">NDC-TEC Programme: </w:t>
      </w:r>
      <w:hyperlink r:id="rId3" w:history="1">
        <w:r w:rsidRPr="008D114A">
          <w:rPr>
            <w:rStyle w:val="Hyperlink"/>
          </w:rPr>
          <w:t>Promoting climate-friendly transport in the Caribbean - giz.de</w:t>
        </w:r>
      </w:hyperlink>
    </w:p>
    <w:p w14:paraId="6295FA18" w14:textId="77777777" w:rsidR="00542624" w:rsidRDefault="00542624" w:rsidP="0054262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F7886"/>
    <w:multiLevelType w:val="hybridMultilevel"/>
    <w:tmpl w:val="FFFFFFFF"/>
    <w:lvl w:ilvl="0" w:tplc="19761D74">
      <w:numFmt w:val="none"/>
      <w:lvlText w:val=""/>
      <w:lvlJc w:val="left"/>
      <w:pPr>
        <w:tabs>
          <w:tab w:val="num" w:pos="360"/>
        </w:tabs>
      </w:pPr>
    </w:lvl>
    <w:lvl w:ilvl="1" w:tplc="4FAC03CA">
      <w:start w:val="1"/>
      <w:numFmt w:val="lowerLetter"/>
      <w:lvlText w:val="%2."/>
      <w:lvlJc w:val="left"/>
      <w:pPr>
        <w:ind w:left="1440" w:hanging="360"/>
      </w:pPr>
    </w:lvl>
    <w:lvl w:ilvl="2" w:tplc="CC487ED8">
      <w:start w:val="1"/>
      <w:numFmt w:val="lowerRoman"/>
      <w:lvlText w:val="%3."/>
      <w:lvlJc w:val="right"/>
      <w:pPr>
        <w:ind w:left="2160" w:hanging="180"/>
      </w:pPr>
    </w:lvl>
    <w:lvl w:ilvl="3" w:tplc="9C4A6392">
      <w:start w:val="1"/>
      <w:numFmt w:val="decimal"/>
      <w:lvlText w:val="%4."/>
      <w:lvlJc w:val="left"/>
      <w:pPr>
        <w:ind w:left="2880" w:hanging="360"/>
      </w:pPr>
    </w:lvl>
    <w:lvl w:ilvl="4" w:tplc="529C95F8">
      <w:start w:val="1"/>
      <w:numFmt w:val="lowerLetter"/>
      <w:lvlText w:val="%5."/>
      <w:lvlJc w:val="left"/>
      <w:pPr>
        <w:ind w:left="3600" w:hanging="360"/>
      </w:pPr>
    </w:lvl>
    <w:lvl w:ilvl="5" w:tplc="E466AF86">
      <w:start w:val="1"/>
      <w:numFmt w:val="lowerRoman"/>
      <w:lvlText w:val="%6."/>
      <w:lvlJc w:val="right"/>
      <w:pPr>
        <w:ind w:left="4320" w:hanging="180"/>
      </w:pPr>
    </w:lvl>
    <w:lvl w:ilvl="6" w:tplc="31E48664">
      <w:start w:val="1"/>
      <w:numFmt w:val="decimal"/>
      <w:lvlText w:val="%7."/>
      <w:lvlJc w:val="left"/>
      <w:pPr>
        <w:ind w:left="5040" w:hanging="360"/>
      </w:pPr>
    </w:lvl>
    <w:lvl w:ilvl="7" w:tplc="0B2E5992">
      <w:start w:val="1"/>
      <w:numFmt w:val="lowerLetter"/>
      <w:lvlText w:val="%8."/>
      <w:lvlJc w:val="left"/>
      <w:pPr>
        <w:ind w:left="5760" w:hanging="360"/>
      </w:pPr>
    </w:lvl>
    <w:lvl w:ilvl="8" w:tplc="CE8081BE">
      <w:start w:val="1"/>
      <w:numFmt w:val="lowerRoman"/>
      <w:lvlText w:val="%9."/>
      <w:lvlJc w:val="right"/>
      <w:pPr>
        <w:ind w:left="6480" w:hanging="180"/>
      </w:pPr>
    </w:lvl>
  </w:abstractNum>
  <w:abstractNum w:abstractNumId="1" w15:restartNumberingAfterBreak="0">
    <w:nsid w:val="10F36F49"/>
    <w:multiLevelType w:val="multilevel"/>
    <w:tmpl w:val="291E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34722"/>
    <w:multiLevelType w:val="multilevel"/>
    <w:tmpl w:val="5DA2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92FF5"/>
    <w:multiLevelType w:val="multilevel"/>
    <w:tmpl w:val="B99C13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758D6"/>
    <w:multiLevelType w:val="multilevel"/>
    <w:tmpl w:val="7308529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E2FAE"/>
    <w:multiLevelType w:val="multilevel"/>
    <w:tmpl w:val="3B163A90"/>
    <w:lvl w:ilvl="0">
      <w:start w:val="1"/>
      <w:numFmt w:val="decimal"/>
      <w:pStyle w:val="Heading2"/>
      <w:lvlText w:val="%1."/>
      <w:lvlJc w:val="left"/>
      <w:pPr>
        <w:ind w:left="1080" w:hanging="720"/>
      </w:pPr>
      <w:rPr>
        <w:rFonts w:hint="default"/>
        <w:u w:val="none"/>
      </w:r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212CCD7"/>
    <w:multiLevelType w:val="hybridMultilevel"/>
    <w:tmpl w:val="FFFFFFFF"/>
    <w:lvl w:ilvl="0" w:tplc="A474945E">
      <w:numFmt w:val="none"/>
      <w:lvlText w:val=""/>
      <w:lvlJc w:val="left"/>
      <w:pPr>
        <w:tabs>
          <w:tab w:val="num" w:pos="360"/>
        </w:tabs>
      </w:pPr>
    </w:lvl>
    <w:lvl w:ilvl="1" w:tplc="888CFFD6">
      <w:start w:val="1"/>
      <w:numFmt w:val="lowerLetter"/>
      <w:lvlText w:val="%2."/>
      <w:lvlJc w:val="left"/>
      <w:pPr>
        <w:ind w:left="1440" w:hanging="360"/>
      </w:pPr>
    </w:lvl>
    <w:lvl w:ilvl="2" w:tplc="6192B6C4">
      <w:start w:val="1"/>
      <w:numFmt w:val="lowerRoman"/>
      <w:lvlText w:val="%3."/>
      <w:lvlJc w:val="right"/>
      <w:pPr>
        <w:ind w:left="2160" w:hanging="180"/>
      </w:pPr>
    </w:lvl>
    <w:lvl w:ilvl="3" w:tplc="1872201C">
      <w:start w:val="1"/>
      <w:numFmt w:val="decimal"/>
      <w:lvlText w:val="%4."/>
      <w:lvlJc w:val="left"/>
      <w:pPr>
        <w:ind w:left="2880" w:hanging="360"/>
      </w:pPr>
    </w:lvl>
    <w:lvl w:ilvl="4" w:tplc="4A308216">
      <w:start w:val="1"/>
      <w:numFmt w:val="lowerLetter"/>
      <w:lvlText w:val="%5."/>
      <w:lvlJc w:val="left"/>
      <w:pPr>
        <w:ind w:left="3600" w:hanging="360"/>
      </w:pPr>
    </w:lvl>
    <w:lvl w:ilvl="5" w:tplc="2EA60862">
      <w:start w:val="1"/>
      <w:numFmt w:val="lowerRoman"/>
      <w:lvlText w:val="%6."/>
      <w:lvlJc w:val="right"/>
      <w:pPr>
        <w:ind w:left="4320" w:hanging="180"/>
      </w:pPr>
    </w:lvl>
    <w:lvl w:ilvl="6" w:tplc="D6DAFAA8">
      <w:start w:val="1"/>
      <w:numFmt w:val="decimal"/>
      <w:lvlText w:val="%7."/>
      <w:lvlJc w:val="left"/>
      <w:pPr>
        <w:ind w:left="5040" w:hanging="360"/>
      </w:pPr>
    </w:lvl>
    <w:lvl w:ilvl="7" w:tplc="98407FA6">
      <w:start w:val="1"/>
      <w:numFmt w:val="lowerLetter"/>
      <w:lvlText w:val="%8."/>
      <w:lvlJc w:val="left"/>
      <w:pPr>
        <w:ind w:left="5760" w:hanging="360"/>
      </w:pPr>
    </w:lvl>
    <w:lvl w:ilvl="8" w:tplc="6BFE5E76">
      <w:start w:val="1"/>
      <w:numFmt w:val="lowerRoman"/>
      <w:lvlText w:val="%9."/>
      <w:lvlJc w:val="right"/>
      <w:pPr>
        <w:ind w:left="6480" w:hanging="180"/>
      </w:pPr>
    </w:lvl>
  </w:abstractNum>
  <w:abstractNum w:abstractNumId="7" w15:restartNumberingAfterBreak="0">
    <w:nsid w:val="22740085"/>
    <w:multiLevelType w:val="multilevel"/>
    <w:tmpl w:val="28F0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98027E"/>
    <w:multiLevelType w:val="multilevel"/>
    <w:tmpl w:val="8064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6A29D5"/>
    <w:multiLevelType w:val="multilevel"/>
    <w:tmpl w:val="040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17D10D"/>
    <w:multiLevelType w:val="hybridMultilevel"/>
    <w:tmpl w:val="FFFFFFFF"/>
    <w:lvl w:ilvl="0" w:tplc="011AB740">
      <w:start w:val="1"/>
      <w:numFmt w:val="lowerLetter"/>
      <w:lvlText w:val="%1)"/>
      <w:lvlJc w:val="left"/>
      <w:pPr>
        <w:ind w:left="1080" w:hanging="360"/>
      </w:pPr>
    </w:lvl>
    <w:lvl w:ilvl="1" w:tplc="85C07E32">
      <w:start w:val="1"/>
      <w:numFmt w:val="lowerLetter"/>
      <w:lvlText w:val="%2."/>
      <w:lvlJc w:val="left"/>
      <w:pPr>
        <w:ind w:left="1800" w:hanging="360"/>
      </w:pPr>
    </w:lvl>
    <w:lvl w:ilvl="2" w:tplc="B9941988">
      <w:start w:val="1"/>
      <w:numFmt w:val="lowerRoman"/>
      <w:lvlText w:val="%3."/>
      <w:lvlJc w:val="right"/>
      <w:pPr>
        <w:ind w:left="2520" w:hanging="180"/>
      </w:pPr>
    </w:lvl>
    <w:lvl w:ilvl="3" w:tplc="BFDE4808">
      <w:start w:val="1"/>
      <w:numFmt w:val="decimal"/>
      <w:lvlText w:val="%4."/>
      <w:lvlJc w:val="left"/>
      <w:pPr>
        <w:ind w:left="3240" w:hanging="360"/>
      </w:pPr>
    </w:lvl>
    <w:lvl w:ilvl="4" w:tplc="DA50AA16">
      <w:start w:val="1"/>
      <w:numFmt w:val="lowerLetter"/>
      <w:lvlText w:val="%5."/>
      <w:lvlJc w:val="left"/>
      <w:pPr>
        <w:ind w:left="3960" w:hanging="360"/>
      </w:pPr>
    </w:lvl>
    <w:lvl w:ilvl="5" w:tplc="BADE733A">
      <w:start w:val="1"/>
      <w:numFmt w:val="lowerRoman"/>
      <w:lvlText w:val="%6."/>
      <w:lvlJc w:val="right"/>
      <w:pPr>
        <w:ind w:left="4680" w:hanging="180"/>
      </w:pPr>
    </w:lvl>
    <w:lvl w:ilvl="6" w:tplc="FAF07C5C">
      <w:start w:val="1"/>
      <w:numFmt w:val="decimal"/>
      <w:lvlText w:val="%7."/>
      <w:lvlJc w:val="left"/>
      <w:pPr>
        <w:ind w:left="5400" w:hanging="360"/>
      </w:pPr>
    </w:lvl>
    <w:lvl w:ilvl="7" w:tplc="520C14C0">
      <w:start w:val="1"/>
      <w:numFmt w:val="lowerLetter"/>
      <w:lvlText w:val="%8."/>
      <w:lvlJc w:val="left"/>
      <w:pPr>
        <w:ind w:left="6120" w:hanging="360"/>
      </w:pPr>
    </w:lvl>
    <w:lvl w:ilvl="8" w:tplc="86F4E818">
      <w:start w:val="1"/>
      <w:numFmt w:val="lowerRoman"/>
      <w:lvlText w:val="%9."/>
      <w:lvlJc w:val="right"/>
      <w:pPr>
        <w:ind w:left="6840" w:hanging="180"/>
      </w:pPr>
    </w:lvl>
  </w:abstractNum>
  <w:abstractNum w:abstractNumId="11" w15:restartNumberingAfterBreak="0">
    <w:nsid w:val="29C40F72"/>
    <w:multiLevelType w:val="multilevel"/>
    <w:tmpl w:val="0D76CB0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A8741B"/>
    <w:multiLevelType w:val="multilevel"/>
    <w:tmpl w:val="C56C4FE8"/>
    <w:lvl w:ilvl="0">
      <w:start w:val="1"/>
      <w:numFmt w:val="decimal"/>
      <w:lvlText w:val="%1."/>
      <w:lvlJc w:val="left"/>
      <w:pPr>
        <w:ind w:left="720" w:hanging="360"/>
      </w:pPr>
    </w:lvl>
    <w:lvl w:ilvl="1">
      <w:start w:val="1"/>
      <w:numFmt w:val="decimalZero"/>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D804A8F"/>
    <w:multiLevelType w:val="multilevel"/>
    <w:tmpl w:val="3CB67AB6"/>
    <w:lvl w:ilvl="0">
      <w:start w:val="7"/>
      <w:numFmt w:val="decimal"/>
      <w:lvlText w:val="%1"/>
      <w:lvlJc w:val="left"/>
      <w:pPr>
        <w:ind w:left="390" w:hanging="390"/>
      </w:pPr>
      <w:rPr>
        <w:rFonts w:hint="default"/>
      </w:rPr>
    </w:lvl>
    <w:lvl w:ilvl="1">
      <w:start w:val="1"/>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E3A34FD"/>
    <w:multiLevelType w:val="hybridMultilevel"/>
    <w:tmpl w:val="E07A42FE"/>
    <w:lvl w:ilvl="0" w:tplc="8B00074C">
      <w:start w:val="1"/>
      <w:numFmt w:val="lowerLetter"/>
      <w:lvlText w:val="(%1)"/>
      <w:lvlJc w:val="left"/>
      <w:pPr>
        <w:ind w:left="1440" w:hanging="360"/>
      </w:pPr>
      <w:rPr>
        <w:rFonts w:ascii="Times New Roman" w:eastAsia="Times New Roman" w:hAnsi="Times New Roman" w:cs="Times New Roman"/>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5" w15:restartNumberingAfterBreak="0">
    <w:nsid w:val="2E61646C"/>
    <w:multiLevelType w:val="hybridMultilevel"/>
    <w:tmpl w:val="FFFFFFFF"/>
    <w:lvl w:ilvl="0" w:tplc="246829D2">
      <w:numFmt w:val="none"/>
      <w:lvlText w:val=""/>
      <w:lvlJc w:val="left"/>
      <w:pPr>
        <w:tabs>
          <w:tab w:val="num" w:pos="360"/>
        </w:tabs>
      </w:pPr>
    </w:lvl>
    <w:lvl w:ilvl="1" w:tplc="BF7C9B8E">
      <w:start w:val="1"/>
      <w:numFmt w:val="lowerLetter"/>
      <w:lvlText w:val="%2."/>
      <w:lvlJc w:val="left"/>
      <w:pPr>
        <w:ind w:left="1440" w:hanging="360"/>
      </w:pPr>
    </w:lvl>
    <w:lvl w:ilvl="2" w:tplc="36DE531E">
      <w:start w:val="1"/>
      <w:numFmt w:val="lowerRoman"/>
      <w:lvlText w:val="%3."/>
      <w:lvlJc w:val="right"/>
      <w:pPr>
        <w:ind w:left="2160" w:hanging="180"/>
      </w:pPr>
    </w:lvl>
    <w:lvl w:ilvl="3" w:tplc="192E5260">
      <w:start w:val="1"/>
      <w:numFmt w:val="decimal"/>
      <w:lvlText w:val="%4."/>
      <w:lvlJc w:val="left"/>
      <w:pPr>
        <w:ind w:left="2880" w:hanging="360"/>
      </w:pPr>
    </w:lvl>
    <w:lvl w:ilvl="4" w:tplc="A192F60E">
      <w:start w:val="1"/>
      <w:numFmt w:val="lowerLetter"/>
      <w:lvlText w:val="%5."/>
      <w:lvlJc w:val="left"/>
      <w:pPr>
        <w:ind w:left="3600" w:hanging="360"/>
      </w:pPr>
    </w:lvl>
    <w:lvl w:ilvl="5" w:tplc="3258AA64">
      <w:start w:val="1"/>
      <w:numFmt w:val="lowerRoman"/>
      <w:lvlText w:val="%6."/>
      <w:lvlJc w:val="right"/>
      <w:pPr>
        <w:ind w:left="4320" w:hanging="180"/>
      </w:pPr>
    </w:lvl>
    <w:lvl w:ilvl="6" w:tplc="3A00684A">
      <w:start w:val="1"/>
      <w:numFmt w:val="decimal"/>
      <w:lvlText w:val="%7."/>
      <w:lvlJc w:val="left"/>
      <w:pPr>
        <w:ind w:left="5040" w:hanging="360"/>
      </w:pPr>
    </w:lvl>
    <w:lvl w:ilvl="7" w:tplc="50789BC0">
      <w:start w:val="1"/>
      <w:numFmt w:val="lowerLetter"/>
      <w:lvlText w:val="%8."/>
      <w:lvlJc w:val="left"/>
      <w:pPr>
        <w:ind w:left="5760" w:hanging="360"/>
      </w:pPr>
    </w:lvl>
    <w:lvl w:ilvl="8" w:tplc="BCAA5C1A">
      <w:start w:val="1"/>
      <w:numFmt w:val="lowerRoman"/>
      <w:lvlText w:val="%9."/>
      <w:lvlJc w:val="right"/>
      <w:pPr>
        <w:ind w:left="6480" w:hanging="180"/>
      </w:pPr>
    </w:lvl>
  </w:abstractNum>
  <w:abstractNum w:abstractNumId="16" w15:restartNumberingAfterBreak="0">
    <w:nsid w:val="2F731194"/>
    <w:multiLevelType w:val="multilevel"/>
    <w:tmpl w:val="335E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8360E6"/>
    <w:multiLevelType w:val="multilevel"/>
    <w:tmpl w:val="CB725A8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294E8B"/>
    <w:multiLevelType w:val="multilevel"/>
    <w:tmpl w:val="D092302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CC5E74"/>
    <w:multiLevelType w:val="hybridMultilevel"/>
    <w:tmpl w:val="FFFFFFFF"/>
    <w:lvl w:ilvl="0" w:tplc="8AD0F5EA">
      <w:numFmt w:val="none"/>
      <w:lvlText w:val=""/>
      <w:lvlJc w:val="left"/>
      <w:pPr>
        <w:tabs>
          <w:tab w:val="num" w:pos="360"/>
        </w:tabs>
      </w:pPr>
    </w:lvl>
    <w:lvl w:ilvl="1" w:tplc="CFF8F140">
      <w:start w:val="1"/>
      <w:numFmt w:val="lowerLetter"/>
      <w:lvlText w:val="%2."/>
      <w:lvlJc w:val="left"/>
      <w:pPr>
        <w:ind w:left="1440" w:hanging="360"/>
      </w:pPr>
    </w:lvl>
    <w:lvl w:ilvl="2" w:tplc="B58A1C70">
      <w:start w:val="1"/>
      <w:numFmt w:val="lowerRoman"/>
      <w:lvlText w:val="%3."/>
      <w:lvlJc w:val="right"/>
      <w:pPr>
        <w:ind w:left="2160" w:hanging="180"/>
      </w:pPr>
    </w:lvl>
    <w:lvl w:ilvl="3" w:tplc="76A87480">
      <w:start w:val="1"/>
      <w:numFmt w:val="decimal"/>
      <w:lvlText w:val="%4."/>
      <w:lvlJc w:val="left"/>
      <w:pPr>
        <w:ind w:left="2880" w:hanging="360"/>
      </w:pPr>
    </w:lvl>
    <w:lvl w:ilvl="4" w:tplc="D0D889B6">
      <w:start w:val="1"/>
      <w:numFmt w:val="lowerLetter"/>
      <w:lvlText w:val="%5."/>
      <w:lvlJc w:val="left"/>
      <w:pPr>
        <w:ind w:left="3600" w:hanging="360"/>
      </w:pPr>
    </w:lvl>
    <w:lvl w:ilvl="5" w:tplc="AF3872B6">
      <w:start w:val="1"/>
      <w:numFmt w:val="lowerRoman"/>
      <w:lvlText w:val="%6."/>
      <w:lvlJc w:val="right"/>
      <w:pPr>
        <w:ind w:left="4320" w:hanging="180"/>
      </w:pPr>
    </w:lvl>
    <w:lvl w:ilvl="6" w:tplc="3FA2BA3C">
      <w:start w:val="1"/>
      <w:numFmt w:val="decimal"/>
      <w:lvlText w:val="%7."/>
      <w:lvlJc w:val="left"/>
      <w:pPr>
        <w:ind w:left="5040" w:hanging="360"/>
      </w:pPr>
    </w:lvl>
    <w:lvl w:ilvl="7" w:tplc="3468D828">
      <w:start w:val="1"/>
      <w:numFmt w:val="lowerLetter"/>
      <w:lvlText w:val="%8."/>
      <w:lvlJc w:val="left"/>
      <w:pPr>
        <w:ind w:left="5760" w:hanging="360"/>
      </w:pPr>
    </w:lvl>
    <w:lvl w:ilvl="8" w:tplc="032C2AEA">
      <w:start w:val="1"/>
      <w:numFmt w:val="lowerRoman"/>
      <w:lvlText w:val="%9."/>
      <w:lvlJc w:val="right"/>
      <w:pPr>
        <w:ind w:left="6480" w:hanging="180"/>
      </w:pPr>
    </w:lvl>
  </w:abstractNum>
  <w:abstractNum w:abstractNumId="20" w15:restartNumberingAfterBreak="0">
    <w:nsid w:val="43D92E95"/>
    <w:multiLevelType w:val="hybridMultilevel"/>
    <w:tmpl w:val="A8E61EA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90A51"/>
    <w:multiLevelType w:val="multilevel"/>
    <w:tmpl w:val="8F66E2A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703B5D"/>
    <w:multiLevelType w:val="multilevel"/>
    <w:tmpl w:val="5FBC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74749E"/>
    <w:multiLevelType w:val="multilevel"/>
    <w:tmpl w:val="6AC4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B8348B"/>
    <w:multiLevelType w:val="multilevel"/>
    <w:tmpl w:val="E260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0F4F21"/>
    <w:multiLevelType w:val="multilevel"/>
    <w:tmpl w:val="E3CE10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B70E63"/>
    <w:multiLevelType w:val="multilevel"/>
    <w:tmpl w:val="3D5E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950567"/>
    <w:multiLevelType w:val="multilevel"/>
    <w:tmpl w:val="BEBE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7B3C92"/>
    <w:multiLevelType w:val="multilevel"/>
    <w:tmpl w:val="E1866C9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F30A82"/>
    <w:multiLevelType w:val="multilevel"/>
    <w:tmpl w:val="7EC0FC2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013277"/>
    <w:multiLevelType w:val="multilevel"/>
    <w:tmpl w:val="65B2CBE8"/>
    <w:lvl w:ilvl="0">
      <w:start w:val="1"/>
      <w:numFmt w:val="low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775A40"/>
    <w:multiLevelType w:val="multilevel"/>
    <w:tmpl w:val="46C6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0596391">
    <w:abstractNumId w:val="5"/>
  </w:num>
  <w:num w:numId="2" w16cid:durableId="510070248">
    <w:abstractNumId w:val="13"/>
  </w:num>
  <w:num w:numId="3" w16cid:durableId="659889995">
    <w:abstractNumId w:val="24"/>
  </w:num>
  <w:num w:numId="4" w16cid:durableId="390227876">
    <w:abstractNumId w:val="9"/>
  </w:num>
  <w:num w:numId="5" w16cid:durableId="54672136">
    <w:abstractNumId w:val="23"/>
  </w:num>
  <w:num w:numId="6" w16cid:durableId="1878542484">
    <w:abstractNumId w:val="27"/>
  </w:num>
  <w:num w:numId="7" w16cid:durableId="1654404003">
    <w:abstractNumId w:val="1"/>
  </w:num>
  <w:num w:numId="8" w16cid:durableId="1051804930">
    <w:abstractNumId w:val="7"/>
  </w:num>
  <w:num w:numId="9" w16cid:durableId="2026978996">
    <w:abstractNumId w:val="26"/>
  </w:num>
  <w:num w:numId="10" w16cid:durableId="2011908752">
    <w:abstractNumId w:val="3"/>
  </w:num>
  <w:num w:numId="11" w16cid:durableId="2002737197">
    <w:abstractNumId w:val="30"/>
  </w:num>
  <w:num w:numId="12" w16cid:durableId="1458378984">
    <w:abstractNumId w:val="12"/>
  </w:num>
  <w:num w:numId="13" w16cid:durableId="865410236">
    <w:abstractNumId w:val="2"/>
  </w:num>
  <w:num w:numId="14" w16cid:durableId="1482120180">
    <w:abstractNumId w:val="22"/>
  </w:num>
  <w:num w:numId="15" w16cid:durableId="1253782298">
    <w:abstractNumId w:val="25"/>
  </w:num>
  <w:num w:numId="16" w16cid:durableId="270089898">
    <w:abstractNumId w:val="21"/>
  </w:num>
  <w:num w:numId="17" w16cid:durableId="1893300099">
    <w:abstractNumId w:val="4"/>
  </w:num>
  <w:num w:numId="18" w16cid:durableId="1291784974">
    <w:abstractNumId w:val="17"/>
  </w:num>
  <w:num w:numId="19" w16cid:durableId="1175222612">
    <w:abstractNumId w:val="28"/>
  </w:num>
  <w:num w:numId="20" w16cid:durableId="895437107">
    <w:abstractNumId w:val="29"/>
  </w:num>
  <w:num w:numId="21" w16cid:durableId="227961490">
    <w:abstractNumId w:val="11"/>
  </w:num>
  <w:num w:numId="22" w16cid:durableId="989140430">
    <w:abstractNumId w:val="31"/>
  </w:num>
  <w:num w:numId="23" w16cid:durableId="446701420">
    <w:abstractNumId w:val="16"/>
  </w:num>
  <w:num w:numId="24" w16cid:durableId="306013801">
    <w:abstractNumId w:val="8"/>
  </w:num>
  <w:num w:numId="25" w16cid:durableId="1834758468">
    <w:abstractNumId w:val="18"/>
  </w:num>
  <w:num w:numId="26" w16cid:durableId="1997417113">
    <w:abstractNumId w:val="15"/>
  </w:num>
  <w:num w:numId="27" w16cid:durableId="610666145">
    <w:abstractNumId w:val="0"/>
  </w:num>
  <w:num w:numId="28" w16cid:durableId="325598480">
    <w:abstractNumId w:val="19"/>
  </w:num>
  <w:num w:numId="29" w16cid:durableId="2023623305">
    <w:abstractNumId w:val="6"/>
  </w:num>
  <w:num w:numId="30" w16cid:durableId="1517841631">
    <w:abstractNumId w:val="10"/>
  </w:num>
  <w:num w:numId="31" w16cid:durableId="59526847">
    <w:abstractNumId w:val="14"/>
  </w:num>
  <w:num w:numId="32" w16cid:durableId="188223941">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39"/>
    <w:rsid w:val="00010155"/>
    <w:rsid w:val="000124F4"/>
    <w:rsid w:val="000145AF"/>
    <w:rsid w:val="00014BA7"/>
    <w:rsid w:val="000210CF"/>
    <w:rsid w:val="000231FC"/>
    <w:rsid w:val="00026C5D"/>
    <w:rsid w:val="00027609"/>
    <w:rsid w:val="00033908"/>
    <w:rsid w:val="0003393B"/>
    <w:rsid w:val="000358DC"/>
    <w:rsid w:val="00037893"/>
    <w:rsid w:val="00037C74"/>
    <w:rsid w:val="00041448"/>
    <w:rsid w:val="00047C82"/>
    <w:rsid w:val="00050FBE"/>
    <w:rsid w:val="000515A2"/>
    <w:rsid w:val="000576CC"/>
    <w:rsid w:val="00060ACD"/>
    <w:rsid w:val="000621B2"/>
    <w:rsid w:val="0006359A"/>
    <w:rsid w:val="000638D5"/>
    <w:rsid w:val="00065A5F"/>
    <w:rsid w:val="00067308"/>
    <w:rsid w:val="00070A93"/>
    <w:rsid w:val="000757E8"/>
    <w:rsid w:val="000823FA"/>
    <w:rsid w:val="00083415"/>
    <w:rsid w:val="000845F6"/>
    <w:rsid w:val="000847F5"/>
    <w:rsid w:val="00085480"/>
    <w:rsid w:val="000924DB"/>
    <w:rsid w:val="00093EDF"/>
    <w:rsid w:val="00094B92"/>
    <w:rsid w:val="000A3D0D"/>
    <w:rsid w:val="000B2DA0"/>
    <w:rsid w:val="000B5DBB"/>
    <w:rsid w:val="000B700C"/>
    <w:rsid w:val="000C241D"/>
    <w:rsid w:val="000C30DE"/>
    <w:rsid w:val="000C4C93"/>
    <w:rsid w:val="000C6405"/>
    <w:rsid w:val="000E5452"/>
    <w:rsid w:val="000F2F61"/>
    <w:rsid w:val="000F409E"/>
    <w:rsid w:val="000F5305"/>
    <w:rsid w:val="0010046C"/>
    <w:rsid w:val="00100FA9"/>
    <w:rsid w:val="00101A88"/>
    <w:rsid w:val="001021F6"/>
    <w:rsid w:val="00103033"/>
    <w:rsid w:val="00104E8F"/>
    <w:rsid w:val="00105A7A"/>
    <w:rsid w:val="00107A7A"/>
    <w:rsid w:val="001117C7"/>
    <w:rsid w:val="00114DA5"/>
    <w:rsid w:val="001166A2"/>
    <w:rsid w:val="001230FA"/>
    <w:rsid w:val="00126755"/>
    <w:rsid w:val="00127653"/>
    <w:rsid w:val="00127A39"/>
    <w:rsid w:val="00133545"/>
    <w:rsid w:val="001339EF"/>
    <w:rsid w:val="001369F8"/>
    <w:rsid w:val="00141178"/>
    <w:rsid w:val="00156324"/>
    <w:rsid w:val="001579E0"/>
    <w:rsid w:val="0016601A"/>
    <w:rsid w:val="0017133E"/>
    <w:rsid w:val="0017767F"/>
    <w:rsid w:val="00177E28"/>
    <w:rsid w:val="00190D9A"/>
    <w:rsid w:val="001A0090"/>
    <w:rsid w:val="001A07C4"/>
    <w:rsid w:val="001A134D"/>
    <w:rsid w:val="001B0F7F"/>
    <w:rsid w:val="001B4061"/>
    <w:rsid w:val="001B524A"/>
    <w:rsid w:val="001C1847"/>
    <w:rsid w:val="001C1B75"/>
    <w:rsid w:val="001C5A8C"/>
    <w:rsid w:val="001C696B"/>
    <w:rsid w:val="001C7C45"/>
    <w:rsid w:val="001D3F3B"/>
    <w:rsid w:val="001E1200"/>
    <w:rsid w:val="001E7C74"/>
    <w:rsid w:val="001F6309"/>
    <w:rsid w:val="00200067"/>
    <w:rsid w:val="002012A9"/>
    <w:rsid w:val="0020699B"/>
    <w:rsid w:val="00212B70"/>
    <w:rsid w:val="002135C0"/>
    <w:rsid w:val="00213F29"/>
    <w:rsid w:val="002142E5"/>
    <w:rsid w:val="0021551E"/>
    <w:rsid w:val="0021593D"/>
    <w:rsid w:val="00220506"/>
    <w:rsid w:val="00222E17"/>
    <w:rsid w:val="00233ED2"/>
    <w:rsid w:val="002362DD"/>
    <w:rsid w:val="00240E84"/>
    <w:rsid w:val="00244326"/>
    <w:rsid w:val="002444EC"/>
    <w:rsid w:val="00250BF2"/>
    <w:rsid w:val="00255942"/>
    <w:rsid w:val="002650BA"/>
    <w:rsid w:val="00267A5F"/>
    <w:rsid w:val="002728DB"/>
    <w:rsid w:val="00275F90"/>
    <w:rsid w:val="002832D3"/>
    <w:rsid w:val="00292947"/>
    <w:rsid w:val="00294B97"/>
    <w:rsid w:val="002A4729"/>
    <w:rsid w:val="002B04D9"/>
    <w:rsid w:val="002B251D"/>
    <w:rsid w:val="002B4E2A"/>
    <w:rsid w:val="002B65A2"/>
    <w:rsid w:val="002C33F2"/>
    <w:rsid w:val="002C3E0B"/>
    <w:rsid w:val="002C6B2B"/>
    <w:rsid w:val="002D1C39"/>
    <w:rsid w:val="002D6ABE"/>
    <w:rsid w:val="002D7B66"/>
    <w:rsid w:val="002E265E"/>
    <w:rsid w:val="002E30A7"/>
    <w:rsid w:val="002E5834"/>
    <w:rsid w:val="002F4F16"/>
    <w:rsid w:val="002F58F7"/>
    <w:rsid w:val="0030023A"/>
    <w:rsid w:val="0030113E"/>
    <w:rsid w:val="00302E40"/>
    <w:rsid w:val="00303E8D"/>
    <w:rsid w:val="00307348"/>
    <w:rsid w:val="003076B5"/>
    <w:rsid w:val="00317BB7"/>
    <w:rsid w:val="00321E3C"/>
    <w:rsid w:val="00324373"/>
    <w:rsid w:val="0032564B"/>
    <w:rsid w:val="00340BCF"/>
    <w:rsid w:val="00347C76"/>
    <w:rsid w:val="0035785F"/>
    <w:rsid w:val="00357BC1"/>
    <w:rsid w:val="0036144F"/>
    <w:rsid w:val="00361DE0"/>
    <w:rsid w:val="003621F1"/>
    <w:rsid w:val="00363928"/>
    <w:rsid w:val="00370A0B"/>
    <w:rsid w:val="00376798"/>
    <w:rsid w:val="00380A6E"/>
    <w:rsid w:val="0038404D"/>
    <w:rsid w:val="00390B86"/>
    <w:rsid w:val="00390EB8"/>
    <w:rsid w:val="0039492C"/>
    <w:rsid w:val="00395077"/>
    <w:rsid w:val="0039537A"/>
    <w:rsid w:val="003A32B2"/>
    <w:rsid w:val="003B24E3"/>
    <w:rsid w:val="003B555B"/>
    <w:rsid w:val="003C2621"/>
    <w:rsid w:val="003C2D47"/>
    <w:rsid w:val="003C6E31"/>
    <w:rsid w:val="003D6DCE"/>
    <w:rsid w:val="003D7DD0"/>
    <w:rsid w:val="003E30B6"/>
    <w:rsid w:val="003E5344"/>
    <w:rsid w:val="003E67A9"/>
    <w:rsid w:val="003F6555"/>
    <w:rsid w:val="00401A32"/>
    <w:rsid w:val="0040788B"/>
    <w:rsid w:val="00414D5E"/>
    <w:rsid w:val="0041527F"/>
    <w:rsid w:val="004173F6"/>
    <w:rsid w:val="0041755A"/>
    <w:rsid w:val="00424C14"/>
    <w:rsid w:val="00424D76"/>
    <w:rsid w:val="004255FF"/>
    <w:rsid w:val="00427CA6"/>
    <w:rsid w:val="004313F0"/>
    <w:rsid w:val="00431EE1"/>
    <w:rsid w:val="00432F29"/>
    <w:rsid w:val="004331B0"/>
    <w:rsid w:val="00433835"/>
    <w:rsid w:val="004338DA"/>
    <w:rsid w:val="004348F8"/>
    <w:rsid w:val="00437B6D"/>
    <w:rsid w:val="00437D7B"/>
    <w:rsid w:val="00442AD5"/>
    <w:rsid w:val="00442F0E"/>
    <w:rsid w:val="004508EA"/>
    <w:rsid w:val="00452FE3"/>
    <w:rsid w:val="00456F7C"/>
    <w:rsid w:val="00460F6B"/>
    <w:rsid w:val="004629FA"/>
    <w:rsid w:val="0047091F"/>
    <w:rsid w:val="004722B3"/>
    <w:rsid w:val="004724CA"/>
    <w:rsid w:val="0047586E"/>
    <w:rsid w:val="00476D2E"/>
    <w:rsid w:val="00480BE5"/>
    <w:rsid w:val="004810AA"/>
    <w:rsid w:val="0048377F"/>
    <w:rsid w:val="00490215"/>
    <w:rsid w:val="00491178"/>
    <w:rsid w:val="00491528"/>
    <w:rsid w:val="004924FB"/>
    <w:rsid w:val="00492C40"/>
    <w:rsid w:val="0049610C"/>
    <w:rsid w:val="00496F16"/>
    <w:rsid w:val="004A31A9"/>
    <w:rsid w:val="004A3B64"/>
    <w:rsid w:val="004B075D"/>
    <w:rsid w:val="004B6B6A"/>
    <w:rsid w:val="004B6CD1"/>
    <w:rsid w:val="004B7031"/>
    <w:rsid w:val="004C1BB6"/>
    <w:rsid w:val="004C1C4E"/>
    <w:rsid w:val="004D5123"/>
    <w:rsid w:val="004E1314"/>
    <w:rsid w:val="004E32DB"/>
    <w:rsid w:val="004E3C80"/>
    <w:rsid w:val="004E4746"/>
    <w:rsid w:val="004E4EEE"/>
    <w:rsid w:val="004E7253"/>
    <w:rsid w:val="004F0FB5"/>
    <w:rsid w:val="004F4770"/>
    <w:rsid w:val="004F4A34"/>
    <w:rsid w:val="004F5C36"/>
    <w:rsid w:val="004F6839"/>
    <w:rsid w:val="0050288A"/>
    <w:rsid w:val="00503E5B"/>
    <w:rsid w:val="0051364D"/>
    <w:rsid w:val="00513855"/>
    <w:rsid w:val="00513E09"/>
    <w:rsid w:val="00517A66"/>
    <w:rsid w:val="00520DE3"/>
    <w:rsid w:val="005230D5"/>
    <w:rsid w:val="00525DF6"/>
    <w:rsid w:val="00542624"/>
    <w:rsid w:val="00545B5A"/>
    <w:rsid w:val="00572E90"/>
    <w:rsid w:val="00577BC4"/>
    <w:rsid w:val="00580DF1"/>
    <w:rsid w:val="005A4714"/>
    <w:rsid w:val="005A4F07"/>
    <w:rsid w:val="005A5216"/>
    <w:rsid w:val="005A7548"/>
    <w:rsid w:val="005A7E3D"/>
    <w:rsid w:val="005B6E9A"/>
    <w:rsid w:val="005C14BF"/>
    <w:rsid w:val="005D0351"/>
    <w:rsid w:val="005D08BA"/>
    <w:rsid w:val="005D33A8"/>
    <w:rsid w:val="005D47A0"/>
    <w:rsid w:val="005D58D6"/>
    <w:rsid w:val="005D7688"/>
    <w:rsid w:val="005E00D7"/>
    <w:rsid w:val="005E4E4D"/>
    <w:rsid w:val="005E597C"/>
    <w:rsid w:val="005F03D3"/>
    <w:rsid w:val="005F1CD2"/>
    <w:rsid w:val="005F5377"/>
    <w:rsid w:val="005F5C98"/>
    <w:rsid w:val="005F5E90"/>
    <w:rsid w:val="00603B79"/>
    <w:rsid w:val="00605D13"/>
    <w:rsid w:val="00607AEC"/>
    <w:rsid w:val="00614E9B"/>
    <w:rsid w:val="00615C4D"/>
    <w:rsid w:val="00616E93"/>
    <w:rsid w:val="00616EB4"/>
    <w:rsid w:val="00620938"/>
    <w:rsid w:val="0062108E"/>
    <w:rsid w:val="006243D2"/>
    <w:rsid w:val="00624916"/>
    <w:rsid w:val="006256F6"/>
    <w:rsid w:val="006267B7"/>
    <w:rsid w:val="00627C0B"/>
    <w:rsid w:val="00632904"/>
    <w:rsid w:val="00636E72"/>
    <w:rsid w:val="00641DC2"/>
    <w:rsid w:val="006429AA"/>
    <w:rsid w:val="00643490"/>
    <w:rsid w:val="006469A0"/>
    <w:rsid w:val="00647EAE"/>
    <w:rsid w:val="00651A59"/>
    <w:rsid w:val="00652C8C"/>
    <w:rsid w:val="0066052D"/>
    <w:rsid w:val="0066239C"/>
    <w:rsid w:val="006632A8"/>
    <w:rsid w:val="00663D25"/>
    <w:rsid w:val="00667823"/>
    <w:rsid w:val="00673202"/>
    <w:rsid w:val="00696256"/>
    <w:rsid w:val="006A0410"/>
    <w:rsid w:val="006A55A1"/>
    <w:rsid w:val="006B2B1F"/>
    <w:rsid w:val="006C4CD2"/>
    <w:rsid w:val="006C6DE6"/>
    <w:rsid w:val="006D2513"/>
    <w:rsid w:val="006D7241"/>
    <w:rsid w:val="006E3AB2"/>
    <w:rsid w:val="006E73B9"/>
    <w:rsid w:val="006F649A"/>
    <w:rsid w:val="00700A13"/>
    <w:rsid w:val="0070118A"/>
    <w:rsid w:val="007036B1"/>
    <w:rsid w:val="00710879"/>
    <w:rsid w:val="007167F7"/>
    <w:rsid w:val="0072254F"/>
    <w:rsid w:val="00723018"/>
    <w:rsid w:val="0072346B"/>
    <w:rsid w:val="007265B1"/>
    <w:rsid w:val="00731428"/>
    <w:rsid w:val="00734283"/>
    <w:rsid w:val="007368B5"/>
    <w:rsid w:val="00736F64"/>
    <w:rsid w:val="00742D6A"/>
    <w:rsid w:val="0074503E"/>
    <w:rsid w:val="00745E17"/>
    <w:rsid w:val="00750F5C"/>
    <w:rsid w:val="007651C7"/>
    <w:rsid w:val="00766CF6"/>
    <w:rsid w:val="00774D72"/>
    <w:rsid w:val="00775669"/>
    <w:rsid w:val="00776F82"/>
    <w:rsid w:val="00780911"/>
    <w:rsid w:val="00784C5E"/>
    <w:rsid w:val="00787891"/>
    <w:rsid w:val="007947BD"/>
    <w:rsid w:val="00795A93"/>
    <w:rsid w:val="007A0389"/>
    <w:rsid w:val="007A1157"/>
    <w:rsid w:val="007A1749"/>
    <w:rsid w:val="007A1F81"/>
    <w:rsid w:val="007A48EA"/>
    <w:rsid w:val="007A58B5"/>
    <w:rsid w:val="007B124D"/>
    <w:rsid w:val="007C03B3"/>
    <w:rsid w:val="007C2D30"/>
    <w:rsid w:val="007D30D4"/>
    <w:rsid w:val="007D553F"/>
    <w:rsid w:val="007D795F"/>
    <w:rsid w:val="007E5025"/>
    <w:rsid w:val="007E6975"/>
    <w:rsid w:val="007F18F2"/>
    <w:rsid w:val="007F3D83"/>
    <w:rsid w:val="007F6210"/>
    <w:rsid w:val="008031F0"/>
    <w:rsid w:val="00816057"/>
    <w:rsid w:val="00817BAE"/>
    <w:rsid w:val="008231FF"/>
    <w:rsid w:val="00823931"/>
    <w:rsid w:val="00827BD8"/>
    <w:rsid w:val="00834984"/>
    <w:rsid w:val="00834F73"/>
    <w:rsid w:val="00836F52"/>
    <w:rsid w:val="0083721E"/>
    <w:rsid w:val="00850108"/>
    <w:rsid w:val="008513B6"/>
    <w:rsid w:val="00857859"/>
    <w:rsid w:val="00857966"/>
    <w:rsid w:val="00860B89"/>
    <w:rsid w:val="00861A42"/>
    <w:rsid w:val="00862D0C"/>
    <w:rsid w:val="0086794E"/>
    <w:rsid w:val="00874235"/>
    <w:rsid w:val="00880BF5"/>
    <w:rsid w:val="00881FDF"/>
    <w:rsid w:val="008839E4"/>
    <w:rsid w:val="008842B8"/>
    <w:rsid w:val="00887ABE"/>
    <w:rsid w:val="00887C6C"/>
    <w:rsid w:val="0089158E"/>
    <w:rsid w:val="00896002"/>
    <w:rsid w:val="008B1A4E"/>
    <w:rsid w:val="008B1D3B"/>
    <w:rsid w:val="008B2600"/>
    <w:rsid w:val="008C50D0"/>
    <w:rsid w:val="008D0BA7"/>
    <w:rsid w:val="008D5547"/>
    <w:rsid w:val="008D555A"/>
    <w:rsid w:val="008D57CA"/>
    <w:rsid w:val="008D5BDE"/>
    <w:rsid w:val="008D6A22"/>
    <w:rsid w:val="008E1E04"/>
    <w:rsid w:val="008E5254"/>
    <w:rsid w:val="008E746F"/>
    <w:rsid w:val="008E7C3F"/>
    <w:rsid w:val="008F73C7"/>
    <w:rsid w:val="009001ED"/>
    <w:rsid w:val="009033E1"/>
    <w:rsid w:val="009076D2"/>
    <w:rsid w:val="009212F2"/>
    <w:rsid w:val="00924E2D"/>
    <w:rsid w:val="00925326"/>
    <w:rsid w:val="00925925"/>
    <w:rsid w:val="00932176"/>
    <w:rsid w:val="009348AF"/>
    <w:rsid w:val="00935DC7"/>
    <w:rsid w:val="0094129C"/>
    <w:rsid w:val="00941FC3"/>
    <w:rsid w:val="00950746"/>
    <w:rsid w:val="00951CB9"/>
    <w:rsid w:val="00954A0D"/>
    <w:rsid w:val="00961E03"/>
    <w:rsid w:val="00962A79"/>
    <w:rsid w:val="00963642"/>
    <w:rsid w:val="00966345"/>
    <w:rsid w:val="00966DBC"/>
    <w:rsid w:val="00972AC0"/>
    <w:rsid w:val="009829B3"/>
    <w:rsid w:val="00993796"/>
    <w:rsid w:val="009A016E"/>
    <w:rsid w:val="009A1558"/>
    <w:rsid w:val="009B2818"/>
    <w:rsid w:val="009B2DD7"/>
    <w:rsid w:val="009B4160"/>
    <w:rsid w:val="009B7510"/>
    <w:rsid w:val="009B78E1"/>
    <w:rsid w:val="009B7ECF"/>
    <w:rsid w:val="009C309C"/>
    <w:rsid w:val="009C5C59"/>
    <w:rsid w:val="009C63AE"/>
    <w:rsid w:val="009C6517"/>
    <w:rsid w:val="009D09DA"/>
    <w:rsid w:val="009D0DEA"/>
    <w:rsid w:val="009D2774"/>
    <w:rsid w:val="009D54AD"/>
    <w:rsid w:val="009E79A2"/>
    <w:rsid w:val="009F2EA4"/>
    <w:rsid w:val="009F39BC"/>
    <w:rsid w:val="009F6FD9"/>
    <w:rsid w:val="00A0115B"/>
    <w:rsid w:val="00A02336"/>
    <w:rsid w:val="00A03567"/>
    <w:rsid w:val="00A04834"/>
    <w:rsid w:val="00A04E71"/>
    <w:rsid w:val="00A06D5A"/>
    <w:rsid w:val="00A12F2F"/>
    <w:rsid w:val="00A15129"/>
    <w:rsid w:val="00A15B9A"/>
    <w:rsid w:val="00A16082"/>
    <w:rsid w:val="00A20433"/>
    <w:rsid w:val="00A24A56"/>
    <w:rsid w:val="00A2761E"/>
    <w:rsid w:val="00A32C44"/>
    <w:rsid w:val="00A34F75"/>
    <w:rsid w:val="00A40207"/>
    <w:rsid w:val="00A425F7"/>
    <w:rsid w:val="00A45453"/>
    <w:rsid w:val="00A47EAD"/>
    <w:rsid w:val="00A53E5B"/>
    <w:rsid w:val="00A62BDA"/>
    <w:rsid w:val="00A66135"/>
    <w:rsid w:val="00A732EC"/>
    <w:rsid w:val="00A7355C"/>
    <w:rsid w:val="00A77380"/>
    <w:rsid w:val="00A80C2F"/>
    <w:rsid w:val="00A83C7C"/>
    <w:rsid w:val="00A84CFF"/>
    <w:rsid w:val="00A85EB5"/>
    <w:rsid w:val="00A91163"/>
    <w:rsid w:val="00A9298C"/>
    <w:rsid w:val="00A9386B"/>
    <w:rsid w:val="00A94381"/>
    <w:rsid w:val="00A94778"/>
    <w:rsid w:val="00A952D5"/>
    <w:rsid w:val="00A95AA7"/>
    <w:rsid w:val="00A95EA1"/>
    <w:rsid w:val="00A97DB5"/>
    <w:rsid w:val="00AA35A1"/>
    <w:rsid w:val="00AB5387"/>
    <w:rsid w:val="00AC47B7"/>
    <w:rsid w:val="00AD51BC"/>
    <w:rsid w:val="00AE011C"/>
    <w:rsid w:val="00AE223D"/>
    <w:rsid w:val="00AE2386"/>
    <w:rsid w:val="00AE2443"/>
    <w:rsid w:val="00AE5A07"/>
    <w:rsid w:val="00AF1EDD"/>
    <w:rsid w:val="00AF390E"/>
    <w:rsid w:val="00AF49E6"/>
    <w:rsid w:val="00B0213C"/>
    <w:rsid w:val="00B04923"/>
    <w:rsid w:val="00B05134"/>
    <w:rsid w:val="00B061C3"/>
    <w:rsid w:val="00B12CB3"/>
    <w:rsid w:val="00B14489"/>
    <w:rsid w:val="00B20F5F"/>
    <w:rsid w:val="00B26938"/>
    <w:rsid w:val="00B32B19"/>
    <w:rsid w:val="00B32FAC"/>
    <w:rsid w:val="00B33B4F"/>
    <w:rsid w:val="00B33EF9"/>
    <w:rsid w:val="00B41330"/>
    <w:rsid w:val="00B41BD2"/>
    <w:rsid w:val="00B42AE0"/>
    <w:rsid w:val="00B54DCF"/>
    <w:rsid w:val="00B578D5"/>
    <w:rsid w:val="00B61DF9"/>
    <w:rsid w:val="00B62914"/>
    <w:rsid w:val="00B63F72"/>
    <w:rsid w:val="00B65912"/>
    <w:rsid w:val="00B65AE3"/>
    <w:rsid w:val="00B6634B"/>
    <w:rsid w:val="00B74F39"/>
    <w:rsid w:val="00B77AC2"/>
    <w:rsid w:val="00B80444"/>
    <w:rsid w:val="00B83B43"/>
    <w:rsid w:val="00B8425A"/>
    <w:rsid w:val="00B8553B"/>
    <w:rsid w:val="00B8652A"/>
    <w:rsid w:val="00B90728"/>
    <w:rsid w:val="00B93F05"/>
    <w:rsid w:val="00B969B3"/>
    <w:rsid w:val="00B9799C"/>
    <w:rsid w:val="00B97F2D"/>
    <w:rsid w:val="00BA2C11"/>
    <w:rsid w:val="00BA2FC1"/>
    <w:rsid w:val="00BA47DC"/>
    <w:rsid w:val="00BA4F0F"/>
    <w:rsid w:val="00BA52E9"/>
    <w:rsid w:val="00BB1E9D"/>
    <w:rsid w:val="00BB2489"/>
    <w:rsid w:val="00BB4614"/>
    <w:rsid w:val="00BB53A7"/>
    <w:rsid w:val="00BB79FA"/>
    <w:rsid w:val="00BC046C"/>
    <w:rsid w:val="00BC7520"/>
    <w:rsid w:val="00BD1FC4"/>
    <w:rsid w:val="00BD4716"/>
    <w:rsid w:val="00BE1833"/>
    <w:rsid w:val="00BF0361"/>
    <w:rsid w:val="00BF1CE9"/>
    <w:rsid w:val="00BF2924"/>
    <w:rsid w:val="00C00CAF"/>
    <w:rsid w:val="00C038C4"/>
    <w:rsid w:val="00C0705A"/>
    <w:rsid w:val="00C07AE0"/>
    <w:rsid w:val="00C10546"/>
    <w:rsid w:val="00C176A5"/>
    <w:rsid w:val="00C231E3"/>
    <w:rsid w:val="00C26547"/>
    <w:rsid w:val="00C26E39"/>
    <w:rsid w:val="00C301E6"/>
    <w:rsid w:val="00C40924"/>
    <w:rsid w:val="00C41269"/>
    <w:rsid w:val="00C42D0F"/>
    <w:rsid w:val="00C43071"/>
    <w:rsid w:val="00C4425A"/>
    <w:rsid w:val="00C459F4"/>
    <w:rsid w:val="00C5466E"/>
    <w:rsid w:val="00C56ABB"/>
    <w:rsid w:val="00C60A29"/>
    <w:rsid w:val="00C64C01"/>
    <w:rsid w:val="00C71BEF"/>
    <w:rsid w:val="00C7656C"/>
    <w:rsid w:val="00C76F01"/>
    <w:rsid w:val="00C84278"/>
    <w:rsid w:val="00C845D1"/>
    <w:rsid w:val="00C86AC4"/>
    <w:rsid w:val="00C86C94"/>
    <w:rsid w:val="00C91382"/>
    <w:rsid w:val="00C94371"/>
    <w:rsid w:val="00C96B98"/>
    <w:rsid w:val="00C97431"/>
    <w:rsid w:val="00CA3861"/>
    <w:rsid w:val="00CB004B"/>
    <w:rsid w:val="00CB0B91"/>
    <w:rsid w:val="00CB4167"/>
    <w:rsid w:val="00CB4636"/>
    <w:rsid w:val="00CB7EC2"/>
    <w:rsid w:val="00CC0AF4"/>
    <w:rsid w:val="00CC10DF"/>
    <w:rsid w:val="00CC37CE"/>
    <w:rsid w:val="00CC426D"/>
    <w:rsid w:val="00CC4E78"/>
    <w:rsid w:val="00CC6AF1"/>
    <w:rsid w:val="00CD9E87"/>
    <w:rsid w:val="00CE0FA0"/>
    <w:rsid w:val="00CE49A5"/>
    <w:rsid w:val="00CF184A"/>
    <w:rsid w:val="00CF2DCA"/>
    <w:rsid w:val="00D01437"/>
    <w:rsid w:val="00D02842"/>
    <w:rsid w:val="00D101DF"/>
    <w:rsid w:val="00D11BFE"/>
    <w:rsid w:val="00D1300A"/>
    <w:rsid w:val="00D1590B"/>
    <w:rsid w:val="00D16A74"/>
    <w:rsid w:val="00D17666"/>
    <w:rsid w:val="00D21BC8"/>
    <w:rsid w:val="00D23B08"/>
    <w:rsid w:val="00D25C5F"/>
    <w:rsid w:val="00D2617B"/>
    <w:rsid w:val="00D263EA"/>
    <w:rsid w:val="00D30A58"/>
    <w:rsid w:val="00D316FA"/>
    <w:rsid w:val="00D34085"/>
    <w:rsid w:val="00D35477"/>
    <w:rsid w:val="00D36C21"/>
    <w:rsid w:val="00D41109"/>
    <w:rsid w:val="00D4178F"/>
    <w:rsid w:val="00D41827"/>
    <w:rsid w:val="00D43201"/>
    <w:rsid w:val="00D44EEE"/>
    <w:rsid w:val="00D566CE"/>
    <w:rsid w:val="00D57CEC"/>
    <w:rsid w:val="00D63D6D"/>
    <w:rsid w:val="00D65B73"/>
    <w:rsid w:val="00D66872"/>
    <w:rsid w:val="00D7581B"/>
    <w:rsid w:val="00D82F9B"/>
    <w:rsid w:val="00D836EE"/>
    <w:rsid w:val="00D847CC"/>
    <w:rsid w:val="00D86FEE"/>
    <w:rsid w:val="00D94C9B"/>
    <w:rsid w:val="00D958DE"/>
    <w:rsid w:val="00D95DE4"/>
    <w:rsid w:val="00D97329"/>
    <w:rsid w:val="00D97E92"/>
    <w:rsid w:val="00DA01F8"/>
    <w:rsid w:val="00DA0A6D"/>
    <w:rsid w:val="00DA1A67"/>
    <w:rsid w:val="00DA2913"/>
    <w:rsid w:val="00DA3E8A"/>
    <w:rsid w:val="00DA6069"/>
    <w:rsid w:val="00DA7522"/>
    <w:rsid w:val="00DA7F7B"/>
    <w:rsid w:val="00DB00CE"/>
    <w:rsid w:val="00DB02C5"/>
    <w:rsid w:val="00DB1EAA"/>
    <w:rsid w:val="00DB2C65"/>
    <w:rsid w:val="00DB6063"/>
    <w:rsid w:val="00DB7AB9"/>
    <w:rsid w:val="00DC2E1A"/>
    <w:rsid w:val="00DC30A4"/>
    <w:rsid w:val="00DC67A6"/>
    <w:rsid w:val="00DD0D0D"/>
    <w:rsid w:val="00DD44CC"/>
    <w:rsid w:val="00DE4DED"/>
    <w:rsid w:val="00DE5409"/>
    <w:rsid w:val="00DE6A3F"/>
    <w:rsid w:val="00DF2CF4"/>
    <w:rsid w:val="00DF57E9"/>
    <w:rsid w:val="00E01417"/>
    <w:rsid w:val="00E0328A"/>
    <w:rsid w:val="00E05320"/>
    <w:rsid w:val="00E055B8"/>
    <w:rsid w:val="00E056C2"/>
    <w:rsid w:val="00E07083"/>
    <w:rsid w:val="00E112B0"/>
    <w:rsid w:val="00E14DCE"/>
    <w:rsid w:val="00E21878"/>
    <w:rsid w:val="00E278B8"/>
    <w:rsid w:val="00E31D8B"/>
    <w:rsid w:val="00E3222E"/>
    <w:rsid w:val="00E36BD7"/>
    <w:rsid w:val="00E37DE4"/>
    <w:rsid w:val="00E4394C"/>
    <w:rsid w:val="00E4702A"/>
    <w:rsid w:val="00E477E9"/>
    <w:rsid w:val="00E5009F"/>
    <w:rsid w:val="00E51A76"/>
    <w:rsid w:val="00E53C66"/>
    <w:rsid w:val="00E54D4E"/>
    <w:rsid w:val="00E6110E"/>
    <w:rsid w:val="00E62A71"/>
    <w:rsid w:val="00E72E00"/>
    <w:rsid w:val="00E85508"/>
    <w:rsid w:val="00E87392"/>
    <w:rsid w:val="00E87D73"/>
    <w:rsid w:val="00EA32B0"/>
    <w:rsid w:val="00EA6EAE"/>
    <w:rsid w:val="00EB373F"/>
    <w:rsid w:val="00EB3C85"/>
    <w:rsid w:val="00EB4794"/>
    <w:rsid w:val="00EB4CA0"/>
    <w:rsid w:val="00EB594D"/>
    <w:rsid w:val="00EC1743"/>
    <w:rsid w:val="00EC45C2"/>
    <w:rsid w:val="00ED732A"/>
    <w:rsid w:val="00EE2028"/>
    <w:rsid w:val="00EE3318"/>
    <w:rsid w:val="00EE59B8"/>
    <w:rsid w:val="00EE7066"/>
    <w:rsid w:val="00EF0260"/>
    <w:rsid w:val="00F02AEE"/>
    <w:rsid w:val="00F055FF"/>
    <w:rsid w:val="00F1194E"/>
    <w:rsid w:val="00F152C3"/>
    <w:rsid w:val="00F21B60"/>
    <w:rsid w:val="00F238E3"/>
    <w:rsid w:val="00F24F21"/>
    <w:rsid w:val="00F26587"/>
    <w:rsid w:val="00F31FE9"/>
    <w:rsid w:val="00F3540F"/>
    <w:rsid w:val="00F354A6"/>
    <w:rsid w:val="00F35F77"/>
    <w:rsid w:val="00F36B21"/>
    <w:rsid w:val="00F371D3"/>
    <w:rsid w:val="00F378CE"/>
    <w:rsid w:val="00F50154"/>
    <w:rsid w:val="00F51E9B"/>
    <w:rsid w:val="00F57EF3"/>
    <w:rsid w:val="00F62276"/>
    <w:rsid w:val="00F63487"/>
    <w:rsid w:val="00F6503D"/>
    <w:rsid w:val="00F66EAA"/>
    <w:rsid w:val="00F67AAF"/>
    <w:rsid w:val="00F70A5E"/>
    <w:rsid w:val="00F70A95"/>
    <w:rsid w:val="00F70B00"/>
    <w:rsid w:val="00F777BA"/>
    <w:rsid w:val="00F85393"/>
    <w:rsid w:val="00F904B3"/>
    <w:rsid w:val="00F904FC"/>
    <w:rsid w:val="00F9146D"/>
    <w:rsid w:val="00F92558"/>
    <w:rsid w:val="00F95DAF"/>
    <w:rsid w:val="00FA13E1"/>
    <w:rsid w:val="00FA4D2F"/>
    <w:rsid w:val="00FA6BF3"/>
    <w:rsid w:val="00FA6F55"/>
    <w:rsid w:val="00FB2A50"/>
    <w:rsid w:val="00FC16C0"/>
    <w:rsid w:val="00FD0FEF"/>
    <w:rsid w:val="00FD2758"/>
    <w:rsid w:val="00FD6875"/>
    <w:rsid w:val="00FD6941"/>
    <w:rsid w:val="00FD6B28"/>
    <w:rsid w:val="00FD7FAF"/>
    <w:rsid w:val="00FE2835"/>
    <w:rsid w:val="00FE287A"/>
    <w:rsid w:val="00FE2A95"/>
    <w:rsid w:val="00FF1963"/>
    <w:rsid w:val="02BEFDA5"/>
    <w:rsid w:val="048A571D"/>
    <w:rsid w:val="049A6E4B"/>
    <w:rsid w:val="053ECE15"/>
    <w:rsid w:val="07C9D991"/>
    <w:rsid w:val="08BE0F2D"/>
    <w:rsid w:val="09C48789"/>
    <w:rsid w:val="09EF9AD5"/>
    <w:rsid w:val="0AD99A02"/>
    <w:rsid w:val="0B1F7193"/>
    <w:rsid w:val="0C8A2DAB"/>
    <w:rsid w:val="0CD647F5"/>
    <w:rsid w:val="0ED52D31"/>
    <w:rsid w:val="1107A4FC"/>
    <w:rsid w:val="11B5EFDB"/>
    <w:rsid w:val="1360D999"/>
    <w:rsid w:val="1505A533"/>
    <w:rsid w:val="152FEB31"/>
    <w:rsid w:val="174E62AD"/>
    <w:rsid w:val="17CDE522"/>
    <w:rsid w:val="19110CEF"/>
    <w:rsid w:val="1973065F"/>
    <w:rsid w:val="1A556687"/>
    <w:rsid w:val="1A785193"/>
    <w:rsid w:val="1C30DF43"/>
    <w:rsid w:val="1CF9F557"/>
    <w:rsid w:val="1D46AA5A"/>
    <w:rsid w:val="1D9B348E"/>
    <w:rsid w:val="1E89E8AE"/>
    <w:rsid w:val="1F2C741E"/>
    <w:rsid w:val="1FE73CFF"/>
    <w:rsid w:val="1FEF71C3"/>
    <w:rsid w:val="21EE8267"/>
    <w:rsid w:val="2254A6B1"/>
    <w:rsid w:val="22DBFEA7"/>
    <w:rsid w:val="234DBD45"/>
    <w:rsid w:val="2435846C"/>
    <w:rsid w:val="248499B2"/>
    <w:rsid w:val="24EC3E7A"/>
    <w:rsid w:val="25A6B581"/>
    <w:rsid w:val="263AB6D5"/>
    <w:rsid w:val="2A2E4A23"/>
    <w:rsid w:val="2AE7ECBF"/>
    <w:rsid w:val="2D3B4837"/>
    <w:rsid w:val="2F0072CD"/>
    <w:rsid w:val="2F665A16"/>
    <w:rsid w:val="31C10B50"/>
    <w:rsid w:val="37757473"/>
    <w:rsid w:val="3788E70F"/>
    <w:rsid w:val="385D0B7E"/>
    <w:rsid w:val="3896378F"/>
    <w:rsid w:val="3AFC4A9A"/>
    <w:rsid w:val="3CB1D3C7"/>
    <w:rsid w:val="3E6D00D3"/>
    <w:rsid w:val="3F1FF035"/>
    <w:rsid w:val="3F674795"/>
    <w:rsid w:val="401DBD4E"/>
    <w:rsid w:val="404596BB"/>
    <w:rsid w:val="40BB3349"/>
    <w:rsid w:val="4175F232"/>
    <w:rsid w:val="4315E0E4"/>
    <w:rsid w:val="4325C4EF"/>
    <w:rsid w:val="434CE47F"/>
    <w:rsid w:val="468D5C53"/>
    <w:rsid w:val="4690A296"/>
    <w:rsid w:val="47965B9A"/>
    <w:rsid w:val="4963CAB9"/>
    <w:rsid w:val="4B7EE65C"/>
    <w:rsid w:val="4C15F992"/>
    <w:rsid w:val="4C883FC9"/>
    <w:rsid w:val="4DA503AF"/>
    <w:rsid w:val="4FA41C97"/>
    <w:rsid w:val="4FD6C4D5"/>
    <w:rsid w:val="50AEBA9B"/>
    <w:rsid w:val="51353231"/>
    <w:rsid w:val="51AFF66F"/>
    <w:rsid w:val="5248D186"/>
    <w:rsid w:val="54CFF9DA"/>
    <w:rsid w:val="561A5BD2"/>
    <w:rsid w:val="56DD8B6E"/>
    <w:rsid w:val="56FFA7AC"/>
    <w:rsid w:val="59C8DC51"/>
    <w:rsid w:val="5A61C60C"/>
    <w:rsid w:val="5ACD5A2E"/>
    <w:rsid w:val="5DAFA58B"/>
    <w:rsid w:val="5E95489C"/>
    <w:rsid w:val="6086BC44"/>
    <w:rsid w:val="61A5E3A3"/>
    <w:rsid w:val="61B3C8D7"/>
    <w:rsid w:val="644ADE83"/>
    <w:rsid w:val="65C7CE9E"/>
    <w:rsid w:val="66292B0C"/>
    <w:rsid w:val="66562010"/>
    <w:rsid w:val="6657A2EA"/>
    <w:rsid w:val="66B1153C"/>
    <w:rsid w:val="6884559F"/>
    <w:rsid w:val="6890749B"/>
    <w:rsid w:val="68AAA1D9"/>
    <w:rsid w:val="6B780247"/>
    <w:rsid w:val="6BADF73F"/>
    <w:rsid w:val="6BB5989C"/>
    <w:rsid w:val="6CF137B7"/>
    <w:rsid w:val="700A1448"/>
    <w:rsid w:val="70396147"/>
    <w:rsid w:val="7045995E"/>
    <w:rsid w:val="707DE641"/>
    <w:rsid w:val="718BF126"/>
    <w:rsid w:val="74FFDF3E"/>
    <w:rsid w:val="756731EE"/>
    <w:rsid w:val="7697488A"/>
    <w:rsid w:val="769E70E4"/>
    <w:rsid w:val="77067DCE"/>
    <w:rsid w:val="773979DC"/>
    <w:rsid w:val="7B3C5B7B"/>
    <w:rsid w:val="7BDAB1A2"/>
    <w:rsid w:val="7CCB8405"/>
    <w:rsid w:val="7CF2F9DB"/>
    <w:rsid w:val="7D39FE72"/>
    <w:rsid w:val="7DC04549"/>
    <w:rsid w:val="7EF00540"/>
    <w:rsid w:val="7FB2D65B"/>
    <w:rsid w:val="7FF42F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75B20"/>
  <w15:chartTrackingRefBased/>
  <w15:docId w15:val="{4E9DDC1D-68EE-457B-AED3-C155A0C6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23"/>
    <w:pPr>
      <w:widowControl w:val="0"/>
      <w:autoSpaceDE w:val="0"/>
      <w:autoSpaceDN w:val="0"/>
      <w:adjustRightInd w:val="0"/>
      <w:spacing w:after="0" w:line="240" w:lineRule="auto"/>
    </w:pPr>
    <w:rPr>
      <w:rFonts w:ascii="Times" w:eastAsia="Times New Roman" w:hAnsi="Times" w:cs="Times New Roman"/>
      <w:kern w:val="0"/>
      <w:sz w:val="24"/>
      <w:szCs w:val="24"/>
      <w14:ligatures w14:val="none"/>
    </w:rPr>
  </w:style>
  <w:style w:type="paragraph" w:styleId="Heading1">
    <w:name w:val="heading 1"/>
    <w:basedOn w:val="Normal"/>
    <w:link w:val="Heading1Char"/>
    <w:uiPriority w:val="9"/>
    <w:qFormat/>
    <w:rsid w:val="009001ED"/>
    <w:pPr>
      <w:widowControl/>
      <w:autoSpaceDE/>
      <w:autoSpaceDN/>
      <w:adjustRightInd/>
      <w:spacing w:before="100" w:beforeAutospacing="1" w:after="100" w:afterAutospacing="1"/>
      <w:jc w:val="center"/>
      <w:outlineLvl w:val="0"/>
    </w:pPr>
    <w:rPr>
      <w:rFonts w:ascii="Times New Roman" w:hAnsi="Times New Roman"/>
      <w:b/>
      <w:bCs/>
      <w:kern w:val="36"/>
      <w:sz w:val="28"/>
      <w:szCs w:val="48"/>
      <w:u w:val="single"/>
    </w:rPr>
  </w:style>
  <w:style w:type="paragraph" w:styleId="Heading2">
    <w:name w:val="heading 2"/>
    <w:basedOn w:val="Normal"/>
    <w:next w:val="Normal"/>
    <w:link w:val="Heading2Char"/>
    <w:uiPriority w:val="9"/>
    <w:unhideWhenUsed/>
    <w:qFormat/>
    <w:rsid w:val="00A95AA7"/>
    <w:pPr>
      <w:widowControl/>
      <w:numPr>
        <w:numId w:val="1"/>
      </w:numPr>
      <w:autoSpaceDE/>
      <w:autoSpaceDN/>
      <w:adjustRightInd/>
      <w:ind w:left="0" w:firstLine="0"/>
      <w:jc w:val="both"/>
      <w:outlineLvl w:val="1"/>
    </w:pPr>
    <w:rPr>
      <w:rFonts w:ascii="Times New Roman" w:hAnsi="Times New Roman"/>
      <w:b/>
      <w:sz w:val="22"/>
      <w:szCs w:val="22"/>
      <w:u w:val="single"/>
    </w:rPr>
  </w:style>
  <w:style w:type="paragraph" w:styleId="Heading3">
    <w:name w:val="heading 3"/>
    <w:basedOn w:val="Normal"/>
    <w:next w:val="Normal"/>
    <w:link w:val="Heading3Char"/>
    <w:uiPriority w:val="9"/>
    <w:unhideWhenUsed/>
    <w:qFormat/>
    <w:rsid w:val="002E583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904B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3 List Paragraph,List Paragraph1,text,Dot pt,F5 List Paragraph,List Paragraph Char Char Char,Indicator Text,Numbered Para 1,Bullet 1,Bullet Points,List Paragraph2,MAIN CONTENT,Normal numbered,Colorful List - Accent 11,No Spacing1,3,lp1"/>
    <w:basedOn w:val="Normal"/>
    <w:link w:val="ListParagraphChar"/>
    <w:uiPriority w:val="34"/>
    <w:qFormat/>
    <w:rsid w:val="004F6839"/>
    <w:pPr>
      <w:widowControl/>
      <w:autoSpaceDE/>
      <w:autoSpaceDN/>
      <w:adjustRightInd/>
      <w:ind w:left="720"/>
    </w:pPr>
    <w:rPr>
      <w:rFonts w:ascii="Times New Roman" w:hAnsi="Times New Roman"/>
    </w:rPr>
  </w:style>
  <w:style w:type="character" w:customStyle="1" w:styleId="ListParagraphChar">
    <w:name w:val="List Paragraph Char"/>
    <w:aliases w:val="123 List Paragraph Char,List Paragraph1 Char,text Char,Dot pt Char,F5 List Paragraph Char,List Paragraph Char Char Char Char,Indicator Text Char,Numbered Para 1 Char,Bullet 1 Char,Bullet Points Char,List Paragraph2 Char,3 Char"/>
    <w:link w:val="ListParagraph"/>
    <w:uiPriority w:val="34"/>
    <w:qFormat/>
    <w:locked/>
    <w:rsid w:val="004F6839"/>
    <w:rPr>
      <w:rFonts w:ascii="Times New Roman" w:eastAsia="Times New Roman" w:hAnsi="Times New Roman" w:cs="Times New Roman"/>
      <w:kern w:val="0"/>
      <w:sz w:val="24"/>
      <w:szCs w:val="24"/>
      <w14:ligatures w14:val="none"/>
    </w:rPr>
  </w:style>
  <w:style w:type="paragraph" w:styleId="NoSpacing">
    <w:name w:val="No Spacing"/>
    <w:uiPriority w:val="1"/>
    <w:qFormat/>
    <w:rsid w:val="004F6839"/>
    <w:pPr>
      <w:widowControl w:val="0"/>
      <w:autoSpaceDE w:val="0"/>
      <w:autoSpaceDN w:val="0"/>
      <w:adjustRightInd w:val="0"/>
      <w:spacing w:after="0" w:line="240" w:lineRule="auto"/>
    </w:pPr>
    <w:rPr>
      <w:rFonts w:ascii="Times" w:eastAsia="Times New Roman" w:hAnsi="Times" w:cs="Times New Roman"/>
      <w:kern w:val="0"/>
      <w:sz w:val="24"/>
      <w:szCs w:val="24"/>
      <w14:ligatures w14:val="none"/>
    </w:rPr>
  </w:style>
  <w:style w:type="paragraph" w:styleId="NormalWeb">
    <w:name w:val="Normal (Web)"/>
    <w:basedOn w:val="Normal"/>
    <w:uiPriority w:val="99"/>
    <w:unhideWhenUsed/>
    <w:rsid w:val="004F6839"/>
    <w:pPr>
      <w:widowControl/>
      <w:autoSpaceDE/>
      <w:autoSpaceDN/>
      <w:adjustRightInd/>
      <w:spacing w:before="100" w:beforeAutospacing="1" w:after="100" w:afterAutospacing="1"/>
    </w:pPr>
    <w:rPr>
      <w:rFonts w:ascii="Times New Roman" w:hAnsi="Times New Roman"/>
    </w:rPr>
  </w:style>
  <w:style w:type="paragraph" w:styleId="FootnoteText">
    <w:name w:val="footnote text"/>
    <w:aliases w:val="Footnote Text Char Char1,Footnote Text Char2 Char1 Char,Footnote Text Char1 Char Char1 Char,Footnote Text Char Char Char Char1 Char,Footnote Text Char Char1 Char1 Char,Footnote Text Char Char Char,Geneva 9,Font: Geneva 9,Boston 10,f,ft,fn"/>
    <w:basedOn w:val="Normal"/>
    <w:link w:val="FootnoteTextChar"/>
    <w:uiPriority w:val="99"/>
    <w:unhideWhenUsed/>
    <w:qFormat/>
    <w:rsid w:val="004F6839"/>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aliases w:val="Footnote Text Char Char1 Char,Footnote Text Char2 Char1 Char Char,Footnote Text Char1 Char Char1 Char Char,Footnote Text Char Char Char Char1 Char Char,Footnote Text Char Char1 Char1 Char Char,Footnote Text Char Char Char Char,f Char"/>
    <w:basedOn w:val="DefaultParagraphFont"/>
    <w:link w:val="FootnoteText"/>
    <w:uiPriority w:val="99"/>
    <w:qFormat/>
    <w:rsid w:val="004F6839"/>
    <w:rPr>
      <w:kern w:val="0"/>
      <w:sz w:val="20"/>
      <w:szCs w:val="20"/>
      <w14:ligatures w14:val="none"/>
    </w:rPr>
  </w:style>
  <w:style w:type="character" w:styleId="FootnoteReference">
    <w:name w:val="footnote reference"/>
    <w:aliases w:val="Footnotes refss,Знак сноски 1,referencia nota al pie,ftref,16 Point,Superscript 6 Point,Superscript 6 Point + 11 pt,BVI fnr,FC,Fußnotenzeichen DISS,Comment Text Char1,Footnote Reference1,Referência a notas de rodapé,Ref, BVI fnr,R,fr"/>
    <w:basedOn w:val="DefaultParagraphFont"/>
    <w:link w:val="referencianotaalpieChar"/>
    <w:uiPriority w:val="99"/>
    <w:unhideWhenUsed/>
    <w:qFormat/>
    <w:rsid w:val="004F6839"/>
    <w:rPr>
      <w:vertAlign w:val="superscript"/>
    </w:rPr>
  </w:style>
  <w:style w:type="table" w:styleId="TableGrid">
    <w:name w:val="Table Grid"/>
    <w:basedOn w:val="TableNormal"/>
    <w:uiPriority w:val="39"/>
    <w:qFormat/>
    <w:rsid w:val="004F68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839"/>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F6839"/>
    <w:rPr>
      <w:kern w:val="0"/>
      <w14:ligatures w14:val="none"/>
    </w:rPr>
  </w:style>
  <w:style w:type="paragraph" w:styleId="Footer">
    <w:name w:val="footer"/>
    <w:basedOn w:val="Normal"/>
    <w:link w:val="FooterChar"/>
    <w:uiPriority w:val="99"/>
    <w:unhideWhenUsed/>
    <w:rsid w:val="004F6839"/>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F6839"/>
    <w:rPr>
      <w:kern w:val="0"/>
      <w14:ligatures w14:val="none"/>
    </w:rPr>
  </w:style>
  <w:style w:type="character" w:styleId="Hyperlink">
    <w:name w:val="Hyperlink"/>
    <w:uiPriority w:val="99"/>
    <w:rsid w:val="004F6839"/>
    <w:rPr>
      <w:color w:val="0000FF"/>
      <w:u w:val="single"/>
    </w:rPr>
  </w:style>
  <w:style w:type="paragraph" w:customStyle="1" w:styleId="referencianotaalpieChar">
    <w:name w:val="referencia nota al pie Char"/>
    <w:aliases w:val="BVI fnr Char,BVI fnr Car Car Char,BVI fnr Car Char,BVI fnr Car Car Car Car Char Char,BVI fnr Char Char Char Char,BVI fnr Car Car Char Char Char Char,BVI fnr Car Car Car Car Char Char Char Char Char Char Char Char Char"/>
    <w:basedOn w:val="Normal"/>
    <w:link w:val="FootnoteReference"/>
    <w:uiPriority w:val="99"/>
    <w:rsid w:val="004F6839"/>
    <w:pPr>
      <w:widowControl/>
      <w:autoSpaceDE/>
      <w:autoSpaceDN/>
      <w:adjustRightInd/>
      <w:spacing w:after="160" w:line="240" w:lineRule="exact"/>
    </w:pPr>
    <w:rPr>
      <w:rFonts w:asciiTheme="minorHAnsi" w:eastAsiaTheme="minorHAnsi" w:hAnsiTheme="minorHAnsi" w:cstheme="minorBidi"/>
      <w:kern w:val="2"/>
      <w:sz w:val="22"/>
      <w:szCs w:val="22"/>
      <w:vertAlign w:val="superscript"/>
      <w14:ligatures w14:val="standardContextual"/>
    </w:rPr>
  </w:style>
  <w:style w:type="character" w:styleId="UnresolvedMention">
    <w:name w:val="Unresolved Mention"/>
    <w:basedOn w:val="DefaultParagraphFont"/>
    <w:uiPriority w:val="99"/>
    <w:semiHidden/>
    <w:unhideWhenUsed/>
    <w:rsid w:val="004F6839"/>
    <w:rPr>
      <w:color w:val="605E5C"/>
      <w:shd w:val="clear" w:color="auto" w:fill="E1DFDD"/>
    </w:rPr>
  </w:style>
  <w:style w:type="paragraph" w:styleId="Revision">
    <w:name w:val="Revision"/>
    <w:hidden/>
    <w:uiPriority w:val="99"/>
    <w:semiHidden/>
    <w:rsid w:val="004F6839"/>
    <w:pPr>
      <w:spacing w:after="0" w:line="240" w:lineRule="auto"/>
    </w:pPr>
    <w:rPr>
      <w:kern w:val="0"/>
      <w14:ligatures w14:val="none"/>
    </w:rPr>
  </w:style>
  <w:style w:type="character" w:customStyle="1" w:styleId="Heading1Char">
    <w:name w:val="Heading 1 Char"/>
    <w:basedOn w:val="DefaultParagraphFont"/>
    <w:link w:val="Heading1"/>
    <w:uiPriority w:val="9"/>
    <w:rsid w:val="009001ED"/>
    <w:rPr>
      <w:rFonts w:ascii="Times New Roman" w:eastAsia="Times New Roman" w:hAnsi="Times New Roman" w:cs="Times New Roman"/>
      <w:b/>
      <w:bCs/>
      <w:kern w:val="36"/>
      <w:sz w:val="28"/>
      <w:szCs w:val="48"/>
      <w:u w:val="single"/>
      <w14:ligatures w14:val="none"/>
    </w:rPr>
  </w:style>
  <w:style w:type="character" w:styleId="CommentReference">
    <w:name w:val="annotation reference"/>
    <w:basedOn w:val="DefaultParagraphFont"/>
    <w:uiPriority w:val="99"/>
    <w:semiHidden/>
    <w:unhideWhenUsed/>
    <w:rsid w:val="006E73B9"/>
    <w:rPr>
      <w:sz w:val="16"/>
      <w:szCs w:val="16"/>
    </w:rPr>
  </w:style>
  <w:style w:type="paragraph" w:styleId="CommentText">
    <w:name w:val="annotation text"/>
    <w:basedOn w:val="Normal"/>
    <w:link w:val="CommentTextChar"/>
    <w:uiPriority w:val="99"/>
    <w:unhideWhenUsed/>
    <w:rsid w:val="006E73B9"/>
    <w:rPr>
      <w:sz w:val="20"/>
      <w:szCs w:val="20"/>
    </w:rPr>
  </w:style>
  <w:style w:type="character" w:customStyle="1" w:styleId="CommentTextChar">
    <w:name w:val="Comment Text Char"/>
    <w:basedOn w:val="DefaultParagraphFont"/>
    <w:link w:val="CommentText"/>
    <w:uiPriority w:val="99"/>
    <w:rsid w:val="006E73B9"/>
    <w:rPr>
      <w:rFonts w:ascii="Times" w:eastAsia="Times New Roman" w:hAnsi="Times"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E73B9"/>
    <w:rPr>
      <w:b/>
      <w:bCs/>
    </w:rPr>
  </w:style>
  <w:style w:type="character" w:customStyle="1" w:styleId="CommentSubjectChar">
    <w:name w:val="Comment Subject Char"/>
    <w:basedOn w:val="CommentTextChar"/>
    <w:link w:val="CommentSubject"/>
    <w:uiPriority w:val="99"/>
    <w:semiHidden/>
    <w:rsid w:val="006E73B9"/>
    <w:rPr>
      <w:rFonts w:ascii="Times" w:eastAsia="Times New Roman" w:hAnsi="Times" w:cs="Times New Roman"/>
      <w:b/>
      <w:bCs/>
      <w:kern w:val="0"/>
      <w:sz w:val="20"/>
      <w:szCs w:val="20"/>
      <w14:ligatures w14:val="none"/>
    </w:rPr>
  </w:style>
  <w:style w:type="character" w:customStyle="1" w:styleId="Heading2Char">
    <w:name w:val="Heading 2 Char"/>
    <w:basedOn w:val="DefaultParagraphFont"/>
    <w:link w:val="Heading2"/>
    <w:uiPriority w:val="9"/>
    <w:rsid w:val="00A95AA7"/>
    <w:rPr>
      <w:rFonts w:ascii="Times New Roman" w:eastAsia="Times New Roman" w:hAnsi="Times New Roman" w:cs="Times New Roman"/>
      <w:b/>
      <w:kern w:val="0"/>
      <w:u w:val="single"/>
      <w14:ligatures w14:val="none"/>
    </w:rPr>
  </w:style>
  <w:style w:type="character" w:customStyle="1" w:styleId="Heading3Char">
    <w:name w:val="Heading 3 Char"/>
    <w:basedOn w:val="DefaultParagraphFont"/>
    <w:link w:val="Heading3"/>
    <w:uiPriority w:val="9"/>
    <w:rsid w:val="002E5834"/>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F904B3"/>
    <w:rPr>
      <w:rFonts w:asciiTheme="majorHAnsi" w:eastAsiaTheme="majorEastAsia" w:hAnsiTheme="majorHAnsi" w:cstheme="majorBidi"/>
      <w:i/>
      <w:iCs/>
      <w:color w:val="2F5496" w:themeColor="accent1" w:themeShade="BF"/>
      <w:kern w:val="0"/>
      <w:sz w:val="24"/>
      <w:szCs w:val="24"/>
      <w14:ligatures w14:val="none"/>
    </w:rPr>
  </w:style>
  <w:style w:type="character" w:styleId="Strong">
    <w:name w:val="Strong"/>
    <w:basedOn w:val="DefaultParagraphFont"/>
    <w:uiPriority w:val="22"/>
    <w:qFormat/>
    <w:rsid w:val="004F5C36"/>
    <w:rPr>
      <w:b/>
      <w:bCs/>
    </w:rPr>
  </w:style>
  <w:style w:type="character" w:styleId="IntenseEmphasis">
    <w:name w:val="Intense Emphasis"/>
    <w:basedOn w:val="DefaultParagraphFont"/>
    <w:uiPriority w:val="21"/>
    <w:qFormat/>
    <w:rsid w:val="00D1590B"/>
    <w:rPr>
      <w:i/>
      <w:iCs/>
      <w:color w:val="4472C4" w:themeColor="accent1"/>
    </w:rPr>
  </w:style>
  <w:style w:type="character" w:styleId="Emphasis">
    <w:name w:val="Emphasis"/>
    <w:basedOn w:val="DefaultParagraphFont"/>
    <w:uiPriority w:val="20"/>
    <w:qFormat/>
    <w:rsid w:val="00D1590B"/>
    <w:rPr>
      <w:i/>
      <w:iCs/>
    </w:rPr>
  </w:style>
  <w:style w:type="character" w:styleId="SubtleEmphasis">
    <w:name w:val="Subtle Emphasis"/>
    <w:basedOn w:val="DefaultParagraphFont"/>
    <w:uiPriority w:val="19"/>
    <w:qFormat/>
    <w:rsid w:val="00D1590B"/>
    <w:rPr>
      <w:i/>
      <w:iCs/>
      <w:color w:val="404040" w:themeColor="text1" w:themeTint="BF"/>
    </w:rPr>
  </w:style>
  <w:style w:type="character" w:styleId="Mention">
    <w:name w:val="Mention"/>
    <w:basedOn w:val="DefaultParagraphFont"/>
    <w:uiPriority w:val="99"/>
    <w:unhideWhenUsed/>
    <w:rsid w:val="00862D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3879">
      <w:bodyDiv w:val="1"/>
      <w:marLeft w:val="0"/>
      <w:marRight w:val="0"/>
      <w:marTop w:val="0"/>
      <w:marBottom w:val="0"/>
      <w:divBdr>
        <w:top w:val="none" w:sz="0" w:space="0" w:color="auto"/>
        <w:left w:val="none" w:sz="0" w:space="0" w:color="auto"/>
        <w:bottom w:val="none" w:sz="0" w:space="0" w:color="auto"/>
        <w:right w:val="none" w:sz="0" w:space="0" w:color="auto"/>
      </w:divBdr>
    </w:div>
    <w:div w:id="102388952">
      <w:bodyDiv w:val="1"/>
      <w:marLeft w:val="0"/>
      <w:marRight w:val="0"/>
      <w:marTop w:val="0"/>
      <w:marBottom w:val="0"/>
      <w:divBdr>
        <w:top w:val="none" w:sz="0" w:space="0" w:color="auto"/>
        <w:left w:val="none" w:sz="0" w:space="0" w:color="auto"/>
        <w:bottom w:val="none" w:sz="0" w:space="0" w:color="auto"/>
        <w:right w:val="none" w:sz="0" w:space="0" w:color="auto"/>
      </w:divBdr>
    </w:div>
    <w:div w:id="207298139">
      <w:bodyDiv w:val="1"/>
      <w:marLeft w:val="0"/>
      <w:marRight w:val="0"/>
      <w:marTop w:val="0"/>
      <w:marBottom w:val="0"/>
      <w:divBdr>
        <w:top w:val="none" w:sz="0" w:space="0" w:color="auto"/>
        <w:left w:val="none" w:sz="0" w:space="0" w:color="auto"/>
        <w:bottom w:val="none" w:sz="0" w:space="0" w:color="auto"/>
        <w:right w:val="none" w:sz="0" w:space="0" w:color="auto"/>
      </w:divBdr>
    </w:div>
    <w:div w:id="300841128">
      <w:bodyDiv w:val="1"/>
      <w:marLeft w:val="0"/>
      <w:marRight w:val="0"/>
      <w:marTop w:val="0"/>
      <w:marBottom w:val="0"/>
      <w:divBdr>
        <w:top w:val="none" w:sz="0" w:space="0" w:color="auto"/>
        <w:left w:val="none" w:sz="0" w:space="0" w:color="auto"/>
        <w:bottom w:val="none" w:sz="0" w:space="0" w:color="auto"/>
        <w:right w:val="none" w:sz="0" w:space="0" w:color="auto"/>
      </w:divBdr>
    </w:div>
    <w:div w:id="368410193">
      <w:bodyDiv w:val="1"/>
      <w:marLeft w:val="0"/>
      <w:marRight w:val="0"/>
      <w:marTop w:val="0"/>
      <w:marBottom w:val="0"/>
      <w:divBdr>
        <w:top w:val="none" w:sz="0" w:space="0" w:color="auto"/>
        <w:left w:val="none" w:sz="0" w:space="0" w:color="auto"/>
        <w:bottom w:val="none" w:sz="0" w:space="0" w:color="auto"/>
        <w:right w:val="none" w:sz="0" w:space="0" w:color="auto"/>
      </w:divBdr>
    </w:div>
    <w:div w:id="383214216">
      <w:bodyDiv w:val="1"/>
      <w:marLeft w:val="0"/>
      <w:marRight w:val="0"/>
      <w:marTop w:val="0"/>
      <w:marBottom w:val="0"/>
      <w:divBdr>
        <w:top w:val="none" w:sz="0" w:space="0" w:color="auto"/>
        <w:left w:val="none" w:sz="0" w:space="0" w:color="auto"/>
        <w:bottom w:val="none" w:sz="0" w:space="0" w:color="auto"/>
        <w:right w:val="none" w:sz="0" w:space="0" w:color="auto"/>
      </w:divBdr>
    </w:div>
    <w:div w:id="511144463">
      <w:bodyDiv w:val="1"/>
      <w:marLeft w:val="0"/>
      <w:marRight w:val="0"/>
      <w:marTop w:val="0"/>
      <w:marBottom w:val="0"/>
      <w:divBdr>
        <w:top w:val="none" w:sz="0" w:space="0" w:color="auto"/>
        <w:left w:val="none" w:sz="0" w:space="0" w:color="auto"/>
        <w:bottom w:val="none" w:sz="0" w:space="0" w:color="auto"/>
        <w:right w:val="none" w:sz="0" w:space="0" w:color="auto"/>
      </w:divBdr>
    </w:div>
    <w:div w:id="639849904">
      <w:bodyDiv w:val="1"/>
      <w:marLeft w:val="0"/>
      <w:marRight w:val="0"/>
      <w:marTop w:val="0"/>
      <w:marBottom w:val="0"/>
      <w:divBdr>
        <w:top w:val="none" w:sz="0" w:space="0" w:color="auto"/>
        <w:left w:val="none" w:sz="0" w:space="0" w:color="auto"/>
        <w:bottom w:val="none" w:sz="0" w:space="0" w:color="auto"/>
        <w:right w:val="none" w:sz="0" w:space="0" w:color="auto"/>
      </w:divBdr>
    </w:div>
    <w:div w:id="668676493">
      <w:bodyDiv w:val="1"/>
      <w:marLeft w:val="0"/>
      <w:marRight w:val="0"/>
      <w:marTop w:val="0"/>
      <w:marBottom w:val="0"/>
      <w:divBdr>
        <w:top w:val="none" w:sz="0" w:space="0" w:color="auto"/>
        <w:left w:val="none" w:sz="0" w:space="0" w:color="auto"/>
        <w:bottom w:val="none" w:sz="0" w:space="0" w:color="auto"/>
        <w:right w:val="none" w:sz="0" w:space="0" w:color="auto"/>
      </w:divBdr>
    </w:div>
    <w:div w:id="812482005">
      <w:bodyDiv w:val="1"/>
      <w:marLeft w:val="0"/>
      <w:marRight w:val="0"/>
      <w:marTop w:val="0"/>
      <w:marBottom w:val="0"/>
      <w:divBdr>
        <w:top w:val="none" w:sz="0" w:space="0" w:color="auto"/>
        <w:left w:val="none" w:sz="0" w:space="0" w:color="auto"/>
        <w:bottom w:val="none" w:sz="0" w:space="0" w:color="auto"/>
        <w:right w:val="none" w:sz="0" w:space="0" w:color="auto"/>
      </w:divBdr>
      <w:divsChild>
        <w:div w:id="1140996088">
          <w:marLeft w:val="0"/>
          <w:marRight w:val="0"/>
          <w:marTop w:val="0"/>
          <w:marBottom w:val="0"/>
          <w:divBdr>
            <w:top w:val="none" w:sz="0" w:space="0" w:color="auto"/>
            <w:left w:val="none" w:sz="0" w:space="0" w:color="auto"/>
            <w:bottom w:val="none" w:sz="0" w:space="0" w:color="auto"/>
            <w:right w:val="none" w:sz="0" w:space="0" w:color="auto"/>
          </w:divBdr>
          <w:divsChild>
            <w:div w:id="13801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2504">
      <w:bodyDiv w:val="1"/>
      <w:marLeft w:val="0"/>
      <w:marRight w:val="0"/>
      <w:marTop w:val="0"/>
      <w:marBottom w:val="0"/>
      <w:divBdr>
        <w:top w:val="none" w:sz="0" w:space="0" w:color="auto"/>
        <w:left w:val="none" w:sz="0" w:space="0" w:color="auto"/>
        <w:bottom w:val="none" w:sz="0" w:space="0" w:color="auto"/>
        <w:right w:val="none" w:sz="0" w:space="0" w:color="auto"/>
      </w:divBdr>
    </w:div>
    <w:div w:id="918952598">
      <w:bodyDiv w:val="1"/>
      <w:marLeft w:val="0"/>
      <w:marRight w:val="0"/>
      <w:marTop w:val="0"/>
      <w:marBottom w:val="0"/>
      <w:divBdr>
        <w:top w:val="none" w:sz="0" w:space="0" w:color="auto"/>
        <w:left w:val="none" w:sz="0" w:space="0" w:color="auto"/>
        <w:bottom w:val="none" w:sz="0" w:space="0" w:color="auto"/>
        <w:right w:val="none" w:sz="0" w:space="0" w:color="auto"/>
      </w:divBdr>
    </w:div>
    <w:div w:id="949434227">
      <w:bodyDiv w:val="1"/>
      <w:marLeft w:val="0"/>
      <w:marRight w:val="0"/>
      <w:marTop w:val="0"/>
      <w:marBottom w:val="0"/>
      <w:divBdr>
        <w:top w:val="none" w:sz="0" w:space="0" w:color="auto"/>
        <w:left w:val="none" w:sz="0" w:space="0" w:color="auto"/>
        <w:bottom w:val="none" w:sz="0" w:space="0" w:color="auto"/>
        <w:right w:val="none" w:sz="0" w:space="0" w:color="auto"/>
      </w:divBdr>
    </w:div>
    <w:div w:id="965936430">
      <w:bodyDiv w:val="1"/>
      <w:marLeft w:val="0"/>
      <w:marRight w:val="0"/>
      <w:marTop w:val="0"/>
      <w:marBottom w:val="0"/>
      <w:divBdr>
        <w:top w:val="none" w:sz="0" w:space="0" w:color="auto"/>
        <w:left w:val="none" w:sz="0" w:space="0" w:color="auto"/>
        <w:bottom w:val="none" w:sz="0" w:space="0" w:color="auto"/>
        <w:right w:val="none" w:sz="0" w:space="0" w:color="auto"/>
      </w:divBdr>
    </w:div>
    <w:div w:id="988479819">
      <w:bodyDiv w:val="1"/>
      <w:marLeft w:val="0"/>
      <w:marRight w:val="0"/>
      <w:marTop w:val="0"/>
      <w:marBottom w:val="0"/>
      <w:divBdr>
        <w:top w:val="none" w:sz="0" w:space="0" w:color="auto"/>
        <w:left w:val="none" w:sz="0" w:space="0" w:color="auto"/>
        <w:bottom w:val="none" w:sz="0" w:space="0" w:color="auto"/>
        <w:right w:val="none" w:sz="0" w:space="0" w:color="auto"/>
      </w:divBdr>
    </w:div>
    <w:div w:id="1142581151">
      <w:bodyDiv w:val="1"/>
      <w:marLeft w:val="0"/>
      <w:marRight w:val="0"/>
      <w:marTop w:val="0"/>
      <w:marBottom w:val="0"/>
      <w:divBdr>
        <w:top w:val="none" w:sz="0" w:space="0" w:color="auto"/>
        <w:left w:val="none" w:sz="0" w:space="0" w:color="auto"/>
        <w:bottom w:val="none" w:sz="0" w:space="0" w:color="auto"/>
        <w:right w:val="none" w:sz="0" w:space="0" w:color="auto"/>
      </w:divBdr>
    </w:div>
    <w:div w:id="1268807448">
      <w:bodyDiv w:val="1"/>
      <w:marLeft w:val="0"/>
      <w:marRight w:val="0"/>
      <w:marTop w:val="0"/>
      <w:marBottom w:val="0"/>
      <w:divBdr>
        <w:top w:val="none" w:sz="0" w:space="0" w:color="auto"/>
        <w:left w:val="none" w:sz="0" w:space="0" w:color="auto"/>
        <w:bottom w:val="none" w:sz="0" w:space="0" w:color="auto"/>
        <w:right w:val="none" w:sz="0" w:space="0" w:color="auto"/>
      </w:divBdr>
    </w:div>
    <w:div w:id="1283072861">
      <w:bodyDiv w:val="1"/>
      <w:marLeft w:val="0"/>
      <w:marRight w:val="0"/>
      <w:marTop w:val="0"/>
      <w:marBottom w:val="0"/>
      <w:divBdr>
        <w:top w:val="none" w:sz="0" w:space="0" w:color="auto"/>
        <w:left w:val="none" w:sz="0" w:space="0" w:color="auto"/>
        <w:bottom w:val="none" w:sz="0" w:space="0" w:color="auto"/>
        <w:right w:val="none" w:sz="0" w:space="0" w:color="auto"/>
      </w:divBdr>
    </w:div>
    <w:div w:id="1288656700">
      <w:bodyDiv w:val="1"/>
      <w:marLeft w:val="0"/>
      <w:marRight w:val="0"/>
      <w:marTop w:val="0"/>
      <w:marBottom w:val="0"/>
      <w:divBdr>
        <w:top w:val="none" w:sz="0" w:space="0" w:color="auto"/>
        <w:left w:val="none" w:sz="0" w:space="0" w:color="auto"/>
        <w:bottom w:val="none" w:sz="0" w:space="0" w:color="auto"/>
        <w:right w:val="none" w:sz="0" w:space="0" w:color="auto"/>
      </w:divBdr>
    </w:div>
    <w:div w:id="1488477988">
      <w:bodyDiv w:val="1"/>
      <w:marLeft w:val="0"/>
      <w:marRight w:val="0"/>
      <w:marTop w:val="0"/>
      <w:marBottom w:val="0"/>
      <w:divBdr>
        <w:top w:val="none" w:sz="0" w:space="0" w:color="auto"/>
        <w:left w:val="none" w:sz="0" w:space="0" w:color="auto"/>
        <w:bottom w:val="none" w:sz="0" w:space="0" w:color="auto"/>
        <w:right w:val="none" w:sz="0" w:space="0" w:color="auto"/>
      </w:divBdr>
    </w:div>
    <w:div w:id="1489318792">
      <w:bodyDiv w:val="1"/>
      <w:marLeft w:val="0"/>
      <w:marRight w:val="0"/>
      <w:marTop w:val="0"/>
      <w:marBottom w:val="0"/>
      <w:divBdr>
        <w:top w:val="none" w:sz="0" w:space="0" w:color="auto"/>
        <w:left w:val="none" w:sz="0" w:space="0" w:color="auto"/>
        <w:bottom w:val="none" w:sz="0" w:space="0" w:color="auto"/>
        <w:right w:val="none" w:sz="0" w:space="0" w:color="auto"/>
      </w:divBdr>
    </w:div>
    <w:div w:id="1534414805">
      <w:bodyDiv w:val="1"/>
      <w:marLeft w:val="0"/>
      <w:marRight w:val="0"/>
      <w:marTop w:val="0"/>
      <w:marBottom w:val="0"/>
      <w:divBdr>
        <w:top w:val="none" w:sz="0" w:space="0" w:color="auto"/>
        <w:left w:val="none" w:sz="0" w:space="0" w:color="auto"/>
        <w:bottom w:val="none" w:sz="0" w:space="0" w:color="auto"/>
        <w:right w:val="none" w:sz="0" w:space="0" w:color="auto"/>
      </w:divBdr>
    </w:div>
    <w:div w:id="1621298670">
      <w:bodyDiv w:val="1"/>
      <w:marLeft w:val="0"/>
      <w:marRight w:val="0"/>
      <w:marTop w:val="0"/>
      <w:marBottom w:val="0"/>
      <w:divBdr>
        <w:top w:val="none" w:sz="0" w:space="0" w:color="auto"/>
        <w:left w:val="none" w:sz="0" w:space="0" w:color="auto"/>
        <w:bottom w:val="none" w:sz="0" w:space="0" w:color="auto"/>
        <w:right w:val="none" w:sz="0" w:space="0" w:color="auto"/>
      </w:divBdr>
    </w:div>
    <w:div w:id="1877817281">
      <w:bodyDiv w:val="1"/>
      <w:marLeft w:val="0"/>
      <w:marRight w:val="0"/>
      <w:marTop w:val="0"/>
      <w:marBottom w:val="0"/>
      <w:divBdr>
        <w:top w:val="none" w:sz="0" w:space="0" w:color="auto"/>
        <w:left w:val="none" w:sz="0" w:space="0" w:color="auto"/>
        <w:bottom w:val="none" w:sz="0" w:space="0" w:color="auto"/>
        <w:right w:val="none" w:sz="0" w:space="0" w:color="auto"/>
      </w:divBdr>
      <w:divsChild>
        <w:div w:id="1919509967">
          <w:marLeft w:val="0"/>
          <w:marRight w:val="0"/>
          <w:marTop w:val="0"/>
          <w:marBottom w:val="0"/>
          <w:divBdr>
            <w:top w:val="none" w:sz="0" w:space="0" w:color="auto"/>
            <w:left w:val="none" w:sz="0" w:space="0" w:color="auto"/>
            <w:bottom w:val="none" w:sz="0" w:space="0" w:color="auto"/>
            <w:right w:val="none" w:sz="0" w:space="0" w:color="auto"/>
          </w:divBdr>
          <w:divsChild>
            <w:div w:id="74071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giz.de/en/worldwide/117776.html" TargetMode="External"/><Relationship Id="rId2" Type="http://schemas.openxmlformats.org/officeDocument/2006/relationships/hyperlink" Target="https://www.ccreee.org/wp-content/uploads/2020/06/regional_electric_vehicle_strategy_revs_framework.pdf" TargetMode="External"/><Relationship Id="rId1" Type="http://schemas.openxmlformats.org/officeDocument/2006/relationships/hyperlink" Target="https://www.ccreee.org/wp-content/uploads/2020/08/ccreee_brief_future_of_emobility_final.pdf"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DE1040-124F-4089-ACF8-ED412815D1F8}" type="doc">
      <dgm:prSet loTypeId="urn:microsoft.com/office/officeart/2005/8/layout/equation2" loCatId="process" qsTypeId="urn:microsoft.com/office/officeart/2005/8/quickstyle/simple1" qsCatId="simple" csTypeId="urn:microsoft.com/office/officeart/2005/8/colors/colorful2" csCatId="colorful" phldr="1"/>
      <dgm:spPr/>
      <dgm:t>
        <a:bodyPr/>
        <a:lstStyle/>
        <a:p>
          <a:endParaRPr lang="en-BB"/>
        </a:p>
      </dgm:t>
    </dgm:pt>
    <dgm:pt modelId="{381A607D-F307-4381-8320-9EF23DFC51B4}">
      <dgm:prSet phldrT="[Text]"/>
      <dgm:spPr/>
      <dgm:t>
        <a:bodyPr/>
        <a:lstStyle/>
        <a:p>
          <a:r>
            <a:rPr lang="en-US"/>
            <a:t>CDB (Own Funds)</a:t>
          </a:r>
          <a:endParaRPr lang="en-BB"/>
        </a:p>
      </dgm:t>
    </dgm:pt>
    <dgm:pt modelId="{E0099CC1-3CB5-4DCA-A522-5B8315141F9C}" type="parTrans" cxnId="{575AC05C-3B9F-4E4A-8231-67FD368BB972}">
      <dgm:prSet/>
      <dgm:spPr/>
      <dgm:t>
        <a:bodyPr/>
        <a:lstStyle/>
        <a:p>
          <a:endParaRPr lang="en-BB"/>
        </a:p>
      </dgm:t>
    </dgm:pt>
    <dgm:pt modelId="{1BF6AB90-0CA4-4C8F-B62C-8BC89307A7A1}" type="sibTrans" cxnId="{575AC05C-3B9F-4E4A-8231-67FD368BB972}">
      <dgm:prSet/>
      <dgm:spPr/>
      <dgm:t>
        <a:bodyPr/>
        <a:lstStyle/>
        <a:p>
          <a:endParaRPr lang="en-BB"/>
        </a:p>
      </dgm:t>
    </dgm:pt>
    <dgm:pt modelId="{E4087E76-DAF1-4500-A564-A2E6297F6C95}">
      <dgm:prSet phldrT="[Text]"/>
      <dgm:spPr/>
      <dgm:t>
        <a:bodyPr/>
        <a:lstStyle/>
        <a:p>
          <a:r>
            <a:rPr lang="en-US"/>
            <a:t>GCF (Private Sector Facility)</a:t>
          </a:r>
          <a:endParaRPr lang="en-BB"/>
        </a:p>
      </dgm:t>
    </dgm:pt>
    <dgm:pt modelId="{768DB175-1433-43C1-B147-4A079216CC21}" type="parTrans" cxnId="{D471EB22-C83F-432C-986A-4F729BB96DFC}">
      <dgm:prSet/>
      <dgm:spPr/>
      <dgm:t>
        <a:bodyPr/>
        <a:lstStyle/>
        <a:p>
          <a:endParaRPr lang="en-BB"/>
        </a:p>
      </dgm:t>
    </dgm:pt>
    <dgm:pt modelId="{79C3B343-EC02-42A8-95BB-9D0FC67C404A}" type="sibTrans" cxnId="{D471EB22-C83F-432C-986A-4F729BB96DFC}">
      <dgm:prSet/>
      <dgm:spPr/>
      <dgm:t>
        <a:bodyPr/>
        <a:lstStyle/>
        <a:p>
          <a:endParaRPr lang="en-BB"/>
        </a:p>
      </dgm:t>
    </dgm:pt>
    <dgm:pt modelId="{A3BF633C-C17F-49AA-8335-C6EB462B50FB}">
      <dgm:prSet phldrT="[Text]"/>
      <dgm:spPr/>
      <dgm:t>
        <a:bodyPr>
          <a:scene3d>
            <a:camera prst="orthographicFront"/>
            <a:lightRig rig="harsh" dir="t"/>
          </a:scene3d>
          <a:sp3d extrusionH="57150" prstMaterial="matte">
            <a:bevelT w="63500" h="12700" prst="angle"/>
            <a:contourClr>
              <a:schemeClr val="bg1">
                <a:lumMod val="65000"/>
              </a:schemeClr>
            </a:contourClr>
          </a:sp3d>
        </a:bodyPr>
        <a:lstStyle/>
        <a:p>
          <a:r>
            <a:rPr lang="en-JM" b="1" cap="none" spc="0">
              <a:ln/>
              <a:effectLst/>
            </a:rPr>
            <a:t>Caribbean E-Mobility Fund </a:t>
          </a:r>
        </a:p>
        <a:p>
          <a:r>
            <a:rPr lang="en-JM" b="1" cap="none" spc="0">
              <a:ln/>
              <a:effectLst/>
            </a:rPr>
            <a:t>US$150Mn </a:t>
          </a:r>
          <a:endParaRPr lang="en-BB" b="1" cap="none" spc="0">
            <a:ln/>
            <a:effectLst/>
          </a:endParaRPr>
        </a:p>
      </dgm:t>
    </dgm:pt>
    <dgm:pt modelId="{BBD279CC-D81A-4824-8AFE-8A70D4AFF15F}" type="parTrans" cxnId="{7ED656E9-75A7-4462-92BA-C361E8C66169}">
      <dgm:prSet/>
      <dgm:spPr/>
      <dgm:t>
        <a:bodyPr/>
        <a:lstStyle/>
        <a:p>
          <a:endParaRPr lang="en-BB"/>
        </a:p>
      </dgm:t>
    </dgm:pt>
    <dgm:pt modelId="{93CC74D5-810D-4EBD-B319-0F3252BFA692}" type="sibTrans" cxnId="{7ED656E9-75A7-4462-92BA-C361E8C66169}">
      <dgm:prSet/>
      <dgm:spPr/>
      <dgm:t>
        <a:bodyPr/>
        <a:lstStyle/>
        <a:p>
          <a:endParaRPr lang="en-BB"/>
        </a:p>
      </dgm:t>
    </dgm:pt>
    <dgm:pt modelId="{04F14A36-75E6-4F89-BD34-B9BF90AD886C}">
      <dgm:prSet phldrT="[Text]"/>
      <dgm:spPr>
        <a:solidFill>
          <a:schemeClr val="accent1">
            <a:lumMod val="60000"/>
            <a:lumOff val="40000"/>
          </a:schemeClr>
        </a:solidFill>
      </dgm:spPr>
      <dgm:t>
        <a:bodyPr/>
        <a:lstStyle/>
        <a:p>
          <a:r>
            <a:rPr lang="en-US"/>
            <a:t>DFIs, Development Partners and Private Capital </a:t>
          </a:r>
          <a:endParaRPr lang="en-BB"/>
        </a:p>
      </dgm:t>
    </dgm:pt>
    <dgm:pt modelId="{E8E9DE9A-7405-41DF-BFB5-F58D8F8DB27B}" type="parTrans" cxnId="{C805287D-B78B-4E59-84B6-3B7F02C8617D}">
      <dgm:prSet/>
      <dgm:spPr/>
      <dgm:t>
        <a:bodyPr/>
        <a:lstStyle/>
        <a:p>
          <a:endParaRPr lang="en-BB"/>
        </a:p>
      </dgm:t>
    </dgm:pt>
    <dgm:pt modelId="{AA30AFD0-D015-4294-A972-5C1A2C461C8A}" type="sibTrans" cxnId="{C805287D-B78B-4E59-84B6-3B7F02C8617D}">
      <dgm:prSet/>
      <dgm:spPr/>
      <dgm:t>
        <a:bodyPr/>
        <a:lstStyle/>
        <a:p>
          <a:endParaRPr lang="en-BB"/>
        </a:p>
      </dgm:t>
    </dgm:pt>
    <dgm:pt modelId="{E86F0065-297A-4D4A-87E1-09D680D3A6F2}" type="pres">
      <dgm:prSet presAssocID="{B4DE1040-124F-4089-ACF8-ED412815D1F8}" presName="Name0" presStyleCnt="0">
        <dgm:presLayoutVars>
          <dgm:dir/>
          <dgm:resizeHandles val="exact"/>
        </dgm:presLayoutVars>
      </dgm:prSet>
      <dgm:spPr/>
    </dgm:pt>
    <dgm:pt modelId="{FA3C1F2E-9335-4E6D-8878-849C36CA4A64}" type="pres">
      <dgm:prSet presAssocID="{B4DE1040-124F-4089-ACF8-ED412815D1F8}" presName="vNodes" presStyleCnt="0"/>
      <dgm:spPr/>
    </dgm:pt>
    <dgm:pt modelId="{377F1CFB-42D5-44E9-BDE3-5ABD5E8A13E9}" type="pres">
      <dgm:prSet presAssocID="{381A607D-F307-4381-8320-9EF23DFC51B4}" presName="node" presStyleLbl="node1" presStyleIdx="0" presStyleCnt="4">
        <dgm:presLayoutVars>
          <dgm:bulletEnabled val="1"/>
        </dgm:presLayoutVars>
      </dgm:prSet>
      <dgm:spPr/>
    </dgm:pt>
    <dgm:pt modelId="{01B86120-F1A2-491D-A26E-F82E4158F1F2}" type="pres">
      <dgm:prSet presAssocID="{1BF6AB90-0CA4-4C8F-B62C-8BC89307A7A1}" presName="spacerT" presStyleCnt="0"/>
      <dgm:spPr/>
    </dgm:pt>
    <dgm:pt modelId="{06CB8896-EFC7-4B82-B5BC-5B470614A6D2}" type="pres">
      <dgm:prSet presAssocID="{1BF6AB90-0CA4-4C8F-B62C-8BC89307A7A1}" presName="sibTrans" presStyleLbl="sibTrans2D1" presStyleIdx="0" presStyleCnt="3"/>
      <dgm:spPr/>
    </dgm:pt>
    <dgm:pt modelId="{9EF64B60-39AD-4978-8C5C-77129F4D91CA}" type="pres">
      <dgm:prSet presAssocID="{1BF6AB90-0CA4-4C8F-B62C-8BC89307A7A1}" presName="spacerB" presStyleCnt="0"/>
      <dgm:spPr/>
    </dgm:pt>
    <dgm:pt modelId="{4857EFAE-2B18-401F-BA88-1C67D0D04219}" type="pres">
      <dgm:prSet presAssocID="{E4087E76-DAF1-4500-A564-A2E6297F6C95}" presName="node" presStyleLbl="node1" presStyleIdx="1" presStyleCnt="4">
        <dgm:presLayoutVars>
          <dgm:bulletEnabled val="1"/>
        </dgm:presLayoutVars>
      </dgm:prSet>
      <dgm:spPr/>
    </dgm:pt>
    <dgm:pt modelId="{461DB6F5-9C72-4771-B75C-2C2A0804E074}" type="pres">
      <dgm:prSet presAssocID="{79C3B343-EC02-42A8-95BB-9D0FC67C404A}" presName="spacerT" presStyleCnt="0"/>
      <dgm:spPr/>
    </dgm:pt>
    <dgm:pt modelId="{A3AA0AF9-66C0-4019-96E2-676248DA0907}" type="pres">
      <dgm:prSet presAssocID="{79C3B343-EC02-42A8-95BB-9D0FC67C404A}" presName="sibTrans" presStyleLbl="sibTrans2D1" presStyleIdx="1" presStyleCnt="3"/>
      <dgm:spPr/>
    </dgm:pt>
    <dgm:pt modelId="{9E165006-3443-473B-ACCD-E3595C28D817}" type="pres">
      <dgm:prSet presAssocID="{79C3B343-EC02-42A8-95BB-9D0FC67C404A}" presName="spacerB" presStyleCnt="0"/>
      <dgm:spPr/>
    </dgm:pt>
    <dgm:pt modelId="{831215AF-8109-473F-B7DD-06D9F020C7A4}" type="pres">
      <dgm:prSet presAssocID="{04F14A36-75E6-4F89-BD34-B9BF90AD886C}" presName="node" presStyleLbl="node1" presStyleIdx="2" presStyleCnt="4">
        <dgm:presLayoutVars>
          <dgm:bulletEnabled val="1"/>
        </dgm:presLayoutVars>
      </dgm:prSet>
      <dgm:spPr/>
    </dgm:pt>
    <dgm:pt modelId="{0AB3C8DE-41A2-4243-8686-4D094F138F43}" type="pres">
      <dgm:prSet presAssocID="{B4DE1040-124F-4089-ACF8-ED412815D1F8}" presName="sibTransLast" presStyleLbl="sibTrans2D1" presStyleIdx="2" presStyleCnt="3"/>
      <dgm:spPr/>
    </dgm:pt>
    <dgm:pt modelId="{46615988-8724-4057-8059-04FC2E81F7EB}" type="pres">
      <dgm:prSet presAssocID="{B4DE1040-124F-4089-ACF8-ED412815D1F8}" presName="connectorText" presStyleLbl="sibTrans2D1" presStyleIdx="2" presStyleCnt="3"/>
      <dgm:spPr/>
    </dgm:pt>
    <dgm:pt modelId="{9F06B9A5-4933-4AA9-A431-917AB840E3A7}" type="pres">
      <dgm:prSet presAssocID="{B4DE1040-124F-4089-ACF8-ED412815D1F8}" presName="lastNode" presStyleLbl="node1" presStyleIdx="3" presStyleCnt="4">
        <dgm:presLayoutVars>
          <dgm:bulletEnabled val="1"/>
        </dgm:presLayoutVars>
      </dgm:prSet>
      <dgm:spPr/>
    </dgm:pt>
  </dgm:ptLst>
  <dgm:cxnLst>
    <dgm:cxn modelId="{5D62A20A-D6AA-483D-AFA2-45CF80AC2F9F}" type="presOf" srcId="{79C3B343-EC02-42A8-95BB-9D0FC67C404A}" destId="{A3AA0AF9-66C0-4019-96E2-676248DA0907}" srcOrd="0" destOrd="0" presId="urn:microsoft.com/office/officeart/2005/8/layout/equation2"/>
    <dgm:cxn modelId="{02A2E70C-E227-40E4-85A6-0120637C2C8E}" type="presOf" srcId="{E4087E76-DAF1-4500-A564-A2E6297F6C95}" destId="{4857EFAE-2B18-401F-BA88-1C67D0D04219}" srcOrd="0" destOrd="0" presId="urn:microsoft.com/office/officeart/2005/8/layout/equation2"/>
    <dgm:cxn modelId="{D471EB22-C83F-432C-986A-4F729BB96DFC}" srcId="{B4DE1040-124F-4089-ACF8-ED412815D1F8}" destId="{E4087E76-DAF1-4500-A564-A2E6297F6C95}" srcOrd="1" destOrd="0" parTransId="{768DB175-1433-43C1-B147-4A079216CC21}" sibTransId="{79C3B343-EC02-42A8-95BB-9D0FC67C404A}"/>
    <dgm:cxn modelId="{B32F912A-E753-4F73-AAAF-78687C78C806}" type="presOf" srcId="{381A607D-F307-4381-8320-9EF23DFC51B4}" destId="{377F1CFB-42D5-44E9-BDE3-5ABD5E8A13E9}" srcOrd="0" destOrd="0" presId="urn:microsoft.com/office/officeart/2005/8/layout/equation2"/>
    <dgm:cxn modelId="{9D2CD82E-EB39-4E80-9263-958BEC25993A}" type="presOf" srcId="{04F14A36-75E6-4F89-BD34-B9BF90AD886C}" destId="{831215AF-8109-473F-B7DD-06D9F020C7A4}" srcOrd="0" destOrd="0" presId="urn:microsoft.com/office/officeart/2005/8/layout/equation2"/>
    <dgm:cxn modelId="{C90FDB3A-F0F1-4ED6-8B46-B6155F4F6C64}" type="presOf" srcId="{AA30AFD0-D015-4294-A972-5C1A2C461C8A}" destId="{46615988-8724-4057-8059-04FC2E81F7EB}" srcOrd="1" destOrd="0" presId="urn:microsoft.com/office/officeart/2005/8/layout/equation2"/>
    <dgm:cxn modelId="{575AC05C-3B9F-4E4A-8231-67FD368BB972}" srcId="{B4DE1040-124F-4089-ACF8-ED412815D1F8}" destId="{381A607D-F307-4381-8320-9EF23DFC51B4}" srcOrd="0" destOrd="0" parTransId="{E0099CC1-3CB5-4DCA-A522-5B8315141F9C}" sibTransId="{1BF6AB90-0CA4-4C8F-B62C-8BC89307A7A1}"/>
    <dgm:cxn modelId="{E074DA68-62CA-463A-8220-D2F08856FFFB}" type="presOf" srcId="{1BF6AB90-0CA4-4C8F-B62C-8BC89307A7A1}" destId="{06CB8896-EFC7-4B82-B5BC-5B470614A6D2}" srcOrd="0" destOrd="0" presId="urn:microsoft.com/office/officeart/2005/8/layout/equation2"/>
    <dgm:cxn modelId="{4134EF75-17D4-4ED9-A3FE-C5EB0990A6EE}" type="presOf" srcId="{AA30AFD0-D015-4294-A972-5C1A2C461C8A}" destId="{0AB3C8DE-41A2-4243-8686-4D094F138F43}" srcOrd="0" destOrd="0" presId="urn:microsoft.com/office/officeart/2005/8/layout/equation2"/>
    <dgm:cxn modelId="{C805287D-B78B-4E59-84B6-3B7F02C8617D}" srcId="{B4DE1040-124F-4089-ACF8-ED412815D1F8}" destId="{04F14A36-75E6-4F89-BD34-B9BF90AD886C}" srcOrd="2" destOrd="0" parTransId="{E8E9DE9A-7405-41DF-BFB5-F58D8F8DB27B}" sibTransId="{AA30AFD0-D015-4294-A972-5C1A2C461C8A}"/>
    <dgm:cxn modelId="{2DEBDECC-6D0F-4E5D-8D9C-4EA7F42206C9}" type="presOf" srcId="{B4DE1040-124F-4089-ACF8-ED412815D1F8}" destId="{E86F0065-297A-4D4A-87E1-09D680D3A6F2}" srcOrd="0" destOrd="0" presId="urn:microsoft.com/office/officeart/2005/8/layout/equation2"/>
    <dgm:cxn modelId="{7ED656E9-75A7-4462-92BA-C361E8C66169}" srcId="{B4DE1040-124F-4089-ACF8-ED412815D1F8}" destId="{A3BF633C-C17F-49AA-8335-C6EB462B50FB}" srcOrd="3" destOrd="0" parTransId="{BBD279CC-D81A-4824-8AFE-8A70D4AFF15F}" sibTransId="{93CC74D5-810D-4EBD-B319-0F3252BFA692}"/>
    <dgm:cxn modelId="{9C95FDF7-DF84-4194-AA28-5C0021F17EB1}" type="presOf" srcId="{A3BF633C-C17F-49AA-8335-C6EB462B50FB}" destId="{9F06B9A5-4933-4AA9-A431-917AB840E3A7}" srcOrd="0" destOrd="0" presId="urn:microsoft.com/office/officeart/2005/8/layout/equation2"/>
    <dgm:cxn modelId="{3029E7C0-EE15-45AA-98DA-478CB7E27DF4}" type="presParOf" srcId="{E86F0065-297A-4D4A-87E1-09D680D3A6F2}" destId="{FA3C1F2E-9335-4E6D-8878-849C36CA4A64}" srcOrd="0" destOrd="0" presId="urn:microsoft.com/office/officeart/2005/8/layout/equation2"/>
    <dgm:cxn modelId="{435C3A4D-B0C0-435D-93F6-1E51281D317B}" type="presParOf" srcId="{FA3C1F2E-9335-4E6D-8878-849C36CA4A64}" destId="{377F1CFB-42D5-44E9-BDE3-5ABD5E8A13E9}" srcOrd="0" destOrd="0" presId="urn:microsoft.com/office/officeart/2005/8/layout/equation2"/>
    <dgm:cxn modelId="{9E694967-A37E-4734-8C1F-758FB25E362C}" type="presParOf" srcId="{FA3C1F2E-9335-4E6D-8878-849C36CA4A64}" destId="{01B86120-F1A2-491D-A26E-F82E4158F1F2}" srcOrd="1" destOrd="0" presId="urn:microsoft.com/office/officeart/2005/8/layout/equation2"/>
    <dgm:cxn modelId="{ACC6A884-AF37-4008-B21C-9AA0BA74F12B}" type="presParOf" srcId="{FA3C1F2E-9335-4E6D-8878-849C36CA4A64}" destId="{06CB8896-EFC7-4B82-B5BC-5B470614A6D2}" srcOrd="2" destOrd="0" presId="urn:microsoft.com/office/officeart/2005/8/layout/equation2"/>
    <dgm:cxn modelId="{FF8DF7E0-F275-40E3-8748-3B7E09CD2EF2}" type="presParOf" srcId="{FA3C1F2E-9335-4E6D-8878-849C36CA4A64}" destId="{9EF64B60-39AD-4978-8C5C-77129F4D91CA}" srcOrd="3" destOrd="0" presId="urn:microsoft.com/office/officeart/2005/8/layout/equation2"/>
    <dgm:cxn modelId="{9898E2C6-01BB-4903-9B46-9AE8E9923A11}" type="presParOf" srcId="{FA3C1F2E-9335-4E6D-8878-849C36CA4A64}" destId="{4857EFAE-2B18-401F-BA88-1C67D0D04219}" srcOrd="4" destOrd="0" presId="urn:microsoft.com/office/officeart/2005/8/layout/equation2"/>
    <dgm:cxn modelId="{31680B47-0E29-4EC9-B313-4D022378FCE1}" type="presParOf" srcId="{FA3C1F2E-9335-4E6D-8878-849C36CA4A64}" destId="{461DB6F5-9C72-4771-B75C-2C2A0804E074}" srcOrd="5" destOrd="0" presId="urn:microsoft.com/office/officeart/2005/8/layout/equation2"/>
    <dgm:cxn modelId="{703EF664-3E71-4EBB-850B-8904ED53C662}" type="presParOf" srcId="{FA3C1F2E-9335-4E6D-8878-849C36CA4A64}" destId="{A3AA0AF9-66C0-4019-96E2-676248DA0907}" srcOrd="6" destOrd="0" presId="urn:microsoft.com/office/officeart/2005/8/layout/equation2"/>
    <dgm:cxn modelId="{55F39629-BCD0-4774-8998-9F7082829467}" type="presParOf" srcId="{FA3C1F2E-9335-4E6D-8878-849C36CA4A64}" destId="{9E165006-3443-473B-ACCD-E3595C28D817}" srcOrd="7" destOrd="0" presId="urn:microsoft.com/office/officeart/2005/8/layout/equation2"/>
    <dgm:cxn modelId="{266C8249-2316-4B1A-8F17-A49C3C850487}" type="presParOf" srcId="{FA3C1F2E-9335-4E6D-8878-849C36CA4A64}" destId="{831215AF-8109-473F-B7DD-06D9F020C7A4}" srcOrd="8" destOrd="0" presId="urn:microsoft.com/office/officeart/2005/8/layout/equation2"/>
    <dgm:cxn modelId="{E6F19992-0496-4B6D-91AF-D302DB4DFF46}" type="presParOf" srcId="{E86F0065-297A-4D4A-87E1-09D680D3A6F2}" destId="{0AB3C8DE-41A2-4243-8686-4D094F138F43}" srcOrd="1" destOrd="0" presId="urn:microsoft.com/office/officeart/2005/8/layout/equation2"/>
    <dgm:cxn modelId="{E6146FA0-D6C9-4093-960B-D69030A77F03}" type="presParOf" srcId="{0AB3C8DE-41A2-4243-8686-4D094F138F43}" destId="{46615988-8724-4057-8059-04FC2E81F7EB}" srcOrd="0" destOrd="0" presId="urn:microsoft.com/office/officeart/2005/8/layout/equation2"/>
    <dgm:cxn modelId="{A75842A1-E003-4E27-AAAD-C24BB88603DA}" type="presParOf" srcId="{E86F0065-297A-4D4A-87E1-09D680D3A6F2}" destId="{9F06B9A5-4933-4AA9-A431-917AB840E3A7}" srcOrd="2" destOrd="0" presId="urn:microsoft.com/office/officeart/2005/8/layout/equation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7F1CFB-42D5-44E9-BDE3-5ABD5E8A13E9}">
      <dsp:nvSpPr>
        <dsp:cNvPr id="0" name=""/>
        <dsp:cNvSpPr/>
      </dsp:nvSpPr>
      <dsp:spPr>
        <a:xfrm>
          <a:off x="1411369" y="1545"/>
          <a:ext cx="868669" cy="868669"/>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CDB (Own Funds)</a:t>
          </a:r>
          <a:endParaRPr lang="en-BB" sz="800" kern="1200"/>
        </a:p>
      </dsp:txBody>
      <dsp:txXfrm>
        <a:off x="1538583" y="128759"/>
        <a:ext cx="614241" cy="614241"/>
      </dsp:txXfrm>
    </dsp:sp>
    <dsp:sp modelId="{06CB8896-EFC7-4B82-B5BC-5B470614A6D2}">
      <dsp:nvSpPr>
        <dsp:cNvPr id="0" name=""/>
        <dsp:cNvSpPr/>
      </dsp:nvSpPr>
      <dsp:spPr>
        <a:xfrm>
          <a:off x="1593790" y="940751"/>
          <a:ext cx="503828" cy="503828"/>
        </a:xfrm>
        <a:prstGeom prst="mathPlus">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BB" sz="700" kern="1200"/>
        </a:p>
      </dsp:txBody>
      <dsp:txXfrm>
        <a:off x="1660572" y="1133415"/>
        <a:ext cx="370264" cy="118500"/>
      </dsp:txXfrm>
    </dsp:sp>
    <dsp:sp modelId="{4857EFAE-2B18-401F-BA88-1C67D0D04219}">
      <dsp:nvSpPr>
        <dsp:cNvPr id="0" name=""/>
        <dsp:cNvSpPr/>
      </dsp:nvSpPr>
      <dsp:spPr>
        <a:xfrm>
          <a:off x="1411369" y="1515115"/>
          <a:ext cx="868669" cy="868669"/>
        </a:xfrm>
        <a:prstGeom prst="ellipse">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GCF (Private Sector Facility)</a:t>
          </a:r>
          <a:endParaRPr lang="en-BB" sz="800" kern="1200"/>
        </a:p>
      </dsp:txBody>
      <dsp:txXfrm>
        <a:off x="1538583" y="1642329"/>
        <a:ext cx="614241" cy="614241"/>
      </dsp:txXfrm>
    </dsp:sp>
    <dsp:sp modelId="{A3AA0AF9-66C0-4019-96E2-676248DA0907}">
      <dsp:nvSpPr>
        <dsp:cNvPr id="0" name=""/>
        <dsp:cNvSpPr/>
      </dsp:nvSpPr>
      <dsp:spPr>
        <a:xfrm>
          <a:off x="1593790" y="2454320"/>
          <a:ext cx="503828" cy="503828"/>
        </a:xfrm>
        <a:prstGeom prst="mathPlus">
          <a:avLst/>
        </a:prstGeom>
        <a:solidFill>
          <a:schemeClr val="accent2">
            <a:hueOff val="-727682"/>
            <a:satOff val="-41964"/>
            <a:lumOff val="431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BB" sz="700" kern="1200"/>
        </a:p>
      </dsp:txBody>
      <dsp:txXfrm>
        <a:off x="1660572" y="2646984"/>
        <a:ext cx="370264" cy="118500"/>
      </dsp:txXfrm>
    </dsp:sp>
    <dsp:sp modelId="{831215AF-8109-473F-B7DD-06D9F020C7A4}">
      <dsp:nvSpPr>
        <dsp:cNvPr id="0" name=""/>
        <dsp:cNvSpPr/>
      </dsp:nvSpPr>
      <dsp:spPr>
        <a:xfrm>
          <a:off x="1411369" y="3028684"/>
          <a:ext cx="868669" cy="868669"/>
        </a:xfrm>
        <a:prstGeom prst="ellipse">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DFIs, Development Partners and Private Capital </a:t>
          </a:r>
          <a:endParaRPr lang="en-BB" sz="800" kern="1200"/>
        </a:p>
      </dsp:txBody>
      <dsp:txXfrm>
        <a:off x="1538583" y="3155898"/>
        <a:ext cx="614241" cy="614241"/>
      </dsp:txXfrm>
    </dsp:sp>
    <dsp:sp modelId="{0AB3C8DE-41A2-4243-8686-4D094F138F43}">
      <dsp:nvSpPr>
        <dsp:cNvPr id="0" name=""/>
        <dsp:cNvSpPr/>
      </dsp:nvSpPr>
      <dsp:spPr>
        <a:xfrm>
          <a:off x="2410339" y="1787877"/>
          <a:ext cx="276236" cy="323145"/>
        </a:xfrm>
        <a:prstGeom prst="rightArrow">
          <a:avLst>
            <a:gd name="adj1" fmla="val 60000"/>
            <a:gd name="adj2" fmla="val 50000"/>
          </a:avLst>
        </a:prstGeom>
        <a:solidFill>
          <a:schemeClr val="accent2">
            <a:hueOff val="-1455363"/>
            <a:satOff val="-83928"/>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BB" sz="700" kern="1200"/>
        </a:p>
      </dsp:txBody>
      <dsp:txXfrm>
        <a:off x="2410339" y="1852506"/>
        <a:ext cx="193365" cy="193887"/>
      </dsp:txXfrm>
    </dsp:sp>
    <dsp:sp modelId="{9F06B9A5-4933-4AA9-A431-917AB840E3A7}">
      <dsp:nvSpPr>
        <dsp:cNvPr id="0" name=""/>
        <dsp:cNvSpPr/>
      </dsp:nvSpPr>
      <dsp:spPr>
        <a:xfrm>
          <a:off x="2801241" y="1080780"/>
          <a:ext cx="1737338" cy="1737338"/>
        </a:xfrm>
        <a:prstGeom prst="ellipse">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scene3d>
            <a:camera prst="orthographicFront"/>
            <a:lightRig rig="harsh" dir="t"/>
          </a:scene3d>
          <a:sp3d extrusionH="57150" prstMaterial="matte">
            <a:bevelT w="63500" h="12700" prst="angle"/>
            <a:contourClr>
              <a:schemeClr val="bg1">
                <a:lumMod val="65000"/>
              </a:schemeClr>
            </a:contourClr>
          </a:sp3d>
        </a:bodyPr>
        <a:lstStyle/>
        <a:p>
          <a:pPr marL="0" lvl="0" indent="0" algn="ctr" defTabSz="844550">
            <a:lnSpc>
              <a:spcPct val="90000"/>
            </a:lnSpc>
            <a:spcBef>
              <a:spcPct val="0"/>
            </a:spcBef>
            <a:spcAft>
              <a:spcPct val="35000"/>
            </a:spcAft>
            <a:buNone/>
          </a:pPr>
          <a:r>
            <a:rPr lang="en-JM" sz="1900" b="1" kern="1200" cap="none" spc="0">
              <a:ln/>
              <a:effectLst/>
            </a:rPr>
            <a:t>Caribbean E-Mobility Fund </a:t>
          </a:r>
        </a:p>
        <a:p>
          <a:pPr marL="0" lvl="0" indent="0" algn="ctr" defTabSz="844550">
            <a:lnSpc>
              <a:spcPct val="90000"/>
            </a:lnSpc>
            <a:spcBef>
              <a:spcPct val="0"/>
            </a:spcBef>
            <a:spcAft>
              <a:spcPct val="35000"/>
            </a:spcAft>
            <a:buNone/>
          </a:pPr>
          <a:r>
            <a:rPr lang="en-JM" sz="1900" b="1" kern="1200" cap="none" spc="0">
              <a:ln/>
              <a:effectLst/>
            </a:rPr>
            <a:t>US$150Mn </a:t>
          </a:r>
          <a:endParaRPr lang="en-BB" sz="1900" b="1" kern="1200" cap="none" spc="0">
            <a:ln/>
            <a:effectLst/>
          </a:endParaRPr>
        </a:p>
      </dsp:txBody>
      <dsp:txXfrm>
        <a:off x="3055668" y="1335207"/>
        <a:ext cx="1228484" cy="1228484"/>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7c79300-af82-4651-8bb4-0962fed79a64">OP365-568135467-3</_dlc_DocId>
    <_dlc_DocIdUrl xmlns="d7c79300-af82-4651-8bb4-0962fed79a64">
      <Url>https://caribank.sharepoint.com/sites/ZZ/PRN300311/_layouts/15/DocIdRedir.aspx?ID=OP365-568135467-3</Url>
      <Description>OP365-568135467-3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CC49802EF5CC24E88C9E28C21E9BCA6" ma:contentTypeVersion="0" ma:contentTypeDescription="Create a new document." ma:contentTypeScope="" ma:versionID="9f40e4709d125a7548e7d501f3a28985">
  <xsd:schema xmlns:xsd="http://www.w3.org/2001/XMLSchema" xmlns:xs="http://www.w3.org/2001/XMLSchema" xmlns:p="http://schemas.microsoft.com/office/2006/metadata/properties" xmlns:ns2="d7c79300-af82-4651-8bb4-0962fed79a64" targetNamespace="http://schemas.microsoft.com/office/2006/metadata/properties" ma:root="true" ma:fieldsID="14f838ae3020f6ecdbdb68039f7d3266" ns2:_="">
    <xsd:import namespace="d7c79300-af82-4651-8bb4-0962fed79a6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61ea6748-af05-4a75-9b44-37e5618d313b" ContentTypeId="0x0101" PreviousValue="false" LastSyncTimeStamp="2024-09-10T20:28:50.46Z"/>
</file>

<file path=customXml/itemProps1.xml><?xml version="1.0" encoding="utf-8"?>
<ds:datastoreItem xmlns:ds="http://schemas.openxmlformats.org/officeDocument/2006/customXml" ds:itemID="{E7F7099A-C3BE-40E7-A813-B4FFFC21DA5F}">
  <ds:schemaRefs>
    <ds:schemaRef ds:uri="http://schemas.microsoft.com/sharepoint/v3/contenttype/forms"/>
  </ds:schemaRefs>
</ds:datastoreItem>
</file>

<file path=customXml/itemProps2.xml><?xml version="1.0" encoding="utf-8"?>
<ds:datastoreItem xmlns:ds="http://schemas.openxmlformats.org/officeDocument/2006/customXml" ds:itemID="{43B75B14-EC4C-4C9B-BC6D-430C50EFD982}">
  <ds:schemaRefs>
    <ds:schemaRef ds:uri="http://schemas.microsoft.com/office/2006/metadata/properties"/>
    <ds:schemaRef ds:uri="http://schemas.microsoft.com/office/infopath/2007/PartnerControls"/>
    <ds:schemaRef ds:uri="d7c79300-af82-4651-8bb4-0962fed79a64"/>
  </ds:schemaRefs>
</ds:datastoreItem>
</file>

<file path=customXml/itemProps3.xml><?xml version="1.0" encoding="utf-8"?>
<ds:datastoreItem xmlns:ds="http://schemas.openxmlformats.org/officeDocument/2006/customXml" ds:itemID="{3FA31B1A-16D4-41E2-8124-6B9EAE25889D}">
  <ds:schemaRefs>
    <ds:schemaRef ds:uri="http://schemas.openxmlformats.org/officeDocument/2006/bibliography"/>
  </ds:schemaRefs>
</ds:datastoreItem>
</file>

<file path=customXml/itemProps4.xml><?xml version="1.0" encoding="utf-8"?>
<ds:datastoreItem xmlns:ds="http://schemas.openxmlformats.org/officeDocument/2006/customXml" ds:itemID="{6783BE4F-A57E-41FB-BD25-CE1FAEE21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B8174F-5134-46A1-9A27-1011D904C69F}">
  <ds:schemaRefs>
    <ds:schemaRef ds:uri="http://schemas.microsoft.com/sharepoint/events"/>
  </ds:schemaRefs>
</ds:datastoreItem>
</file>

<file path=customXml/itemProps6.xml><?xml version="1.0" encoding="utf-8"?>
<ds:datastoreItem xmlns:ds="http://schemas.openxmlformats.org/officeDocument/2006/customXml" ds:itemID="{BE2583F7-8976-4D6B-BB9D-E51DF0A78C4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17</Pages>
  <Words>5136</Words>
  <Characters>32671</Characters>
  <Application>Microsoft Office Word</Application>
  <DocSecurity>0</DocSecurity>
  <Lines>680</Lines>
  <Paragraphs>253</Paragraphs>
  <ScaleCrop>false</ScaleCrop>
  <Company/>
  <LinksUpToDate>false</LinksUpToDate>
  <CharactersWithSpaces>37554</CharactersWithSpaces>
  <SharedDoc>false</SharedDoc>
  <HLinks>
    <vt:vector size="36" baseType="variant">
      <vt:variant>
        <vt:i4>2752638</vt:i4>
      </vt:variant>
      <vt:variant>
        <vt:i4>6</vt:i4>
      </vt:variant>
      <vt:variant>
        <vt:i4>0</vt:i4>
      </vt:variant>
      <vt:variant>
        <vt:i4>5</vt:i4>
      </vt:variant>
      <vt:variant>
        <vt:lpwstr>https://www.giz.de/en/worldwide/117776.html</vt:lpwstr>
      </vt:variant>
      <vt:variant>
        <vt:lpwstr/>
      </vt:variant>
      <vt:variant>
        <vt:i4>1638454</vt:i4>
      </vt:variant>
      <vt:variant>
        <vt:i4>3</vt:i4>
      </vt:variant>
      <vt:variant>
        <vt:i4>0</vt:i4>
      </vt:variant>
      <vt:variant>
        <vt:i4>5</vt:i4>
      </vt:variant>
      <vt:variant>
        <vt:lpwstr>https://www.ccreee.org/wp-content/uploads/2020/06/regional_electric_vehicle_strategy_revs_framework.pdf</vt:lpwstr>
      </vt:variant>
      <vt:variant>
        <vt:lpwstr/>
      </vt:variant>
      <vt:variant>
        <vt:i4>4063243</vt:i4>
      </vt:variant>
      <vt:variant>
        <vt:i4>0</vt:i4>
      </vt:variant>
      <vt:variant>
        <vt:i4>0</vt:i4>
      </vt:variant>
      <vt:variant>
        <vt:i4>5</vt:i4>
      </vt:variant>
      <vt:variant>
        <vt:lpwstr>https://www.ccreee.org/wp-content/uploads/2020/08/ccreee_brief_future_of_emobility_final.pdf</vt:lpwstr>
      </vt:variant>
      <vt:variant>
        <vt:lpwstr/>
      </vt:variant>
      <vt:variant>
        <vt:i4>5242986</vt:i4>
      </vt:variant>
      <vt:variant>
        <vt:i4>6</vt:i4>
      </vt:variant>
      <vt:variant>
        <vt:i4>0</vt:i4>
      </vt:variant>
      <vt:variant>
        <vt:i4>5</vt:i4>
      </vt:variant>
      <vt:variant>
        <vt:lpwstr>mailto:u8452@caribank.org</vt:lpwstr>
      </vt:variant>
      <vt:variant>
        <vt:lpwstr/>
      </vt:variant>
      <vt:variant>
        <vt:i4>5242986</vt:i4>
      </vt:variant>
      <vt:variant>
        <vt:i4>3</vt:i4>
      </vt:variant>
      <vt:variant>
        <vt:i4>0</vt:i4>
      </vt:variant>
      <vt:variant>
        <vt:i4>5</vt:i4>
      </vt:variant>
      <vt:variant>
        <vt:lpwstr>mailto:u8452@caribank.org</vt:lpwstr>
      </vt:variant>
      <vt:variant>
        <vt:lpwstr/>
      </vt:variant>
      <vt:variant>
        <vt:i4>5439585</vt:i4>
      </vt:variant>
      <vt:variant>
        <vt:i4>0</vt:i4>
      </vt:variant>
      <vt:variant>
        <vt:i4>0</vt:i4>
      </vt:variant>
      <vt:variant>
        <vt:i4>5</vt:i4>
      </vt:variant>
      <vt:variant>
        <vt:lpwstr>mailto:u4227@caribank.org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Williams</dc:creator>
  <cp:keywords/>
  <dc:description/>
  <cp:lastModifiedBy>Sonia Harrison</cp:lastModifiedBy>
  <cp:revision>49</cp:revision>
  <dcterms:created xsi:type="dcterms:W3CDTF">2025-06-26T14:30:00Z</dcterms:created>
  <dcterms:modified xsi:type="dcterms:W3CDTF">2025-06-26T23:47:00Z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0x0101000CC49802EF5CC24E88C9E28C21E9BCA6</vt:lpwstr>
  </property>
  <property fmtid="{D5CDD505-2E9C-101B-9397-08002B2CF9AE}" pid="3" name="MediaServiceImageTags">
    <vt:lpwstr/>
  </property>
  <property fmtid="{D5CDD505-2E9C-101B-9397-08002B2CF9AE}" pid="4" name="_dlc_DocIdItemGuid">
    <vt:lpwstr>2cae2459-c2b9-4ca7-bbcb-88b461028f63</vt:lpwstr>
  </property>
  <property fmtid="{D5CDD505-2E9C-101B-9397-08002B2CF9AE}" pid="5" name="GrammarlyDocumentId">
    <vt:lpwstr>2f8cec1b-be59-426a-9a55-c5f08ae59c2f</vt:lpwstr>
  </property>
</Properties>
</file>