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DFF4F" w14:textId="1095E6F2" w:rsidR="00490533" w:rsidRDefault="00490533" w:rsidP="00490533">
      <w:pPr>
        <w:shd w:val="clear" w:color="auto" w:fill="FFFFFF" w:themeFill="background1"/>
        <w:spacing w:after="0"/>
        <w:ind w:left="720" w:hanging="360"/>
        <w:jc w:val="center"/>
        <w:rPr>
          <w:b/>
          <w:bCs/>
        </w:rPr>
      </w:pPr>
      <w:r w:rsidRPr="00490533">
        <w:rPr>
          <w:b/>
          <w:bCs/>
        </w:rPr>
        <w:t>Caribbean E-Mobility Fund Technical Advisory Services</w:t>
      </w:r>
      <w:r>
        <w:rPr>
          <w:b/>
          <w:bCs/>
        </w:rPr>
        <w:t xml:space="preserve"> Consultancy</w:t>
      </w:r>
    </w:p>
    <w:p w14:paraId="0B42DCAD" w14:textId="77777777" w:rsidR="00490533" w:rsidRDefault="00490533" w:rsidP="00490533">
      <w:pPr>
        <w:shd w:val="clear" w:color="auto" w:fill="FFFFFF" w:themeFill="background1"/>
        <w:spacing w:after="0"/>
        <w:ind w:left="720" w:hanging="360"/>
        <w:jc w:val="center"/>
        <w:rPr>
          <w:b/>
          <w:bCs/>
        </w:rPr>
      </w:pPr>
    </w:p>
    <w:p w14:paraId="3223A6C0" w14:textId="4B94AD9B" w:rsidR="00490533" w:rsidRDefault="00490533" w:rsidP="00490533">
      <w:pPr>
        <w:shd w:val="clear" w:color="auto" w:fill="FFFFFF" w:themeFill="background1"/>
        <w:spacing w:after="0"/>
        <w:ind w:left="720" w:hanging="360"/>
        <w:jc w:val="center"/>
        <w:rPr>
          <w:b/>
          <w:bCs/>
        </w:rPr>
      </w:pPr>
      <w:r>
        <w:rPr>
          <w:b/>
          <w:bCs/>
        </w:rPr>
        <w:t>Request for Expression of Interest</w:t>
      </w:r>
    </w:p>
    <w:p w14:paraId="50423D29" w14:textId="3D384108" w:rsidR="00490533" w:rsidRDefault="00490533" w:rsidP="00490533">
      <w:pPr>
        <w:shd w:val="clear" w:color="auto" w:fill="FFFFFF" w:themeFill="background1"/>
        <w:spacing w:after="0"/>
        <w:ind w:left="720" w:hanging="360"/>
        <w:jc w:val="center"/>
        <w:rPr>
          <w:b/>
          <w:bCs/>
        </w:rPr>
      </w:pPr>
      <w:r w:rsidRPr="00490533">
        <w:rPr>
          <w:b/>
          <w:bCs/>
        </w:rPr>
        <w:t>Questions and Answers</w:t>
      </w:r>
    </w:p>
    <w:p w14:paraId="2A9493F9" w14:textId="77777777" w:rsidR="00490533" w:rsidRPr="00490533" w:rsidRDefault="00490533" w:rsidP="00490533">
      <w:pPr>
        <w:shd w:val="clear" w:color="auto" w:fill="FFFFFF" w:themeFill="background1"/>
        <w:spacing w:after="0"/>
        <w:ind w:left="720" w:hanging="360"/>
        <w:rPr>
          <w:b/>
          <w:bCs/>
        </w:rPr>
      </w:pPr>
    </w:p>
    <w:p w14:paraId="29A395EB" w14:textId="2E1E0212" w:rsidR="0B8DDBDD" w:rsidRPr="00490533" w:rsidRDefault="3CD81955" w:rsidP="00490533">
      <w:pPr>
        <w:pStyle w:val="ListParagraph"/>
        <w:numPr>
          <w:ilvl w:val="0"/>
          <w:numId w:val="1"/>
        </w:numPr>
        <w:shd w:val="clear" w:color="auto" w:fill="FFFFFF" w:themeFill="background1"/>
        <w:spacing w:after="0"/>
        <w:rPr>
          <w:rFonts w:ascii="Aptos" w:eastAsia="Aptos" w:hAnsi="Aptos" w:cs="Aptos"/>
          <w:color w:val="242424"/>
          <w:sz w:val="22"/>
          <w:szCs w:val="22"/>
          <w:lang w:val="en-GB"/>
        </w:rPr>
      </w:pPr>
      <w:r w:rsidRPr="2B63DF7A">
        <w:rPr>
          <w:rFonts w:ascii="Aptos" w:eastAsia="Aptos" w:hAnsi="Aptos" w:cs="Aptos"/>
          <w:color w:val="242424"/>
          <w:sz w:val="22"/>
          <w:szCs w:val="22"/>
          <w:lang w:val="en-GB"/>
        </w:rPr>
        <w:t>How many co</w:t>
      </w:r>
      <w:r w:rsidRPr="00490533">
        <w:rPr>
          <w:rFonts w:ascii="Aptos" w:eastAsia="Aptos" w:hAnsi="Aptos" w:cs="Aptos"/>
          <w:color w:val="242424"/>
          <w:sz w:val="22"/>
          <w:szCs w:val="22"/>
          <w:lang w:val="en-GB"/>
        </w:rPr>
        <w:t xml:space="preserve">untries are expected to be considered in the Scope of Work for Objective 1? (BMC are 19 countries) - </w:t>
      </w:r>
      <w:r w:rsidR="474F4DE8" w:rsidRPr="00490533">
        <w:rPr>
          <w:rFonts w:ascii="Aptos" w:eastAsia="Aptos" w:hAnsi="Aptos" w:cs="Aptos"/>
          <w:color w:val="FF0000"/>
          <w:sz w:val="22"/>
          <w:szCs w:val="22"/>
          <w:lang w:val="en-GB"/>
        </w:rPr>
        <w:t>The consultancy is expected to consider all nineteen (19) Borrowing Member Countries (BMCs) of the Caribbean Development Bank (CDB). However, the depth of analysis may vary depending on data availability, market maturity, and strategic relevance.</w:t>
      </w:r>
    </w:p>
    <w:p w14:paraId="7E0B800B" w14:textId="2E4E83FD" w:rsidR="0B8DDBDD" w:rsidRDefault="0B8DDBDD" w:rsidP="2B63DF7A">
      <w:pPr>
        <w:pStyle w:val="ListParagraph"/>
        <w:shd w:val="clear" w:color="auto" w:fill="FFFFFF" w:themeFill="background1"/>
        <w:spacing w:after="0"/>
        <w:rPr>
          <w:rFonts w:ascii="Aptos" w:eastAsia="Aptos" w:hAnsi="Aptos" w:cs="Aptos"/>
          <w:color w:val="242424"/>
          <w:sz w:val="22"/>
          <w:szCs w:val="22"/>
          <w:lang w:val="en-GB"/>
        </w:rPr>
      </w:pPr>
    </w:p>
    <w:p w14:paraId="1E90537D" w14:textId="35BD87BC" w:rsidR="0B8DDBDD" w:rsidRDefault="3CD81955" w:rsidP="2B63DF7A">
      <w:pPr>
        <w:pStyle w:val="ListParagraph"/>
        <w:numPr>
          <w:ilvl w:val="0"/>
          <w:numId w:val="1"/>
        </w:numPr>
        <w:shd w:val="clear" w:color="auto" w:fill="FFFFFF" w:themeFill="background1"/>
        <w:spacing w:after="0"/>
        <w:rPr>
          <w:rFonts w:ascii="Aptos" w:eastAsia="Aptos" w:hAnsi="Aptos" w:cs="Aptos"/>
          <w:color w:val="242424"/>
          <w:sz w:val="22"/>
          <w:szCs w:val="22"/>
          <w:lang w:val="en-GB"/>
        </w:rPr>
      </w:pPr>
      <w:r w:rsidRPr="2B63DF7A">
        <w:rPr>
          <w:rFonts w:ascii="Aptos" w:eastAsia="Aptos" w:hAnsi="Aptos" w:cs="Aptos"/>
          <w:color w:val="242424"/>
          <w:sz w:val="22"/>
          <w:szCs w:val="22"/>
          <w:lang w:val="en-GB"/>
        </w:rPr>
        <w:t>Scope of work, point 1. The market segments would include in-land transport modes or also waterways?</w:t>
      </w:r>
      <w:r w:rsidR="007D2B69">
        <w:rPr>
          <w:rFonts w:ascii="Aptos" w:eastAsia="Aptos" w:hAnsi="Aptos" w:cs="Aptos"/>
          <w:color w:val="242424"/>
          <w:sz w:val="22"/>
          <w:szCs w:val="22"/>
          <w:lang w:val="en-GB"/>
        </w:rPr>
        <w:t xml:space="preserve"> - </w:t>
      </w:r>
      <w:r w:rsidR="007D2B69" w:rsidRPr="007D2B69">
        <w:rPr>
          <w:rFonts w:ascii="Aptos" w:eastAsia="Aptos" w:hAnsi="Aptos" w:cs="Aptos"/>
          <w:color w:val="FF0000"/>
          <w:sz w:val="22"/>
          <w:szCs w:val="22"/>
          <w:lang w:val="en-GB"/>
        </w:rPr>
        <w:t>The market assessment should include both in-land and water-based transport modes (e.g., marine and riverine transport), especially in countries where these are central to economic activity and emissions. Waterways are considered a key segment due to their importance in inter-island and coastal connectivity.</w:t>
      </w:r>
    </w:p>
    <w:p w14:paraId="1D95B222" w14:textId="77777777" w:rsidR="007D2B69" w:rsidRPr="007D2B69" w:rsidRDefault="007D2B69" w:rsidP="007D2B69">
      <w:pPr>
        <w:pStyle w:val="ListParagraph"/>
        <w:rPr>
          <w:rFonts w:ascii="Aptos" w:eastAsia="Aptos" w:hAnsi="Aptos" w:cs="Aptos"/>
          <w:color w:val="242424"/>
          <w:sz w:val="22"/>
          <w:szCs w:val="22"/>
          <w:lang w:val="en-GB"/>
        </w:rPr>
      </w:pPr>
    </w:p>
    <w:p w14:paraId="6E0A5617" w14:textId="77777777" w:rsidR="007D2B69" w:rsidRDefault="007D2B69" w:rsidP="007D2B69">
      <w:pPr>
        <w:pStyle w:val="ListParagraph"/>
        <w:shd w:val="clear" w:color="auto" w:fill="FFFFFF" w:themeFill="background1"/>
        <w:spacing w:after="0"/>
        <w:rPr>
          <w:rFonts w:ascii="Aptos" w:eastAsia="Aptos" w:hAnsi="Aptos" w:cs="Aptos"/>
          <w:color w:val="242424"/>
          <w:sz w:val="22"/>
          <w:szCs w:val="22"/>
          <w:lang w:val="en-GB"/>
        </w:rPr>
      </w:pPr>
    </w:p>
    <w:p w14:paraId="212C31DF" w14:textId="0B0547DE" w:rsidR="0B8DDBDD" w:rsidRDefault="3CD81955" w:rsidP="2B63DF7A">
      <w:pPr>
        <w:pStyle w:val="ListParagraph"/>
        <w:numPr>
          <w:ilvl w:val="0"/>
          <w:numId w:val="1"/>
        </w:numPr>
        <w:shd w:val="clear" w:color="auto" w:fill="FFFFFF" w:themeFill="background1"/>
        <w:spacing w:after="0"/>
        <w:rPr>
          <w:rFonts w:ascii="Aptos" w:eastAsia="Aptos" w:hAnsi="Aptos" w:cs="Aptos"/>
          <w:color w:val="242424"/>
          <w:sz w:val="22"/>
          <w:szCs w:val="22"/>
          <w:lang w:val="en-GB"/>
        </w:rPr>
      </w:pPr>
      <w:r w:rsidRPr="2B63DF7A">
        <w:rPr>
          <w:rFonts w:ascii="Aptos" w:eastAsia="Aptos" w:hAnsi="Aptos" w:cs="Aptos"/>
          <w:color w:val="242424"/>
          <w:sz w:val="22"/>
          <w:szCs w:val="22"/>
          <w:lang w:val="en-GB"/>
        </w:rPr>
        <w:t>When should the consultancy start? (month)</w:t>
      </w:r>
      <w:r w:rsidR="00061C3F">
        <w:rPr>
          <w:rFonts w:ascii="Aptos" w:eastAsia="Aptos" w:hAnsi="Aptos" w:cs="Aptos"/>
          <w:color w:val="242424"/>
          <w:sz w:val="22"/>
          <w:szCs w:val="22"/>
          <w:lang w:val="en-GB"/>
        </w:rPr>
        <w:t xml:space="preserve"> - </w:t>
      </w:r>
      <w:r w:rsidR="00061C3F" w:rsidRPr="00061C3F">
        <w:rPr>
          <w:rFonts w:ascii="Aptos" w:eastAsia="Aptos" w:hAnsi="Aptos" w:cs="Aptos"/>
          <w:color w:val="FF0000"/>
          <w:sz w:val="22"/>
          <w:szCs w:val="22"/>
          <w:lang w:val="en-GB"/>
        </w:rPr>
        <w:t>The consultancy is tentatively expected to commence in Q4 2025, ideally by October 2025, subject to the completion of the procurement process and final contracting.</w:t>
      </w:r>
    </w:p>
    <w:p w14:paraId="55635A6E" w14:textId="77777777" w:rsidR="00061C3F" w:rsidRDefault="00061C3F" w:rsidP="00061C3F">
      <w:pPr>
        <w:pStyle w:val="ListParagraph"/>
        <w:shd w:val="clear" w:color="auto" w:fill="FFFFFF" w:themeFill="background1"/>
        <w:spacing w:after="0"/>
        <w:rPr>
          <w:rFonts w:ascii="Aptos" w:eastAsia="Aptos" w:hAnsi="Aptos" w:cs="Aptos"/>
          <w:color w:val="242424"/>
          <w:sz w:val="22"/>
          <w:szCs w:val="22"/>
          <w:lang w:val="en-GB"/>
        </w:rPr>
      </w:pPr>
    </w:p>
    <w:p w14:paraId="6034A467" w14:textId="671482B2" w:rsidR="0B8DDBDD" w:rsidRDefault="3CD81955" w:rsidP="5DE91063">
      <w:pPr>
        <w:pStyle w:val="ListParagraph"/>
        <w:numPr>
          <w:ilvl w:val="0"/>
          <w:numId w:val="1"/>
        </w:numPr>
        <w:shd w:val="clear" w:color="auto" w:fill="FFFFFF" w:themeFill="background1"/>
        <w:spacing w:after="0"/>
        <w:rPr>
          <w:rFonts w:ascii="Aptos" w:eastAsia="Aptos" w:hAnsi="Aptos" w:cs="Aptos"/>
          <w:color w:val="FF0000"/>
          <w:sz w:val="22"/>
          <w:szCs w:val="22"/>
          <w:lang w:val="en-GB"/>
        </w:rPr>
      </w:pPr>
      <w:r w:rsidRPr="5DE91063">
        <w:rPr>
          <w:rFonts w:ascii="Aptos" w:eastAsia="Aptos" w:hAnsi="Aptos" w:cs="Aptos"/>
          <w:color w:val="242424"/>
          <w:sz w:val="22"/>
          <w:szCs w:val="22"/>
          <w:lang w:val="en-GB"/>
        </w:rPr>
        <w:t>What is the budget for this consultancy?</w:t>
      </w:r>
      <w:r w:rsidR="00061C3F" w:rsidRPr="5DE91063">
        <w:rPr>
          <w:rFonts w:ascii="Aptos" w:eastAsia="Aptos" w:hAnsi="Aptos" w:cs="Aptos"/>
          <w:color w:val="242424"/>
          <w:sz w:val="22"/>
          <w:szCs w:val="22"/>
          <w:lang w:val="en-GB"/>
        </w:rPr>
        <w:t xml:space="preserve"> - </w:t>
      </w:r>
      <w:r w:rsidR="4EDEACC0" w:rsidRPr="5DE91063">
        <w:rPr>
          <w:rFonts w:ascii="Aptos" w:eastAsia="Aptos" w:hAnsi="Aptos" w:cs="Aptos"/>
          <w:color w:val="FF0000"/>
          <w:sz w:val="22"/>
          <w:szCs w:val="22"/>
          <w:lang w:val="en-GB"/>
        </w:rPr>
        <w:t xml:space="preserve"> The budget for this assignment is not being disclosed as part of the current process. </w:t>
      </w:r>
    </w:p>
    <w:p w14:paraId="74C9D6CC" w14:textId="77777777" w:rsidR="00061C3F" w:rsidRPr="00061C3F" w:rsidRDefault="00061C3F" w:rsidP="00061C3F">
      <w:pPr>
        <w:pStyle w:val="ListParagraph"/>
        <w:rPr>
          <w:rFonts w:ascii="Aptos" w:eastAsia="Aptos" w:hAnsi="Aptos" w:cs="Aptos"/>
          <w:color w:val="242424"/>
          <w:sz w:val="22"/>
          <w:szCs w:val="22"/>
          <w:lang w:val="en-GB"/>
        </w:rPr>
      </w:pPr>
    </w:p>
    <w:p w14:paraId="0935ECCB" w14:textId="77777777" w:rsidR="00061C3F" w:rsidRDefault="00061C3F" w:rsidP="00061C3F">
      <w:pPr>
        <w:pStyle w:val="ListParagraph"/>
        <w:shd w:val="clear" w:color="auto" w:fill="FFFFFF" w:themeFill="background1"/>
        <w:spacing w:after="0"/>
        <w:rPr>
          <w:rFonts w:ascii="Aptos" w:eastAsia="Aptos" w:hAnsi="Aptos" w:cs="Aptos"/>
          <w:color w:val="242424"/>
          <w:sz w:val="22"/>
          <w:szCs w:val="22"/>
          <w:lang w:val="en-GB"/>
        </w:rPr>
      </w:pPr>
    </w:p>
    <w:p w14:paraId="69D64FE1" w14:textId="294E2F73" w:rsidR="0B8DDBDD" w:rsidRDefault="3CD81955" w:rsidP="2B63DF7A">
      <w:pPr>
        <w:pStyle w:val="ListParagraph"/>
        <w:numPr>
          <w:ilvl w:val="0"/>
          <w:numId w:val="1"/>
        </w:numPr>
        <w:shd w:val="clear" w:color="auto" w:fill="FFFFFF" w:themeFill="background1"/>
        <w:spacing w:after="0"/>
        <w:rPr>
          <w:rFonts w:ascii="Aptos" w:eastAsia="Aptos" w:hAnsi="Aptos" w:cs="Aptos"/>
          <w:color w:val="242424"/>
          <w:sz w:val="22"/>
          <w:szCs w:val="22"/>
          <w:lang w:val="en-GB"/>
        </w:rPr>
      </w:pPr>
      <w:r w:rsidRPr="2B63DF7A">
        <w:rPr>
          <w:rFonts w:ascii="Aptos" w:eastAsia="Aptos" w:hAnsi="Aptos" w:cs="Aptos"/>
          <w:color w:val="242424"/>
          <w:sz w:val="22"/>
          <w:szCs w:val="22"/>
          <w:lang w:val="en-GB"/>
        </w:rPr>
        <w:t>Is there any final deadline to be considered in the planning? (for example, the project should be completed no later than month xx Month/2026, independent of KoM)</w:t>
      </w:r>
      <w:r w:rsidR="00726FEB">
        <w:rPr>
          <w:rFonts w:ascii="Aptos" w:eastAsia="Aptos" w:hAnsi="Aptos" w:cs="Aptos"/>
          <w:color w:val="242424"/>
          <w:sz w:val="22"/>
          <w:szCs w:val="22"/>
          <w:lang w:val="en-GB"/>
        </w:rPr>
        <w:t xml:space="preserve"> - </w:t>
      </w:r>
      <w:r w:rsidR="00726FEB" w:rsidRPr="00726FEB">
        <w:rPr>
          <w:rFonts w:ascii="Aptos" w:eastAsia="Aptos" w:hAnsi="Aptos" w:cs="Aptos"/>
          <w:color w:val="FF0000"/>
          <w:sz w:val="22"/>
          <w:szCs w:val="22"/>
          <w:lang w:val="en-GB"/>
        </w:rPr>
        <w:t>Yes. The consultancy must be completed within nine (9) months from the start date. While the exact start date may vary, the final deliverables must be submitted no later than June 2026.</w:t>
      </w:r>
    </w:p>
    <w:p w14:paraId="0BC5A100" w14:textId="77777777" w:rsidR="00726FEB" w:rsidRDefault="00726FEB" w:rsidP="00726FEB">
      <w:pPr>
        <w:pStyle w:val="ListParagraph"/>
        <w:shd w:val="clear" w:color="auto" w:fill="FFFFFF" w:themeFill="background1"/>
        <w:spacing w:after="0"/>
        <w:rPr>
          <w:rFonts w:ascii="Aptos" w:eastAsia="Aptos" w:hAnsi="Aptos" w:cs="Aptos"/>
          <w:color w:val="242424"/>
          <w:sz w:val="22"/>
          <w:szCs w:val="22"/>
          <w:lang w:val="en-GB"/>
        </w:rPr>
      </w:pPr>
    </w:p>
    <w:p w14:paraId="68683B80" w14:textId="7517E4E7" w:rsidR="0B8DDBDD" w:rsidRPr="00674FA5" w:rsidRDefault="3CD81955" w:rsidP="5DE91063">
      <w:pPr>
        <w:pStyle w:val="ListParagraph"/>
        <w:numPr>
          <w:ilvl w:val="0"/>
          <w:numId w:val="1"/>
        </w:numPr>
        <w:shd w:val="clear" w:color="auto" w:fill="FFFFFF" w:themeFill="background1"/>
        <w:spacing w:after="0"/>
        <w:rPr>
          <w:lang w:val="en-GB"/>
        </w:rPr>
      </w:pPr>
      <w:r w:rsidRPr="5DE91063">
        <w:rPr>
          <w:rFonts w:ascii="Aptos" w:eastAsia="Aptos" w:hAnsi="Aptos" w:cs="Aptos"/>
          <w:color w:val="242424"/>
          <w:sz w:val="22"/>
          <w:szCs w:val="22"/>
          <w:lang w:val="en-GB"/>
        </w:rPr>
        <w:t>We are planning to form a JV. Can the lead partner of the EOI stage be different form the lead partner of the full proposal stage (given both are equal partners under the JV)?</w:t>
      </w:r>
      <w:r w:rsidR="4642ED1D" w:rsidRPr="5DE91063">
        <w:rPr>
          <w:rFonts w:ascii="Aptos" w:eastAsia="Aptos" w:hAnsi="Aptos" w:cs="Aptos"/>
          <w:color w:val="242424"/>
          <w:sz w:val="22"/>
          <w:szCs w:val="22"/>
          <w:lang w:val="en-GB"/>
        </w:rPr>
        <w:t xml:space="preserve"> </w:t>
      </w:r>
      <w:r w:rsidR="4642ED1D" w:rsidRPr="5DE91063">
        <w:rPr>
          <w:rFonts w:ascii="Aptos" w:eastAsia="Aptos" w:hAnsi="Aptos" w:cs="Aptos"/>
          <w:color w:val="FF0000"/>
          <w:sz w:val="22"/>
          <w:szCs w:val="22"/>
          <w:lang w:val="en-GB"/>
        </w:rPr>
        <w:t>- Yes. Provided that both entities are formal partners in the same joint venture (JV) arrangement, it is acceptable for the lead entity at the full proposal stage to differ from that at the EOI stage. However, any change in lead partner must be clearly communicated and justified in the proposal.</w:t>
      </w:r>
      <w:r w:rsidR="17D6650F" w:rsidRPr="00674FA5">
        <w:rPr>
          <w:color w:val="FF0000"/>
          <w:sz w:val="22"/>
          <w:szCs w:val="22"/>
          <w:lang w:val="en-GB"/>
        </w:rPr>
        <w:t>Please note that the composition of the JV itself (i.e., the participating entities) must remain the same as submitted in the EOI</w:t>
      </w:r>
      <w:r w:rsidR="17D6650F" w:rsidRPr="00674FA5">
        <w:rPr>
          <w:color w:val="FF0000"/>
          <w:sz w:val="20"/>
          <w:szCs w:val="20"/>
          <w:lang w:val="en-GB"/>
        </w:rPr>
        <w:t xml:space="preserve">. </w:t>
      </w:r>
      <w:r w:rsidR="17D6650F" w:rsidRPr="00674FA5">
        <w:rPr>
          <w:color w:val="FF0000"/>
          <w:sz w:val="22"/>
          <w:szCs w:val="22"/>
          <w:lang w:val="en-GB"/>
        </w:rPr>
        <w:t>Any changes to the JV membership may be subject to disqualification, unless expressly permitted by the solicitation documents.</w:t>
      </w:r>
    </w:p>
    <w:p w14:paraId="330E3A59" w14:textId="77777777" w:rsidR="00674FA5" w:rsidRPr="00674FA5" w:rsidRDefault="00674FA5" w:rsidP="00674FA5">
      <w:pPr>
        <w:pStyle w:val="ListParagraph"/>
        <w:rPr>
          <w:lang w:val="en-GB"/>
        </w:rPr>
      </w:pPr>
    </w:p>
    <w:p w14:paraId="4DBEF258" w14:textId="145755B9" w:rsidR="00674FA5" w:rsidRPr="00674FA5" w:rsidRDefault="00674FA5" w:rsidP="00674FA5">
      <w:pPr>
        <w:pStyle w:val="ListParagraph"/>
        <w:numPr>
          <w:ilvl w:val="0"/>
          <w:numId w:val="1"/>
        </w:numPr>
        <w:rPr>
          <w:color w:val="FF0000"/>
          <w:sz w:val="22"/>
          <w:szCs w:val="22"/>
        </w:rPr>
      </w:pPr>
      <w:r w:rsidRPr="00674FA5">
        <w:rPr>
          <w:sz w:val="22"/>
          <w:szCs w:val="22"/>
          <w:lang w:val="en-GB"/>
        </w:rPr>
        <w:lastRenderedPageBreak/>
        <w:t xml:space="preserve">In section 7.04 of the TOR three key experts are described. Can this required set of expertise be covered by a larger group of experts (as it is stated as the minimum proposed team)? We have a team of experts including 1. Team Lead and Project Preparation Specialist, 2. Senior Fund Designers, 3. E-mobility and Sustainable Transport Advisors, as well as 4. Communications Experts and 5. Stakeholder Engagement Specialists. </w:t>
      </w:r>
      <w:r w:rsidRPr="00674FA5">
        <w:rPr>
          <w:color w:val="FF0000"/>
          <w:sz w:val="22"/>
          <w:szCs w:val="22"/>
        </w:rPr>
        <w:t>Yes, it is acceptable to propose a larger group of experts, provided that the required key experts outlined in Section 7.04 of the TOR are included in the team</w:t>
      </w:r>
      <w:r>
        <w:rPr>
          <w:color w:val="FF0000"/>
          <w:sz w:val="22"/>
          <w:szCs w:val="22"/>
        </w:rPr>
        <w:t>.</w:t>
      </w:r>
      <w:r w:rsidRPr="00674FA5">
        <w:rPr>
          <w:color w:val="FF0000"/>
          <w:sz w:val="22"/>
          <w:szCs w:val="22"/>
        </w:rPr>
        <w:t xml:space="preserve"> </w:t>
      </w:r>
      <w:r w:rsidRPr="00674FA5">
        <w:rPr>
          <w:color w:val="FF0000"/>
          <w:sz w:val="22"/>
          <w:szCs w:val="22"/>
        </w:rPr>
        <w:t>Please also note that at the REOI stage, individual key experts and the consultancy team are not subject to evaluation. The assessment of key experts will take place at the proposal stage.</w:t>
      </w:r>
    </w:p>
    <w:p w14:paraId="123FC250" w14:textId="316400C6" w:rsidR="00674FA5" w:rsidRPr="00674FA5" w:rsidRDefault="00674FA5" w:rsidP="00674FA5">
      <w:pPr>
        <w:pStyle w:val="ListParagraph"/>
        <w:rPr>
          <w:sz w:val="22"/>
          <w:szCs w:val="22"/>
          <w:lang w:val="en-GB"/>
        </w:rPr>
      </w:pPr>
    </w:p>
    <w:p w14:paraId="11EA01D7" w14:textId="527BEDE7" w:rsidR="0B8DDBDD" w:rsidRDefault="3CD81955" w:rsidP="2B63DF7A">
      <w:pPr>
        <w:shd w:val="clear" w:color="auto" w:fill="FFFFFF" w:themeFill="background1"/>
        <w:spacing w:after="0"/>
      </w:pPr>
      <w:r w:rsidRPr="2B63DF7A">
        <w:rPr>
          <w:rFonts w:ascii="Aptos" w:eastAsia="Aptos" w:hAnsi="Aptos" w:cs="Aptos"/>
          <w:color w:val="242424"/>
          <w:sz w:val="22"/>
          <w:szCs w:val="22"/>
          <w:lang w:val="en-GB"/>
        </w:rPr>
        <w:t xml:space="preserve"> </w:t>
      </w:r>
    </w:p>
    <w:p w14:paraId="578D3CBF" w14:textId="7A374099" w:rsidR="0B8DDBDD" w:rsidRDefault="0B8DDBDD"/>
    <w:sectPr w:rsidR="0B8DD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B2A22"/>
    <w:multiLevelType w:val="hybridMultilevel"/>
    <w:tmpl w:val="6A1E860C"/>
    <w:lvl w:ilvl="0" w:tplc="1D34A0B2">
      <w:start w:val="1"/>
      <w:numFmt w:val="bullet"/>
      <w:lvlText w:val=""/>
      <w:lvlJc w:val="left"/>
      <w:pPr>
        <w:ind w:left="720" w:hanging="360"/>
      </w:pPr>
      <w:rPr>
        <w:rFonts w:ascii="Symbol" w:hAnsi="Symbol" w:hint="default"/>
      </w:rPr>
    </w:lvl>
    <w:lvl w:ilvl="1" w:tplc="6A328654">
      <w:start w:val="1"/>
      <w:numFmt w:val="bullet"/>
      <w:lvlText w:val="o"/>
      <w:lvlJc w:val="left"/>
      <w:pPr>
        <w:ind w:left="1440" w:hanging="360"/>
      </w:pPr>
      <w:rPr>
        <w:rFonts w:ascii="Courier New" w:hAnsi="Courier New" w:hint="default"/>
      </w:rPr>
    </w:lvl>
    <w:lvl w:ilvl="2" w:tplc="EC841DD4">
      <w:start w:val="1"/>
      <w:numFmt w:val="bullet"/>
      <w:lvlText w:val=""/>
      <w:lvlJc w:val="left"/>
      <w:pPr>
        <w:ind w:left="2160" w:hanging="360"/>
      </w:pPr>
      <w:rPr>
        <w:rFonts w:ascii="Wingdings" w:hAnsi="Wingdings" w:hint="default"/>
      </w:rPr>
    </w:lvl>
    <w:lvl w:ilvl="3" w:tplc="CD943EA2">
      <w:start w:val="1"/>
      <w:numFmt w:val="bullet"/>
      <w:lvlText w:val=""/>
      <w:lvlJc w:val="left"/>
      <w:pPr>
        <w:ind w:left="2880" w:hanging="360"/>
      </w:pPr>
      <w:rPr>
        <w:rFonts w:ascii="Symbol" w:hAnsi="Symbol" w:hint="default"/>
      </w:rPr>
    </w:lvl>
    <w:lvl w:ilvl="4" w:tplc="2012D39E">
      <w:start w:val="1"/>
      <w:numFmt w:val="bullet"/>
      <w:lvlText w:val="o"/>
      <w:lvlJc w:val="left"/>
      <w:pPr>
        <w:ind w:left="3600" w:hanging="360"/>
      </w:pPr>
      <w:rPr>
        <w:rFonts w:ascii="Courier New" w:hAnsi="Courier New" w:hint="default"/>
      </w:rPr>
    </w:lvl>
    <w:lvl w:ilvl="5" w:tplc="F540517C">
      <w:start w:val="1"/>
      <w:numFmt w:val="bullet"/>
      <w:lvlText w:val=""/>
      <w:lvlJc w:val="left"/>
      <w:pPr>
        <w:ind w:left="4320" w:hanging="360"/>
      </w:pPr>
      <w:rPr>
        <w:rFonts w:ascii="Wingdings" w:hAnsi="Wingdings" w:hint="default"/>
      </w:rPr>
    </w:lvl>
    <w:lvl w:ilvl="6" w:tplc="6B0075FE">
      <w:start w:val="1"/>
      <w:numFmt w:val="bullet"/>
      <w:lvlText w:val=""/>
      <w:lvlJc w:val="left"/>
      <w:pPr>
        <w:ind w:left="5040" w:hanging="360"/>
      </w:pPr>
      <w:rPr>
        <w:rFonts w:ascii="Symbol" w:hAnsi="Symbol" w:hint="default"/>
      </w:rPr>
    </w:lvl>
    <w:lvl w:ilvl="7" w:tplc="350EB4C0">
      <w:start w:val="1"/>
      <w:numFmt w:val="bullet"/>
      <w:lvlText w:val="o"/>
      <w:lvlJc w:val="left"/>
      <w:pPr>
        <w:ind w:left="5760" w:hanging="360"/>
      </w:pPr>
      <w:rPr>
        <w:rFonts w:ascii="Courier New" w:hAnsi="Courier New" w:hint="default"/>
      </w:rPr>
    </w:lvl>
    <w:lvl w:ilvl="8" w:tplc="9C9CB300">
      <w:start w:val="1"/>
      <w:numFmt w:val="bullet"/>
      <w:lvlText w:val=""/>
      <w:lvlJc w:val="left"/>
      <w:pPr>
        <w:ind w:left="6480" w:hanging="360"/>
      </w:pPr>
      <w:rPr>
        <w:rFonts w:ascii="Wingdings" w:hAnsi="Wingdings" w:hint="default"/>
      </w:rPr>
    </w:lvl>
  </w:abstractNum>
  <w:num w:numId="1" w16cid:durableId="1660386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CE30B9"/>
    <w:rsid w:val="00061C3F"/>
    <w:rsid w:val="00063D4E"/>
    <w:rsid w:val="00446DF4"/>
    <w:rsid w:val="00490533"/>
    <w:rsid w:val="00674FA5"/>
    <w:rsid w:val="00726FEB"/>
    <w:rsid w:val="0074FF2A"/>
    <w:rsid w:val="007D2B69"/>
    <w:rsid w:val="00AD612E"/>
    <w:rsid w:val="00E53098"/>
    <w:rsid w:val="00EE5271"/>
    <w:rsid w:val="0AAC778A"/>
    <w:rsid w:val="0B8DDBDD"/>
    <w:rsid w:val="12D112C2"/>
    <w:rsid w:val="17D6650F"/>
    <w:rsid w:val="18313223"/>
    <w:rsid w:val="2B63DF7A"/>
    <w:rsid w:val="30F572CC"/>
    <w:rsid w:val="3AB91D8A"/>
    <w:rsid w:val="3CD81955"/>
    <w:rsid w:val="4167989E"/>
    <w:rsid w:val="4642ED1D"/>
    <w:rsid w:val="474F4DE8"/>
    <w:rsid w:val="4EDEACC0"/>
    <w:rsid w:val="5312410D"/>
    <w:rsid w:val="544F2F18"/>
    <w:rsid w:val="56F96FE9"/>
    <w:rsid w:val="5D0781ED"/>
    <w:rsid w:val="5DE91063"/>
    <w:rsid w:val="6ECE3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E30B9"/>
  <w15:chartTrackingRefBased/>
  <w15:docId w15:val="{10C93DCB-44FA-4824-8DC2-419F76011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2B63DF7A"/>
    <w:rPr>
      <w:color w:val="467886"/>
      <w:u w:val="single"/>
    </w:rPr>
  </w:style>
  <w:style w:type="paragraph" w:styleId="ListParagraph">
    <w:name w:val="List Paragraph"/>
    <w:basedOn w:val="Normal"/>
    <w:uiPriority w:val="34"/>
    <w:qFormat/>
    <w:rsid w:val="2B63DF7A"/>
    <w:pPr>
      <w:ind w:left="720"/>
      <w:contextualSpacing/>
    </w:pPr>
  </w:style>
  <w:style w:type="character" w:styleId="CommentReference">
    <w:name w:val="annotation reference"/>
    <w:basedOn w:val="DefaultParagraphFont"/>
    <w:uiPriority w:val="99"/>
    <w:semiHidden/>
    <w:unhideWhenUsed/>
    <w:rsid w:val="00063D4E"/>
    <w:rPr>
      <w:sz w:val="16"/>
      <w:szCs w:val="16"/>
    </w:rPr>
  </w:style>
  <w:style w:type="paragraph" w:styleId="CommentText">
    <w:name w:val="annotation text"/>
    <w:basedOn w:val="Normal"/>
    <w:link w:val="CommentTextChar"/>
    <w:uiPriority w:val="99"/>
    <w:unhideWhenUsed/>
    <w:rsid w:val="00063D4E"/>
    <w:pPr>
      <w:spacing w:line="240" w:lineRule="auto"/>
    </w:pPr>
    <w:rPr>
      <w:sz w:val="20"/>
      <w:szCs w:val="20"/>
    </w:rPr>
  </w:style>
  <w:style w:type="character" w:customStyle="1" w:styleId="CommentTextChar">
    <w:name w:val="Comment Text Char"/>
    <w:basedOn w:val="DefaultParagraphFont"/>
    <w:link w:val="CommentText"/>
    <w:uiPriority w:val="99"/>
    <w:rsid w:val="00063D4E"/>
    <w:rPr>
      <w:sz w:val="20"/>
      <w:szCs w:val="20"/>
    </w:rPr>
  </w:style>
  <w:style w:type="paragraph" w:styleId="CommentSubject">
    <w:name w:val="annotation subject"/>
    <w:basedOn w:val="CommentText"/>
    <w:next w:val="CommentText"/>
    <w:link w:val="CommentSubjectChar"/>
    <w:uiPriority w:val="99"/>
    <w:semiHidden/>
    <w:unhideWhenUsed/>
    <w:rsid w:val="00063D4E"/>
    <w:rPr>
      <w:b/>
      <w:bCs/>
    </w:rPr>
  </w:style>
  <w:style w:type="character" w:customStyle="1" w:styleId="CommentSubjectChar">
    <w:name w:val="Comment Subject Char"/>
    <w:basedOn w:val="CommentTextChar"/>
    <w:link w:val="CommentSubject"/>
    <w:uiPriority w:val="99"/>
    <w:semiHidden/>
    <w:rsid w:val="00063D4E"/>
    <w:rPr>
      <w:b/>
      <w:bCs/>
      <w:sz w:val="20"/>
      <w:szCs w:val="20"/>
    </w:rPr>
  </w:style>
  <w:style w:type="character" w:styleId="Mention">
    <w:name w:val="Mention"/>
    <w:basedOn w:val="DefaultParagraphFont"/>
    <w:uiPriority w:val="99"/>
    <w:unhideWhenUsed/>
    <w:rsid w:val="00063D4E"/>
    <w:rPr>
      <w:color w:val="2B579A"/>
      <w:shd w:val="clear" w:color="auto" w:fill="E1DFDD"/>
    </w:rPr>
  </w:style>
  <w:style w:type="paragraph" w:styleId="Revision">
    <w:name w:val="Revision"/>
    <w:hidden/>
    <w:uiPriority w:val="99"/>
    <w:semiHidden/>
    <w:rsid w:val="00490533"/>
    <w:pPr>
      <w:spacing w:after="0" w:line="240" w:lineRule="auto"/>
    </w:pPr>
  </w:style>
  <w:style w:type="paragraph" w:styleId="NormalWeb">
    <w:name w:val="Normal (Web)"/>
    <w:basedOn w:val="Normal"/>
    <w:uiPriority w:val="99"/>
    <w:semiHidden/>
    <w:unhideWhenUsed/>
    <w:rsid w:val="00674FA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80789">
      <w:bodyDiv w:val="1"/>
      <w:marLeft w:val="0"/>
      <w:marRight w:val="0"/>
      <w:marTop w:val="0"/>
      <w:marBottom w:val="0"/>
      <w:divBdr>
        <w:top w:val="none" w:sz="0" w:space="0" w:color="auto"/>
        <w:left w:val="none" w:sz="0" w:space="0" w:color="auto"/>
        <w:bottom w:val="none" w:sz="0" w:space="0" w:color="auto"/>
        <w:right w:val="none" w:sz="0" w:space="0" w:color="auto"/>
      </w:divBdr>
    </w:div>
    <w:div w:id="204373430">
      <w:bodyDiv w:val="1"/>
      <w:marLeft w:val="0"/>
      <w:marRight w:val="0"/>
      <w:marTop w:val="0"/>
      <w:marBottom w:val="0"/>
      <w:divBdr>
        <w:top w:val="none" w:sz="0" w:space="0" w:color="auto"/>
        <w:left w:val="none" w:sz="0" w:space="0" w:color="auto"/>
        <w:bottom w:val="none" w:sz="0" w:space="0" w:color="auto"/>
        <w:right w:val="none" w:sz="0" w:space="0" w:color="auto"/>
      </w:divBdr>
    </w:div>
    <w:div w:id="210595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7c79300-af82-4651-8bb4-0962fed79a64">OP365-568135467-6</_dlc_DocId>
    <_dlc_DocIdUrl xmlns="d7c79300-af82-4651-8bb4-0962fed79a64">
      <Url>https://caribank.sharepoint.com/sites/ZZ/PRN300311/_layouts/15/DocIdRedir.aspx?ID=OP365-568135467-6</Url>
      <Description>OP365-568135467-6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61ea6748-af05-4a75-9b44-37e5618d313b" ContentTypeId="0x0101" PreviousValue="false" LastSyncTimeStamp="2024-09-10T20:28:50.46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CC49802EF5CC24E88C9E28C21E9BCA6" ma:contentTypeVersion="0" ma:contentTypeDescription="Create a new document." ma:contentTypeScope="" ma:versionID="9f40e4709d125a7548e7d501f3a28985">
  <xsd:schema xmlns:xsd="http://www.w3.org/2001/XMLSchema" xmlns:xs="http://www.w3.org/2001/XMLSchema" xmlns:p="http://schemas.microsoft.com/office/2006/metadata/properties" xmlns:ns2="d7c79300-af82-4651-8bb4-0962fed79a64" targetNamespace="http://schemas.microsoft.com/office/2006/metadata/properties" ma:root="true" ma:fieldsID="14f838ae3020f6ecdbdb68039f7d3266" ns2:_="">
    <xsd:import namespace="d7c79300-af82-4651-8bb4-0962fed79a6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2D3084-83EB-4768-877B-1C967D1959AA}">
  <ds:schemaRefs>
    <ds:schemaRef ds:uri="http://schemas.microsoft.com/office/2006/metadata/properties"/>
    <ds:schemaRef ds:uri="http://schemas.microsoft.com/office/infopath/2007/PartnerControls"/>
    <ds:schemaRef ds:uri="d7c79300-af82-4651-8bb4-0962fed79a64"/>
  </ds:schemaRefs>
</ds:datastoreItem>
</file>

<file path=customXml/itemProps2.xml><?xml version="1.0" encoding="utf-8"?>
<ds:datastoreItem xmlns:ds="http://schemas.openxmlformats.org/officeDocument/2006/customXml" ds:itemID="{E58AA72D-DB25-42B9-96F2-F317F1D6A451}">
  <ds:schemaRefs>
    <ds:schemaRef ds:uri="http://schemas.microsoft.com/sharepoint/v3/contenttype/forms"/>
  </ds:schemaRefs>
</ds:datastoreItem>
</file>

<file path=customXml/itemProps3.xml><?xml version="1.0" encoding="utf-8"?>
<ds:datastoreItem xmlns:ds="http://schemas.openxmlformats.org/officeDocument/2006/customXml" ds:itemID="{08A88A87-71DE-43AB-B624-07F6D36D1916}">
  <ds:schemaRefs>
    <ds:schemaRef ds:uri="Microsoft.SharePoint.Taxonomy.ContentTypeSync"/>
  </ds:schemaRefs>
</ds:datastoreItem>
</file>

<file path=customXml/itemProps4.xml><?xml version="1.0" encoding="utf-8"?>
<ds:datastoreItem xmlns:ds="http://schemas.openxmlformats.org/officeDocument/2006/customXml" ds:itemID="{A77BC780-E054-4FE0-919B-F88FA0A96735}">
  <ds:schemaRefs>
    <ds:schemaRef ds:uri="http://schemas.microsoft.com/sharepoint/events"/>
  </ds:schemaRefs>
</ds:datastoreItem>
</file>

<file path=customXml/itemProps5.xml><?xml version="1.0" encoding="utf-8"?>
<ds:datastoreItem xmlns:ds="http://schemas.openxmlformats.org/officeDocument/2006/customXml" ds:itemID="{2D215DAE-5672-4234-87BC-FC93C1721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79300-af82-4651-8bb4-0962fed79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463</Words>
  <Characters>2642</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Videsh Kissoon</dc:creator>
  <cp:keywords/>
  <dc:description/>
  <cp:lastModifiedBy>Alice Castro</cp:lastModifiedBy>
  <cp:revision>9</cp:revision>
  <dcterms:created xsi:type="dcterms:W3CDTF">2025-07-11T13:35:00Z</dcterms:created>
  <dcterms:modified xsi:type="dcterms:W3CDTF">2025-07-14T17:31:00Z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0x0101000CC49802EF5CC24E88C9E28C21E9BCA6</vt:lpwstr>
  </property>
  <property fmtid="{D5CDD505-2E9C-101B-9397-08002B2CF9AE}" pid="3" name="_dlc_DocIdItemGuid">
    <vt:lpwstr>aa285d63-9b1d-49bf-878c-167f49a76857</vt:lpwstr>
  </property>
</Properties>
</file>