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C364" w14:textId="78029E54" w:rsidR="00E01237" w:rsidRPr="00437207" w:rsidRDefault="00E01237" w:rsidP="002A407D">
      <w:pPr>
        <w:ind w:right="57"/>
        <w:jc w:val="center"/>
        <w:rPr>
          <w:b/>
          <w:bCs/>
          <w:u w:val="single"/>
        </w:rPr>
      </w:pPr>
      <w:r w:rsidRPr="00437207">
        <w:rPr>
          <w:b/>
          <w:bCs/>
          <w:u w:val="single"/>
        </w:rPr>
        <w:t>STRENGTHENING INSTITUTIONAL CAPACITY FOR A RESILIENT CARIBBEAN COASTAL AND MARINE ENVIRONMENT PROJECT</w:t>
      </w:r>
    </w:p>
    <w:p w14:paraId="36FA4449" w14:textId="77777777" w:rsidR="00E01237" w:rsidRPr="00437207" w:rsidRDefault="00E01237" w:rsidP="002A407D">
      <w:pPr>
        <w:ind w:right="57"/>
        <w:jc w:val="center"/>
        <w:rPr>
          <w:b/>
          <w:bCs/>
          <w:u w:val="single"/>
        </w:rPr>
      </w:pPr>
    </w:p>
    <w:p w14:paraId="5796F10B" w14:textId="4B2A75E9" w:rsidR="00E01237" w:rsidRPr="00437207" w:rsidRDefault="00E01237" w:rsidP="002A407D">
      <w:pPr>
        <w:ind w:right="57"/>
        <w:jc w:val="center"/>
        <w:rPr>
          <w:b/>
          <w:bCs/>
          <w:u w:val="single"/>
        </w:rPr>
      </w:pPr>
      <w:r w:rsidRPr="00437207">
        <w:rPr>
          <w:b/>
          <w:bCs/>
          <w:u w:val="single"/>
        </w:rPr>
        <w:t xml:space="preserve">MARINE FORECASTER CONSULTANCY </w:t>
      </w:r>
    </w:p>
    <w:p w14:paraId="465E373E" w14:textId="77777777" w:rsidR="000B60C2" w:rsidRPr="00437207" w:rsidRDefault="000B60C2" w:rsidP="002A407D">
      <w:pPr>
        <w:ind w:right="57"/>
        <w:jc w:val="center"/>
        <w:rPr>
          <w:b/>
          <w:bCs/>
          <w:u w:val="single"/>
        </w:rPr>
      </w:pPr>
    </w:p>
    <w:p w14:paraId="15342BE3" w14:textId="52D9FE07" w:rsidR="000B60C2" w:rsidRPr="00437207" w:rsidRDefault="0040393D" w:rsidP="002A407D">
      <w:pPr>
        <w:ind w:right="57"/>
        <w:jc w:val="center"/>
        <w:rPr>
          <w:b/>
          <w:bCs/>
          <w:u w:val="single"/>
        </w:rPr>
      </w:pPr>
      <w:r>
        <w:rPr>
          <w:b/>
          <w:bCs/>
          <w:u w:val="single"/>
        </w:rPr>
        <w:t xml:space="preserve">DRAFT </w:t>
      </w:r>
      <w:r w:rsidR="000B60C2" w:rsidRPr="00437207">
        <w:rPr>
          <w:b/>
          <w:bCs/>
          <w:u w:val="single"/>
        </w:rPr>
        <w:t>TERMS OF REFERENCE</w:t>
      </w:r>
    </w:p>
    <w:p w14:paraId="4FDDC650" w14:textId="5C8D0A91" w:rsidR="00E33D94" w:rsidRPr="00437207" w:rsidRDefault="00E33D94" w:rsidP="002A407D">
      <w:pPr>
        <w:ind w:right="57"/>
        <w:jc w:val="center"/>
      </w:pPr>
    </w:p>
    <w:p w14:paraId="0A0DC1E8" w14:textId="77777777" w:rsidR="00E33D94" w:rsidRPr="00437207" w:rsidRDefault="00E33D94" w:rsidP="00C1266D">
      <w:pPr>
        <w:pStyle w:val="Heading1"/>
        <w:numPr>
          <w:ilvl w:val="0"/>
          <w:numId w:val="1"/>
        </w:numPr>
        <w:tabs>
          <w:tab w:val="num" w:pos="851"/>
        </w:tabs>
        <w:spacing w:before="0" w:after="0"/>
        <w:ind w:left="720" w:right="57" w:hanging="720"/>
        <w:jc w:val="left"/>
        <w:rPr>
          <w:rFonts w:ascii="Times New Roman" w:hAnsi="Times New Roman" w:cs="Times New Roman"/>
          <w:b/>
          <w:sz w:val="22"/>
          <w:szCs w:val="22"/>
        </w:rPr>
      </w:pPr>
      <w:r w:rsidRPr="00437207">
        <w:rPr>
          <w:rFonts w:ascii="Times New Roman" w:eastAsia="Times New Roman" w:hAnsi="Times New Roman" w:cs="Times New Roman"/>
          <w:b/>
          <w:bCs/>
          <w:color w:val="auto"/>
          <w:sz w:val="22"/>
          <w:szCs w:val="22"/>
        </w:rPr>
        <w:t>BACKGROUND</w:t>
      </w:r>
    </w:p>
    <w:p w14:paraId="4CD4A8C3" w14:textId="77777777" w:rsidR="00E33D94" w:rsidRPr="00437207" w:rsidRDefault="00E33D94" w:rsidP="002A407D">
      <w:pPr>
        <w:pStyle w:val="BodyText"/>
        <w:ind w:right="57"/>
        <w:rPr>
          <w:b/>
        </w:rPr>
      </w:pPr>
    </w:p>
    <w:p w14:paraId="155B259F" w14:textId="77777777" w:rsidR="00E33D94" w:rsidRPr="00437207" w:rsidRDefault="00E33D94" w:rsidP="002A407D">
      <w:pPr>
        <w:pStyle w:val="ListParagraph"/>
        <w:numPr>
          <w:ilvl w:val="1"/>
          <w:numId w:val="1"/>
        </w:numPr>
        <w:spacing w:before="1"/>
        <w:ind w:left="0" w:right="57" w:firstLine="0"/>
        <w:contextualSpacing w:val="0"/>
        <w:jc w:val="both"/>
        <w:rPr>
          <w:color w:val="000009"/>
        </w:rPr>
      </w:pPr>
      <w:r w:rsidRPr="00437207">
        <w:rPr>
          <w:color w:val="000009"/>
        </w:rPr>
        <w:t>The Caribbean Institute for Meteorology and Hydrology (CIMH) is an Institution of the Caribbean Community (CARICOM) and the technical Organ of the Caribbean Meteorological Organization (CMO). The mandate of the CIMH is to assist in improving and developing the meteorological and hydrological services as well as providing awareness of the benefits of meteorology and hydrology for the economic well-being of the sixteen (16) CMO Member States. This is achieved through training, research, investigations, and the provision of related specialised services and advice.</w:t>
      </w:r>
    </w:p>
    <w:p w14:paraId="64BF0400" w14:textId="77777777" w:rsidR="00E33D94" w:rsidRPr="00437207" w:rsidRDefault="00E33D94" w:rsidP="002A407D">
      <w:pPr>
        <w:pStyle w:val="ListParagraph"/>
        <w:tabs>
          <w:tab w:val="left" w:pos="839"/>
        </w:tabs>
        <w:spacing w:before="1"/>
        <w:ind w:left="0" w:right="57"/>
        <w:contextualSpacing w:val="0"/>
        <w:jc w:val="both"/>
        <w:rPr>
          <w:color w:val="000009"/>
        </w:rPr>
      </w:pPr>
    </w:p>
    <w:p w14:paraId="0F095988" w14:textId="77777777" w:rsidR="00E33D94" w:rsidRPr="00437207" w:rsidRDefault="00E33D94" w:rsidP="002A407D">
      <w:pPr>
        <w:pStyle w:val="ListParagraph"/>
        <w:numPr>
          <w:ilvl w:val="1"/>
          <w:numId w:val="1"/>
        </w:numPr>
        <w:tabs>
          <w:tab w:val="left" w:pos="839"/>
        </w:tabs>
        <w:spacing w:before="1"/>
        <w:ind w:left="0" w:right="57" w:firstLine="0"/>
        <w:contextualSpacing w:val="0"/>
        <w:jc w:val="both"/>
        <w:rPr>
          <w:color w:val="000009"/>
        </w:rPr>
      </w:pPr>
      <w:r w:rsidRPr="00437207">
        <w:rPr>
          <w:color w:val="000009"/>
        </w:rPr>
        <w:t>In achieving its mandate, the CIMH has established an affiliation with the University of the West Indies, Cave Hill campus, where its primary responsibility is to deliver the B.Sc. programme in Meteorology in the Faculty of Pure and Applied Sciences. The CIMH is also recognised by the World Meteorological Organization as (a) its designated Regional Training Centre in the Caribbean for Meteorology and Hydrology and related disciplines, (b) its designated Regional Instrument Centre for the Caribbean, (c) a Centre of Excellence in Satellite Meteorology Training, (d) its designated Regional Climate Centre for the Caribbean and (e) the Pan American Node of the Sand and Dust Storm Warning Alerting and Assessment System.</w:t>
      </w:r>
    </w:p>
    <w:p w14:paraId="74BC6E99" w14:textId="77777777" w:rsidR="00E33D94" w:rsidRPr="00437207" w:rsidRDefault="00E33D94" w:rsidP="002A407D">
      <w:pPr>
        <w:pStyle w:val="ListParagraph"/>
        <w:tabs>
          <w:tab w:val="left" w:pos="839"/>
        </w:tabs>
        <w:spacing w:before="1"/>
        <w:ind w:left="0" w:right="57"/>
        <w:contextualSpacing w:val="0"/>
        <w:jc w:val="both"/>
        <w:rPr>
          <w:color w:val="000009"/>
        </w:rPr>
      </w:pPr>
    </w:p>
    <w:p w14:paraId="7BEBEC9F" w14:textId="77777777" w:rsidR="00E33D94" w:rsidRPr="00437207" w:rsidRDefault="00E33D94" w:rsidP="002A407D">
      <w:pPr>
        <w:pStyle w:val="ListParagraph"/>
        <w:numPr>
          <w:ilvl w:val="1"/>
          <w:numId w:val="1"/>
        </w:numPr>
        <w:tabs>
          <w:tab w:val="left" w:pos="839"/>
        </w:tabs>
        <w:spacing w:before="1"/>
        <w:ind w:left="0" w:right="57" w:firstLine="0"/>
        <w:contextualSpacing w:val="0"/>
        <w:jc w:val="both"/>
        <w:rPr>
          <w:color w:val="000009"/>
        </w:rPr>
      </w:pPr>
      <w:r w:rsidRPr="00437207">
        <w:rPr>
          <w:color w:val="000009"/>
        </w:rPr>
        <w:t>The CIMH hosts and manages the Caribbean Centre for Climate and Environmental Simulations established within the last decade in recognition of the region’s need for high-speed computing to support operational and research activities in meteorology, hydrology, climatology and marine science. In addition, the CIMH is the Climate Data Centre for CMO Member States and is recognised as the leading regional centre for research and development related to meteorology, hydrology, agro-meteorology, climate and their applications. More recently, the CIMH established the Regional Marine Forecast Centre to support operational marine forecasting across the region and to provide some of the science essential for improving marine governance and decision making.</w:t>
      </w:r>
    </w:p>
    <w:p w14:paraId="24E19882" w14:textId="77777777" w:rsidR="00E33D94" w:rsidRPr="00437207" w:rsidRDefault="00E33D94" w:rsidP="002A407D">
      <w:pPr>
        <w:pStyle w:val="ListParagraph"/>
        <w:tabs>
          <w:tab w:val="left" w:pos="839"/>
        </w:tabs>
        <w:spacing w:before="1"/>
        <w:ind w:left="0" w:right="57"/>
        <w:contextualSpacing w:val="0"/>
        <w:jc w:val="both"/>
        <w:rPr>
          <w:color w:val="000009"/>
        </w:rPr>
      </w:pPr>
    </w:p>
    <w:p w14:paraId="7DA479BB" w14:textId="77777777" w:rsidR="00E33D94" w:rsidRPr="00437207" w:rsidRDefault="00E33D94" w:rsidP="002A407D">
      <w:pPr>
        <w:pStyle w:val="ListParagraph"/>
        <w:numPr>
          <w:ilvl w:val="1"/>
          <w:numId w:val="1"/>
        </w:numPr>
        <w:tabs>
          <w:tab w:val="left" w:pos="839"/>
        </w:tabs>
        <w:spacing w:before="1"/>
        <w:ind w:left="0" w:right="57" w:firstLine="0"/>
        <w:contextualSpacing w:val="0"/>
        <w:jc w:val="both"/>
        <w:rPr>
          <w:color w:val="000009"/>
        </w:rPr>
      </w:pPr>
      <w:r w:rsidRPr="00437207">
        <w:rPr>
          <w:color w:val="000009"/>
        </w:rPr>
        <w:t>The CIMH is active in such areas, including but not limited to environmental modeling, hydrological risk impacts forecasting and early warning system development. The CIMH has strong collaborations with other regional institutions such as the Caribbean Disaster Emergency Management Agency, the Caribbean Community Climate Change Centre, the Caribbean Centre for Renewable Energy and Energy Efficiency, the Caribbean Tourism Organization, the Caribbean Development Bank and the Caribbean Agriculture Research and Development Institute in addition to national organisations in CMO Member States. The CIMH also has strong links with the international community inclusive of donor agencies, universities, research and development centres and intergovernmental organisations.</w:t>
      </w:r>
    </w:p>
    <w:p w14:paraId="29DEF837" w14:textId="77777777" w:rsidR="00E33D94" w:rsidRPr="00437207" w:rsidRDefault="00E33D94" w:rsidP="002A407D">
      <w:pPr>
        <w:pStyle w:val="ListParagraph"/>
        <w:tabs>
          <w:tab w:val="left" w:pos="839"/>
        </w:tabs>
        <w:spacing w:before="1"/>
        <w:ind w:left="0" w:right="57"/>
        <w:contextualSpacing w:val="0"/>
        <w:jc w:val="both"/>
        <w:rPr>
          <w:color w:val="000009"/>
        </w:rPr>
      </w:pPr>
    </w:p>
    <w:p w14:paraId="69E5246E" w14:textId="77777777" w:rsidR="00E33D94" w:rsidRPr="00437207" w:rsidRDefault="00E33D94" w:rsidP="002A407D">
      <w:pPr>
        <w:pStyle w:val="ListParagraph"/>
        <w:numPr>
          <w:ilvl w:val="1"/>
          <w:numId w:val="1"/>
        </w:numPr>
        <w:tabs>
          <w:tab w:val="left" w:pos="839"/>
        </w:tabs>
        <w:spacing w:before="1"/>
        <w:ind w:left="0" w:right="57" w:firstLine="0"/>
        <w:contextualSpacing w:val="0"/>
        <w:jc w:val="both"/>
        <w:rPr>
          <w:color w:val="000009"/>
        </w:rPr>
      </w:pPr>
      <w:r w:rsidRPr="00BA099B">
        <w:rPr>
          <w:color w:val="000009"/>
        </w:rPr>
        <w:t>Small Island Developing States (SIDS) are defined as largely coastal as they have a large coastal area to land mass ratio. This often means that SIDS have marine exclusion zones and related resources that are significantly greater than their land mass. As a result, the coastal and marine environment plays a critical role in the evolution of nearly all aspects of SIDS including their socio-economic development. The Caribbean region relies heavily on its marine ecosystem for its food security</w:t>
      </w:r>
      <w:r w:rsidRPr="00437207">
        <w:rPr>
          <w:color w:val="000009"/>
        </w:rPr>
        <w:t xml:space="preserve"> with fisheries providing a significant low-cost component of the daily protein diet of many persons. Marine related activities such as fisheries, tourism, recreation, shipping, and mineral resource mining among others contribute significantly to the sustainable development of the region through jobs and revenue generated. Although the marine environment contributes significantly to regional economies, marine related and influenced natural and anthropogenic hazards pose significant threats to the sustainable development of the region. For example, an outcome of climate change is sea level rise which will inundate vulnerable low-lying </w:t>
      </w:r>
      <w:r w:rsidRPr="00437207">
        <w:rPr>
          <w:color w:val="000009"/>
        </w:rPr>
        <w:lastRenderedPageBreak/>
        <w:t>coastlines and communities across the region, destroying lives and livelihoods in the process.</w:t>
      </w:r>
    </w:p>
    <w:p w14:paraId="16B3709F" w14:textId="77777777" w:rsidR="00E33D94" w:rsidRPr="00437207" w:rsidRDefault="00E33D94" w:rsidP="002A407D">
      <w:pPr>
        <w:tabs>
          <w:tab w:val="left" w:pos="839"/>
          <w:tab w:val="left" w:pos="3180"/>
        </w:tabs>
        <w:spacing w:before="1"/>
        <w:ind w:right="57"/>
        <w:rPr>
          <w:color w:val="000009"/>
        </w:rPr>
      </w:pPr>
    </w:p>
    <w:p w14:paraId="7CF4435F" w14:textId="77777777" w:rsidR="00E33D94" w:rsidRPr="00437207" w:rsidRDefault="00E33D94" w:rsidP="002A407D">
      <w:pPr>
        <w:pStyle w:val="ListParagraph"/>
        <w:numPr>
          <w:ilvl w:val="1"/>
          <w:numId w:val="1"/>
        </w:numPr>
        <w:tabs>
          <w:tab w:val="left" w:pos="839"/>
        </w:tabs>
        <w:spacing w:before="1"/>
        <w:ind w:left="0" w:right="57" w:firstLine="0"/>
        <w:contextualSpacing w:val="0"/>
        <w:jc w:val="both"/>
        <w:rPr>
          <w:color w:val="000009"/>
        </w:rPr>
      </w:pPr>
      <w:r w:rsidRPr="00437207">
        <w:rPr>
          <w:color w:val="000009"/>
        </w:rPr>
        <w:t>This situation will be further exacerbated by storm surges and dangerous waves related to the passage of significant weather events through the region or north-westerly swells emanating from North America. Elevated sea surface temperatures provide the heat that drives many of the significant weather events across the region. Under future climates, increased sea surface temperatures and their increased occurrences compared to present day are anticipated to support rapid intensification of severe weather events further exacerbating coastal inundation, coastal erosion and the destruction of coastal marine ecosystems and habitats leading to significant socio-economic impacts.</w:t>
      </w:r>
    </w:p>
    <w:p w14:paraId="41C99BE2" w14:textId="77777777" w:rsidR="00E33D94" w:rsidRPr="00437207" w:rsidRDefault="00E33D94" w:rsidP="002A407D">
      <w:pPr>
        <w:tabs>
          <w:tab w:val="left" w:pos="839"/>
        </w:tabs>
        <w:spacing w:before="1"/>
        <w:ind w:right="57"/>
        <w:jc w:val="both"/>
        <w:rPr>
          <w:color w:val="000009"/>
        </w:rPr>
      </w:pPr>
    </w:p>
    <w:p w14:paraId="6E6DF70E" w14:textId="77777777" w:rsidR="00E33D94" w:rsidRPr="00437207" w:rsidRDefault="00E33D94" w:rsidP="002A407D">
      <w:pPr>
        <w:pStyle w:val="ListParagraph"/>
        <w:numPr>
          <w:ilvl w:val="1"/>
          <w:numId w:val="1"/>
        </w:numPr>
        <w:tabs>
          <w:tab w:val="left" w:pos="839"/>
        </w:tabs>
        <w:spacing w:before="1"/>
        <w:ind w:left="0" w:right="57" w:firstLine="0"/>
        <w:contextualSpacing w:val="0"/>
        <w:jc w:val="both"/>
        <w:rPr>
          <w:color w:val="000009"/>
        </w:rPr>
      </w:pPr>
      <w:r w:rsidRPr="00437207">
        <w:rPr>
          <w:color w:val="000009"/>
        </w:rPr>
        <w:t>Caribbean states are heavily dependent on oil and gas imports to address their increasing energy demands. To address this problem and reduce the Region’s dependence on external sources of energy, offshore oil and gas production in the Southern Caribbean has increased significantly with Guyana joining Trinidad and Tobago and Suriname in the offshore production and export of petroleum products. This increased industrial activity in the marine environment poses significant threats to marine ecosystems in the Caribbean given the northerly marine currents that transport water and sediment from South America to the Caribbean. These northerly currents are also responsible for the movement of significant freshwater plumes from South American rivers, in particular, the Amazon and Orinoco rivers, to the Caribbean. These plumes alter the chemical and physical properties of the marine environment in and around Caribbean islands leading to impacts to marine biodiversity including fisheries. With changes to the climate over the watersheds feeding these river systems, coupled with changes in land use in many of these watersheds, there is a growing concern related to the periodic and long-term evolution of marine water quality in the Caribbean and its long-term impacts on the region’s biodiversity. Over the last two decades, these changes to marine biodiversity in the region are being seen with the increasing persistence and regularity of sargassum seaweed across the region which impacts fisheries, the usability of beaches for tourism and degrades air quality in coastal regions when it decays.</w:t>
      </w:r>
    </w:p>
    <w:p w14:paraId="0BABB8A5" w14:textId="77777777" w:rsidR="00E33D94" w:rsidRPr="00437207" w:rsidRDefault="00E33D94" w:rsidP="002A407D">
      <w:pPr>
        <w:pStyle w:val="BodyText"/>
        <w:ind w:right="57"/>
        <w:rPr>
          <w:color w:val="000009"/>
        </w:rPr>
      </w:pPr>
    </w:p>
    <w:p w14:paraId="55D73C6D" w14:textId="77777777" w:rsidR="00E33D94" w:rsidRPr="00437207" w:rsidRDefault="00E33D94" w:rsidP="002A407D">
      <w:pPr>
        <w:pStyle w:val="ListParagraph"/>
        <w:numPr>
          <w:ilvl w:val="1"/>
          <w:numId w:val="1"/>
        </w:numPr>
        <w:tabs>
          <w:tab w:val="left" w:pos="839"/>
        </w:tabs>
        <w:spacing w:before="1"/>
        <w:ind w:left="0" w:right="57" w:firstLine="0"/>
        <w:contextualSpacing w:val="0"/>
        <w:jc w:val="both"/>
        <w:rPr>
          <w:color w:val="000009"/>
        </w:rPr>
      </w:pPr>
      <w:r w:rsidRPr="00437207">
        <w:rPr>
          <w:color w:val="000009"/>
        </w:rPr>
        <w:t>Improving marine governance processes in the Caribbean to sustainably manage the region’s marine resources and ecosystems, requires human capacity, technological capacity and a range of data at varying spatio-temporal scales. To support addressing some of these areas, the Board of Governors of the CIMH and the Caribbean Meteorological Council approved the establishment of a Regional Marine Forecast Support Centre (RMFSC) to be supported and managed through the CIMH based on recommendations from a feasibility study executed by OEA Technologies in 2020 under the ACP-EU- CDB-NDRM programme. The specific aims of the RMFSC include (a) support for the development of capacity within National Meteorological and Hydrological Services (NMHSs) and other national institutions within CMO Member States to develop, deliver and interpret marine meteorological forecasts and associated impacts within their respective jurisdictions; (b) deliver in a sustainable manner marine forecast, monitoring and early warning supporting products and services for the wider Caribbean Sea and adjacent oceans at spatial and temporal scales that meet the needs of stakeholders including disaster management, fisher folk, coastal zone management, marine transport, security/search and rescue, and tourism; and (c) improve the understanding of deep ocean circulation processes and their role in influencing the region’s climate systems and related food supply systems.</w:t>
      </w:r>
    </w:p>
    <w:p w14:paraId="3D35FB10" w14:textId="77777777" w:rsidR="00E33D94" w:rsidRPr="00437207" w:rsidRDefault="00E33D94" w:rsidP="002A407D">
      <w:pPr>
        <w:pStyle w:val="BodyText"/>
        <w:ind w:right="57"/>
        <w:rPr>
          <w:color w:val="000009"/>
        </w:rPr>
      </w:pPr>
    </w:p>
    <w:p w14:paraId="5AED6A01" w14:textId="77777777" w:rsidR="00E33D94" w:rsidRPr="00437207" w:rsidRDefault="00E33D94" w:rsidP="002A407D">
      <w:pPr>
        <w:pStyle w:val="ListParagraph"/>
        <w:numPr>
          <w:ilvl w:val="1"/>
          <w:numId w:val="1"/>
        </w:numPr>
        <w:tabs>
          <w:tab w:val="left" w:pos="839"/>
        </w:tabs>
        <w:ind w:left="0" w:right="57" w:firstLine="0"/>
        <w:contextualSpacing w:val="0"/>
        <w:jc w:val="both"/>
        <w:rPr>
          <w:color w:val="000009"/>
        </w:rPr>
      </w:pPr>
      <w:r w:rsidRPr="00437207">
        <w:rPr>
          <w:color w:val="000009"/>
        </w:rPr>
        <w:t>Under the ACP-EU-CDB-NDRM programme, staff at the CIMH also received training in marine forecasting and was provided with train-the-trainer material to build further capacity and enhance regional marine forecasting-related training programmes. This capacity building effort led to the development at the CIMH of prototype operational marine forecasting applications including but not limited to deep ocean circulation, free surface and surface currents prediction models. Model development was subsequently enhanced in 2023 through technical visits to the Center for Ocean-Atmospheric Prediction Studies and HR Wallingford under the USAID funded Strengthening Disaster and Climate Resilience programme that was executed by the CIMH. The outputs for the prototype marine applications are currently hosted by the CIMH and continue to be under development.</w:t>
      </w:r>
    </w:p>
    <w:p w14:paraId="6108965B" w14:textId="77777777" w:rsidR="00E33D94" w:rsidRPr="00437207" w:rsidRDefault="00E33D94" w:rsidP="002A407D">
      <w:pPr>
        <w:tabs>
          <w:tab w:val="left" w:pos="839"/>
        </w:tabs>
        <w:spacing w:before="1"/>
        <w:ind w:right="57"/>
        <w:jc w:val="both"/>
        <w:rPr>
          <w:color w:val="000009"/>
        </w:rPr>
      </w:pPr>
    </w:p>
    <w:p w14:paraId="217D13C7" w14:textId="77777777" w:rsidR="00E33D94" w:rsidRPr="00437207" w:rsidRDefault="00E33D94" w:rsidP="00164755">
      <w:pPr>
        <w:pStyle w:val="Heading1"/>
        <w:numPr>
          <w:ilvl w:val="0"/>
          <w:numId w:val="1"/>
        </w:numPr>
        <w:tabs>
          <w:tab w:val="left" w:pos="851"/>
          <w:tab w:val="num" w:pos="993"/>
        </w:tabs>
        <w:spacing w:before="0" w:after="0"/>
        <w:ind w:left="993" w:right="57" w:hanging="993"/>
        <w:jc w:val="left"/>
        <w:rPr>
          <w:rFonts w:ascii="Times New Roman" w:eastAsia="Times New Roman" w:hAnsi="Times New Roman" w:cs="Times New Roman"/>
          <w:b/>
          <w:bCs/>
          <w:color w:val="auto"/>
          <w:sz w:val="22"/>
          <w:szCs w:val="22"/>
        </w:rPr>
      </w:pPr>
      <w:r w:rsidRPr="00437207">
        <w:rPr>
          <w:rFonts w:ascii="Times New Roman" w:eastAsia="Times New Roman" w:hAnsi="Times New Roman" w:cs="Times New Roman"/>
          <w:b/>
          <w:bCs/>
          <w:color w:val="auto"/>
          <w:sz w:val="22"/>
          <w:szCs w:val="22"/>
        </w:rPr>
        <w:lastRenderedPageBreak/>
        <w:t>OBJECTIVES</w:t>
      </w:r>
    </w:p>
    <w:p w14:paraId="566C704A" w14:textId="77777777" w:rsidR="00E33D94" w:rsidRPr="00437207" w:rsidRDefault="00E33D94" w:rsidP="002A407D">
      <w:pPr>
        <w:pStyle w:val="BodyText"/>
        <w:ind w:right="57"/>
        <w:rPr>
          <w:b/>
        </w:rPr>
      </w:pPr>
    </w:p>
    <w:p w14:paraId="191CAD2A" w14:textId="77777777" w:rsidR="00E33D94" w:rsidRDefault="00E33D94" w:rsidP="002A407D">
      <w:pPr>
        <w:pStyle w:val="ListParagraph"/>
        <w:numPr>
          <w:ilvl w:val="1"/>
          <w:numId w:val="1"/>
        </w:numPr>
        <w:tabs>
          <w:tab w:val="left" w:pos="839"/>
        </w:tabs>
        <w:ind w:left="0" w:right="57" w:firstLine="0"/>
        <w:contextualSpacing w:val="0"/>
        <w:jc w:val="both"/>
        <w:rPr>
          <w:color w:val="000009"/>
        </w:rPr>
      </w:pPr>
      <w:r w:rsidRPr="00437207">
        <w:rPr>
          <w:color w:val="000009"/>
        </w:rPr>
        <w:t>The focus of this consultancy is to enhance marine products produced</w:t>
      </w:r>
      <w:r w:rsidRPr="00437207">
        <w:rPr>
          <w:color w:val="000009"/>
          <w:spacing w:val="-8"/>
        </w:rPr>
        <w:t xml:space="preserve"> </w:t>
      </w:r>
      <w:r w:rsidRPr="00437207">
        <w:rPr>
          <w:color w:val="000009"/>
        </w:rPr>
        <w:t>by</w:t>
      </w:r>
      <w:r w:rsidRPr="00437207">
        <w:rPr>
          <w:color w:val="000009"/>
          <w:spacing w:val="-8"/>
        </w:rPr>
        <w:t xml:space="preserve"> </w:t>
      </w:r>
      <w:r w:rsidRPr="00437207">
        <w:rPr>
          <w:color w:val="000009"/>
        </w:rPr>
        <w:t>the</w:t>
      </w:r>
      <w:r w:rsidRPr="00437207">
        <w:rPr>
          <w:color w:val="000009"/>
          <w:spacing w:val="-10"/>
        </w:rPr>
        <w:t xml:space="preserve"> </w:t>
      </w:r>
      <w:r w:rsidRPr="00437207">
        <w:rPr>
          <w:color w:val="000009"/>
        </w:rPr>
        <w:t>CIMH</w:t>
      </w:r>
      <w:r w:rsidRPr="00437207">
        <w:rPr>
          <w:color w:val="000009"/>
          <w:spacing w:val="-8"/>
        </w:rPr>
        <w:t xml:space="preserve"> through the RMFSC </w:t>
      </w:r>
      <w:r w:rsidRPr="00437207">
        <w:rPr>
          <w:color w:val="000009"/>
        </w:rPr>
        <w:t>and</w:t>
      </w:r>
      <w:r w:rsidRPr="00437207">
        <w:rPr>
          <w:color w:val="000009"/>
          <w:spacing w:val="-7"/>
        </w:rPr>
        <w:t xml:space="preserve"> </w:t>
      </w:r>
      <w:r w:rsidRPr="00437207">
        <w:rPr>
          <w:color w:val="000009"/>
        </w:rPr>
        <w:t>strengthen the</w:t>
      </w:r>
      <w:r w:rsidRPr="00437207">
        <w:rPr>
          <w:color w:val="000009"/>
          <w:spacing w:val="-7"/>
        </w:rPr>
        <w:t xml:space="preserve"> </w:t>
      </w:r>
      <w:r w:rsidRPr="00437207">
        <w:rPr>
          <w:color w:val="000009"/>
        </w:rPr>
        <w:t>delivery</w:t>
      </w:r>
      <w:r w:rsidRPr="00437207">
        <w:rPr>
          <w:color w:val="000009"/>
          <w:spacing w:val="-6"/>
        </w:rPr>
        <w:t xml:space="preserve"> </w:t>
      </w:r>
      <w:r w:rsidRPr="00437207">
        <w:rPr>
          <w:color w:val="000009"/>
        </w:rPr>
        <w:t>of</w:t>
      </w:r>
      <w:r w:rsidRPr="00437207">
        <w:rPr>
          <w:color w:val="000009"/>
          <w:spacing w:val="-7"/>
        </w:rPr>
        <w:t xml:space="preserve"> </w:t>
      </w:r>
      <w:r w:rsidRPr="00437207">
        <w:rPr>
          <w:color w:val="000009"/>
        </w:rPr>
        <w:t>marine</w:t>
      </w:r>
      <w:r w:rsidRPr="00437207">
        <w:rPr>
          <w:color w:val="000009"/>
          <w:spacing w:val="-7"/>
        </w:rPr>
        <w:t xml:space="preserve"> </w:t>
      </w:r>
      <w:r w:rsidRPr="00437207">
        <w:rPr>
          <w:color w:val="000009"/>
        </w:rPr>
        <w:t>related</w:t>
      </w:r>
      <w:r w:rsidRPr="00437207">
        <w:rPr>
          <w:color w:val="000009"/>
          <w:spacing w:val="-7"/>
        </w:rPr>
        <w:t xml:space="preserve"> </w:t>
      </w:r>
      <w:r w:rsidRPr="00437207">
        <w:rPr>
          <w:color w:val="000009"/>
        </w:rPr>
        <w:t>training</w:t>
      </w:r>
      <w:r w:rsidRPr="00437207">
        <w:rPr>
          <w:color w:val="000009"/>
          <w:spacing w:val="-8"/>
        </w:rPr>
        <w:t xml:space="preserve"> </w:t>
      </w:r>
      <w:r w:rsidRPr="00437207">
        <w:rPr>
          <w:color w:val="000009"/>
        </w:rPr>
        <w:t>and</w:t>
      </w:r>
      <w:r w:rsidRPr="00437207">
        <w:rPr>
          <w:color w:val="000009"/>
          <w:spacing w:val="-6"/>
        </w:rPr>
        <w:t xml:space="preserve"> </w:t>
      </w:r>
      <w:r w:rsidRPr="00437207">
        <w:rPr>
          <w:color w:val="000009"/>
        </w:rPr>
        <w:t>research</w:t>
      </w:r>
      <w:r w:rsidRPr="00437207">
        <w:rPr>
          <w:color w:val="000009"/>
          <w:spacing w:val="-7"/>
        </w:rPr>
        <w:t xml:space="preserve"> </w:t>
      </w:r>
      <w:r w:rsidRPr="00437207">
        <w:rPr>
          <w:color w:val="000009"/>
        </w:rPr>
        <w:t>across</w:t>
      </w:r>
      <w:r w:rsidRPr="00437207">
        <w:rPr>
          <w:color w:val="000009"/>
          <w:spacing w:val="-7"/>
        </w:rPr>
        <w:t xml:space="preserve"> </w:t>
      </w:r>
      <w:r w:rsidRPr="00437207">
        <w:rPr>
          <w:color w:val="000009"/>
        </w:rPr>
        <w:t>the</w:t>
      </w:r>
      <w:r w:rsidRPr="00437207">
        <w:rPr>
          <w:color w:val="000009"/>
          <w:spacing w:val="-7"/>
        </w:rPr>
        <w:t xml:space="preserve"> </w:t>
      </w:r>
      <w:r w:rsidRPr="00437207">
        <w:rPr>
          <w:color w:val="000009"/>
        </w:rPr>
        <w:t>region</w:t>
      </w:r>
      <w:r w:rsidRPr="00437207">
        <w:rPr>
          <w:color w:val="000009"/>
          <w:spacing w:val="-8"/>
        </w:rPr>
        <w:t xml:space="preserve"> </w:t>
      </w:r>
      <w:r w:rsidRPr="00437207">
        <w:rPr>
          <w:color w:val="000009"/>
        </w:rPr>
        <w:t>and</w:t>
      </w:r>
      <w:r w:rsidRPr="00437207">
        <w:rPr>
          <w:color w:val="000009"/>
          <w:spacing w:val="-6"/>
        </w:rPr>
        <w:t xml:space="preserve"> </w:t>
      </w:r>
      <w:r w:rsidRPr="00437207">
        <w:rPr>
          <w:color w:val="000009"/>
        </w:rPr>
        <w:t>in</w:t>
      </w:r>
      <w:r w:rsidRPr="00437207">
        <w:rPr>
          <w:color w:val="000009"/>
          <w:spacing w:val="-3"/>
        </w:rPr>
        <w:t xml:space="preserve"> </w:t>
      </w:r>
      <w:r w:rsidRPr="00437207">
        <w:rPr>
          <w:color w:val="000009"/>
        </w:rPr>
        <w:t>particular</w:t>
      </w:r>
      <w:r w:rsidRPr="00437207">
        <w:rPr>
          <w:color w:val="000009"/>
          <w:spacing w:val="-7"/>
        </w:rPr>
        <w:t xml:space="preserve"> </w:t>
      </w:r>
      <w:r w:rsidRPr="00437207">
        <w:rPr>
          <w:color w:val="000009"/>
        </w:rPr>
        <w:t>the</w:t>
      </w:r>
      <w:r w:rsidRPr="00437207">
        <w:rPr>
          <w:color w:val="000009"/>
          <w:spacing w:val="-7"/>
        </w:rPr>
        <w:t xml:space="preserve"> </w:t>
      </w:r>
      <w:r w:rsidRPr="00437207">
        <w:rPr>
          <w:color w:val="000009"/>
        </w:rPr>
        <w:t>member</w:t>
      </w:r>
      <w:r w:rsidRPr="00437207">
        <w:rPr>
          <w:color w:val="000009"/>
          <w:spacing w:val="-6"/>
        </w:rPr>
        <w:t xml:space="preserve"> </w:t>
      </w:r>
      <w:r w:rsidRPr="00437207">
        <w:rPr>
          <w:color w:val="000009"/>
        </w:rPr>
        <w:t>states</w:t>
      </w:r>
      <w:r w:rsidRPr="00437207">
        <w:rPr>
          <w:color w:val="000009"/>
          <w:spacing w:val="-8"/>
        </w:rPr>
        <w:t xml:space="preserve"> </w:t>
      </w:r>
      <w:r w:rsidRPr="00437207">
        <w:rPr>
          <w:color w:val="000009"/>
        </w:rPr>
        <w:t>of the CIMH and Borrowing Member Countries (BMCs) of the Caribbean Development Bank.</w:t>
      </w:r>
    </w:p>
    <w:p w14:paraId="60EB0CA6" w14:textId="77777777" w:rsidR="006D79A4" w:rsidRPr="006D79A4" w:rsidRDefault="006D79A4" w:rsidP="006D79A4">
      <w:pPr>
        <w:tabs>
          <w:tab w:val="left" w:pos="839"/>
        </w:tabs>
        <w:ind w:right="57"/>
        <w:jc w:val="both"/>
        <w:rPr>
          <w:color w:val="000009"/>
        </w:rPr>
      </w:pPr>
    </w:p>
    <w:p w14:paraId="7C2BD568" w14:textId="77777777" w:rsidR="00E33D94" w:rsidRPr="00437207" w:rsidRDefault="00E33D94" w:rsidP="00164755">
      <w:pPr>
        <w:pStyle w:val="Heading1"/>
        <w:numPr>
          <w:ilvl w:val="0"/>
          <w:numId w:val="1"/>
        </w:numPr>
        <w:tabs>
          <w:tab w:val="num" w:pos="851"/>
        </w:tabs>
        <w:spacing w:before="0" w:after="0"/>
        <w:ind w:left="720" w:right="57" w:hanging="720"/>
        <w:jc w:val="left"/>
        <w:rPr>
          <w:rFonts w:ascii="Times New Roman" w:eastAsia="Times New Roman" w:hAnsi="Times New Roman" w:cs="Times New Roman"/>
          <w:b/>
          <w:bCs/>
          <w:color w:val="auto"/>
          <w:sz w:val="22"/>
          <w:szCs w:val="22"/>
        </w:rPr>
      </w:pPr>
      <w:r w:rsidRPr="00437207">
        <w:rPr>
          <w:rFonts w:ascii="Times New Roman" w:eastAsia="Times New Roman" w:hAnsi="Times New Roman" w:cs="Times New Roman"/>
          <w:b/>
          <w:bCs/>
          <w:color w:val="auto"/>
          <w:sz w:val="22"/>
          <w:szCs w:val="22"/>
        </w:rPr>
        <w:t>SCOPE OF WORK</w:t>
      </w:r>
    </w:p>
    <w:p w14:paraId="38A6FCFB" w14:textId="77777777" w:rsidR="00E33D94" w:rsidRPr="00437207" w:rsidRDefault="00E33D94" w:rsidP="002A407D">
      <w:pPr>
        <w:pStyle w:val="BodyText"/>
        <w:ind w:right="57"/>
        <w:rPr>
          <w:b/>
        </w:rPr>
      </w:pPr>
    </w:p>
    <w:p w14:paraId="7943E8F2" w14:textId="77777777" w:rsidR="00E33D94" w:rsidRPr="00437207" w:rsidRDefault="00E33D94" w:rsidP="00164755">
      <w:pPr>
        <w:pStyle w:val="ListParagraph"/>
        <w:numPr>
          <w:ilvl w:val="1"/>
          <w:numId w:val="1"/>
        </w:numPr>
        <w:ind w:left="0" w:right="57" w:firstLine="0"/>
        <w:contextualSpacing w:val="0"/>
      </w:pPr>
      <w:r w:rsidRPr="00437207">
        <w:t>The</w:t>
      </w:r>
      <w:r w:rsidRPr="00437207">
        <w:rPr>
          <w:spacing w:val="-7"/>
        </w:rPr>
        <w:t xml:space="preserve"> </w:t>
      </w:r>
      <w:r w:rsidRPr="00437207">
        <w:t>specific</w:t>
      </w:r>
      <w:r w:rsidRPr="00437207">
        <w:rPr>
          <w:spacing w:val="-5"/>
        </w:rPr>
        <w:t xml:space="preserve"> </w:t>
      </w:r>
      <w:r w:rsidRPr="00437207">
        <w:t>duties</w:t>
      </w:r>
      <w:r w:rsidRPr="00437207">
        <w:rPr>
          <w:spacing w:val="-7"/>
        </w:rPr>
        <w:t xml:space="preserve"> </w:t>
      </w:r>
      <w:r w:rsidRPr="00437207">
        <w:t>and</w:t>
      </w:r>
      <w:r w:rsidRPr="00437207">
        <w:rPr>
          <w:spacing w:val="-6"/>
        </w:rPr>
        <w:t xml:space="preserve"> </w:t>
      </w:r>
      <w:r w:rsidRPr="00437207">
        <w:t>responsibilities</w:t>
      </w:r>
      <w:r w:rsidRPr="00437207">
        <w:rPr>
          <w:spacing w:val="-8"/>
        </w:rPr>
        <w:t xml:space="preserve"> </w:t>
      </w:r>
      <w:r w:rsidRPr="00437207">
        <w:t>of</w:t>
      </w:r>
      <w:r w:rsidRPr="00437207">
        <w:rPr>
          <w:spacing w:val="-6"/>
        </w:rPr>
        <w:t xml:space="preserve"> </w:t>
      </w:r>
      <w:r w:rsidRPr="00437207">
        <w:t>the</w:t>
      </w:r>
      <w:r w:rsidRPr="00437207">
        <w:rPr>
          <w:spacing w:val="-7"/>
        </w:rPr>
        <w:t xml:space="preserve"> </w:t>
      </w:r>
      <w:r w:rsidRPr="00437207">
        <w:t>Consultant</w:t>
      </w:r>
      <w:r w:rsidRPr="00437207">
        <w:rPr>
          <w:spacing w:val="-6"/>
        </w:rPr>
        <w:t xml:space="preserve"> </w:t>
      </w:r>
      <w:r w:rsidRPr="00437207">
        <w:rPr>
          <w:spacing w:val="-2"/>
        </w:rPr>
        <w:t>include:</w:t>
      </w:r>
    </w:p>
    <w:p w14:paraId="3D4C7BDC" w14:textId="77777777" w:rsidR="00E33D94" w:rsidRPr="00437207" w:rsidRDefault="00E33D94" w:rsidP="002A407D">
      <w:pPr>
        <w:pStyle w:val="BodyText"/>
        <w:ind w:right="57"/>
      </w:pPr>
    </w:p>
    <w:p w14:paraId="3A3868C9" w14:textId="77777777" w:rsidR="00E33D94" w:rsidRPr="00437207" w:rsidRDefault="00E33D94" w:rsidP="00C803AB">
      <w:pPr>
        <w:pStyle w:val="ListParagraph"/>
        <w:numPr>
          <w:ilvl w:val="2"/>
          <w:numId w:val="1"/>
        </w:numPr>
        <w:tabs>
          <w:tab w:val="left" w:pos="1560"/>
        </w:tabs>
        <w:ind w:left="1440" w:right="57" w:hanging="720"/>
        <w:contextualSpacing w:val="0"/>
        <w:jc w:val="both"/>
      </w:pPr>
      <w:r w:rsidRPr="00437207">
        <w:rPr>
          <w:color w:val="000009"/>
        </w:rPr>
        <w:t>Assessing the operational workflows currently used for</w:t>
      </w:r>
      <w:r w:rsidRPr="00437207">
        <w:rPr>
          <w:color w:val="000009"/>
          <w:spacing w:val="25"/>
        </w:rPr>
        <w:t xml:space="preserve"> the </w:t>
      </w:r>
      <w:r w:rsidRPr="00437207">
        <w:rPr>
          <w:color w:val="000009"/>
        </w:rPr>
        <w:t>prototype model design, development and</w:t>
      </w:r>
      <w:r w:rsidRPr="00437207">
        <w:rPr>
          <w:color w:val="000009"/>
          <w:spacing w:val="40"/>
        </w:rPr>
        <w:t xml:space="preserve"> </w:t>
      </w:r>
      <w:r w:rsidRPr="00437207">
        <w:rPr>
          <w:color w:val="000009"/>
          <w:spacing w:val="-2"/>
        </w:rPr>
        <w:t>publishing.</w:t>
      </w:r>
    </w:p>
    <w:p w14:paraId="4BBA3FF7" w14:textId="77777777" w:rsidR="00E33D94" w:rsidRPr="00437207" w:rsidRDefault="00E33D94" w:rsidP="00C803AB">
      <w:pPr>
        <w:pStyle w:val="ListParagraph"/>
        <w:numPr>
          <w:ilvl w:val="2"/>
          <w:numId w:val="1"/>
        </w:numPr>
        <w:tabs>
          <w:tab w:val="left" w:pos="1560"/>
        </w:tabs>
        <w:ind w:left="1440" w:right="57" w:hanging="720"/>
        <w:contextualSpacing w:val="0"/>
        <w:jc w:val="both"/>
      </w:pPr>
      <w:r w:rsidRPr="00437207">
        <w:rPr>
          <w:color w:val="000009"/>
          <w:spacing w:val="-2"/>
        </w:rPr>
        <w:t>Enhancing</w:t>
      </w:r>
      <w:r w:rsidRPr="00437207">
        <w:rPr>
          <w:color w:val="000009"/>
          <w:spacing w:val="-3"/>
        </w:rPr>
        <w:t xml:space="preserve"> the </w:t>
      </w:r>
      <w:r w:rsidRPr="00437207">
        <w:rPr>
          <w:color w:val="000009"/>
          <w:spacing w:val="-2"/>
        </w:rPr>
        <w:t>marine</w:t>
      </w:r>
      <w:r w:rsidRPr="00437207">
        <w:rPr>
          <w:color w:val="000009"/>
          <w:spacing w:val="-4"/>
        </w:rPr>
        <w:t xml:space="preserve"> </w:t>
      </w:r>
      <w:r w:rsidRPr="00437207">
        <w:rPr>
          <w:color w:val="000009"/>
          <w:spacing w:val="-2"/>
        </w:rPr>
        <w:t>related</w:t>
      </w:r>
      <w:r w:rsidRPr="00437207">
        <w:rPr>
          <w:color w:val="000009"/>
          <w:spacing w:val="-3"/>
        </w:rPr>
        <w:t xml:space="preserve"> </w:t>
      </w:r>
      <w:r w:rsidRPr="00437207">
        <w:rPr>
          <w:color w:val="000009"/>
          <w:spacing w:val="-2"/>
        </w:rPr>
        <w:t>products</w:t>
      </w:r>
      <w:r w:rsidRPr="00437207">
        <w:rPr>
          <w:color w:val="000009"/>
          <w:spacing w:val="-4"/>
        </w:rPr>
        <w:t xml:space="preserve"> and services </w:t>
      </w:r>
      <w:r w:rsidRPr="00437207">
        <w:rPr>
          <w:color w:val="000009"/>
          <w:spacing w:val="-2"/>
        </w:rPr>
        <w:t>currently</w:t>
      </w:r>
      <w:r w:rsidRPr="00437207">
        <w:rPr>
          <w:color w:val="000009"/>
          <w:spacing w:val="-3"/>
        </w:rPr>
        <w:t xml:space="preserve"> </w:t>
      </w:r>
      <w:r w:rsidRPr="00437207">
        <w:rPr>
          <w:color w:val="000009"/>
          <w:spacing w:val="-2"/>
        </w:rPr>
        <w:t>being</w:t>
      </w:r>
      <w:r w:rsidRPr="00437207">
        <w:rPr>
          <w:color w:val="000009"/>
          <w:spacing w:val="-6"/>
        </w:rPr>
        <w:t xml:space="preserve"> </w:t>
      </w:r>
      <w:r w:rsidRPr="00437207">
        <w:rPr>
          <w:color w:val="000009"/>
          <w:spacing w:val="-2"/>
        </w:rPr>
        <w:t xml:space="preserve">produced. </w:t>
      </w:r>
    </w:p>
    <w:p w14:paraId="4334D686" w14:textId="77777777" w:rsidR="00E33D94" w:rsidRPr="00437207" w:rsidRDefault="00E33D94" w:rsidP="00C803AB">
      <w:pPr>
        <w:pStyle w:val="ListParagraph"/>
        <w:numPr>
          <w:ilvl w:val="2"/>
          <w:numId w:val="1"/>
        </w:numPr>
        <w:tabs>
          <w:tab w:val="left" w:pos="1560"/>
        </w:tabs>
        <w:ind w:left="1440" w:right="57" w:hanging="720"/>
        <w:contextualSpacing w:val="0"/>
        <w:jc w:val="both"/>
      </w:pPr>
      <w:r w:rsidRPr="00437207">
        <w:rPr>
          <w:color w:val="000009"/>
        </w:rPr>
        <w:t>Increasing the</w:t>
      </w:r>
      <w:r w:rsidRPr="00437207">
        <w:rPr>
          <w:color w:val="000009"/>
          <w:spacing w:val="-7"/>
        </w:rPr>
        <w:t xml:space="preserve"> </w:t>
      </w:r>
      <w:r w:rsidRPr="00437207">
        <w:rPr>
          <w:color w:val="000009"/>
        </w:rPr>
        <w:t>number</w:t>
      </w:r>
      <w:r w:rsidRPr="00437207">
        <w:rPr>
          <w:color w:val="000009"/>
          <w:spacing w:val="-7"/>
        </w:rPr>
        <w:t xml:space="preserve"> </w:t>
      </w:r>
      <w:r w:rsidRPr="00437207">
        <w:rPr>
          <w:color w:val="000009"/>
        </w:rPr>
        <w:t>of</w:t>
      </w:r>
      <w:r w:rsidRPr="00437207">
        <w:rPr>
          <w:color w:val="000009"/>
          <w:spacing w:val="-7"/>
        </w:rPr>
        <w:t xml:space="preserve"> </w:t>
      </w:r>
      <w:r w:rsidRPr="00437207">
        <w:rPr>
          <w:color w:val="000009"/>
        </w:rPr>
        <w:t>marine</w:t>
      </w:r>
      <w:r w:rsidRPr="00437207">
        <w:rPr>
          <w:color w:val="000009"/>
          <w:spacing w:val="-8"/>
        </w:rPr>
        <w:t xml:space="preserve"> </w:t>
      </w:r>
      <w:r w:rsidRPr="00437207">
        <w:rPr>
          <w:color w:val="000009"/>
        </w:rPr>
        <w:t>products and services</w:t>
      </w:r>
      <w:r w:rsidRPr="00437207">
        <w:rPr>
          <w:color w:val="000009"/>
          <w:spacing w:val="-7"/>
        </w:rPr>
        <w:t xml:space="preserve"> </w:t>
      </w:r>
      <w:r w:rsidRPr="00437207">
        <w:rPr>
          <w:color w:val="000009"/>
        </w:rPr>
        <w:t>offered</w:t>
      </w:r>
      <w:r w:rsidRPr="00437207">
        <w:rPr>
          <w:color w:val="000009"/>
          <w:spacing w:val="-6"/>
        </w:rPr>
        <w:t xml:space="preserve"> </w:t>
      </w:r>
      <w:r w:rsidRPr="00437207">
        <w:rPr>
          <w:color w:val="000009"/>
        </w:rPr>
        <w:t>through</w:t>
      </w:r>
      <w:r w:rsidRPr="00437207">
        <w:rPr>
          <w:color w:val="000009"/>
          <w:spacing w:val="-6"/>
        </w:rPr>
        <w:t xml:space="preserve"> </w:t>
      </w:r>
      <w:r w:rsidRPr="00437207">
        <w:rPr>
          <w:color w:val="000009"/>
        </w:rPr>
        <w:t>the</w:t>
      </w:r>
      <w:r w:rsidRPr="00437207">
        <w:rPr>
          <w:color w:val="000009"/>
          <w:spacing w:val="-8"/>
        </w:rPr>
        <w:t xml:space="preserve"> </w:t>
      </w:r>
      <w:r w:rsidRPr="00437207">
        <w:rPr>
          <w:color w:val="000009"/>
        </w:rPr>
        <w:t>RMFSC</w:t>
      </w:r>
      <w:r w:rsidRPr="00437207">
        <w:rPr>
          <w:color w:val="000009"/>
          <w:spacing w:val="-7"/>
        </w:rPr>
        <w:t xml:space="preserve"> </w:t>
      </w:r>
      <w:r w:rsidRPr="00437207">
        <w:rPr>
          <w:color w:val="000009"/>
        </w:rPr>
        <w:t>at</w:t>
      </w:r>
      <w:r w:rsidRPr="00437207">
        <w:rPr>
          <w:color w:val="000009"/>
          <w:spacing w:val="-6"/>
        </w:rPr>
        <w:t xml:space="preserve"> </w:t>
      </w:r>
      <w:r w:rsidRPr="00437207">
        <w:rPr>
          <w:color w:val="000009"/>
          <w:spacing w:val="-2"/>
        </w:rPr>
        <w:t>CIMH.</w:t>
      </w:r>
    </w:p>
    <w:p w14:paraId="49F0BB78" w14:textId="77777777" w:rsidR="00E33D94" w:rsidRPr="00437207" w:rsidRDefault="00E33D94" w:rsidP="00C803AB">
      <w:pPr>
        <w:pStyle w:val="ListParagraph"/>
        <w:numPr>
          <w:ilvl w:val="2"/>
          <w:numId w:val="1"/>
        </w:numPr>
        <w:tabs>
          <w:tab w:val="left" w:pos="1560"/>
        </w:tabs>
        <w:ind w:left="1440" w:right="57" w:hanging="720"/>
        <w:contextualSpacing w:val="0"/>
        <w:jc w:val="both"/>
      </w:pPr>
      <w:r w:rsidRPr="00437207">
        <w:rPr>
          <w:color w:val="000009"/>
        </w:rPr>
        <w:t>Strengthening the CIMH’s capacity for research and the delivery of training programmes in marine forecasting to NMHSs and the stakeholders across the Caribbean.</w:t>
      </w:r>
    </w:p>
    <w:p w14:paraId="3354D9DD" w14:textId="77777777" w:rsidR="00E33D94" w:rsidRPr="00437207" w:rsidRDefault="00E33D94" w:rsidP="002A407D">
      <w:pPr>
        <w:pStyle w:val="BodyText"/>
        <w:spacing w:before="1"/>
        <w:ind w:right="57"/>
      </w:pPr>
    </w:p>
    <w:p w14:paraId="5936C302" w14:textId="77777777" w:rsidR="00E33D94" w:rsidRPr="00437207" w:rsidRDefault="00E33D94" w:rsidP="00F57E98">
      <w:pPr>
        <w:pStyle w:val="Heading1"/>
        <w:numPr>
          <w:ilvl w:val="0"/>
          <w:numId w:val="1"/>
        </w:numPr>
        <w:tabs>
          <w:tab w:val="left" w:pos="840"/>
        </w:tabs>
        <w:spacing w:before="0" w:after="0"/>
        <w:ind w:left="720" w:right="57" w:hanging="720"/>
        <w:jc w:val="left"/>
        <w:rPr>
          <w:rFonts w:ascii="Times New Roman" w:eastAsia="Times New Roman" w:hAnsi="Times New Roman" w:cs="Times New Roman"/>
          <w:b/>
          <w:bCs/>
          <w:color w:val="auto"/>
          <w:sz w:val="22"/>
          <w:szCs w:val="22"/>
        </w:rPr>
      </w:pPr>
      <w:r w:rsidRPr="00437207">
        <w:rPr>
          <w:rFonts w:ascii="Times New Roman" w:eastAsia="Times New Roman" w:hAnsi="Times New Roman" w:cs="Times New Roman"/>
          <w:b/>
          <w:bCs/>
          <w:color w:val="auto"/>
          <w:sz w:val="22"/>
          <w:szCs w:val="22"/>
        </w:rPr>
        <w:t>QUALIFICATIONS AND EXPERIENCE</w:t>
      </w:r>
    </w:p>
    <w:p w14:paraId="24E407C2" w14:textId="77777777" w:rsidR="00E33D94" w:rsidRPr="00437207" w:rsidRDefault="00E33D94" w:rsidP="00164755">
      <w:pPr>
        <w:pStyle w:val="ListParagraph"/>
        <w:numPr>
          <w:ilvl w:val="1"/>
          <w:numId w:val="1"/>
        </w:numPr>
        <w:tabs>
          <w:tab w:val="left" w:pos="709"/>
        </w:tabs>
        <w:spacing w:before="252"/>
        <w:ind w:left="0" w:right="57" w:firstLine="0"/>
        <w:contextualSpacing w:val="0"/>
        <w:jc w:val="both"/>
      </w:pPr>
      <w:r w:rsidRPr="00437207">
        <w:t>The Consultant is required to have recognised postgraduate qualifications in either Meteorology, Marine Science, Oceanography, Marine Meteorology or related disciplines. In addition, the Consultant must have:</w:t>
      </w:r>
    </w:p>
    <w:p w14:paraId="5B0A63C2" w14:textId="77777777" w:rsidR="00E33D94" w:rsidRPr="00437207" w:rsidRDefault="00E33D94" w:rsidP="002A407D">
      <w:pPr>
        <w:pStyle w:val="BodyText"/>
        <w:ind w:right="57"/>
      </w:pPr>
    </w:p>
    <w:p w14:paraId="38A1F1DA" w14:textId="77777777" w:rsidR="00E33D94" w:rsidRPr="00437207" w:rsidRDefault="00E33D94" w:rsidP="002A37C4">
      <w:pPr>
        <w:pStyle w:val="ListParagraph"/>
        <w:numPr>
          <w:ilvl w:val="2"/>
          <w:numId w:val="1"/>
        </w:numPr>
        <w:tabs>
          <w:tab w:val="left" w:pos="1560"/>
        </w:tabs>
        <w:ind w:left="1440" w:right="57" w:hanging="720"/>
        <w:contextualSpacing w:val="0"/>
        <w:jc w:val="both"/>
      </w:pPr>
      <w:r w:rsidRPr="00437207">
        <w:t>more than ten (10) years of experience delivering training in areas of marine forecasting and the development of marine forecasting products/services to a broad range of stakeholders</w:t>
      </w:r>
      <w:r w:rsidRPr="00437207">
        <w:rPr>
          <w:color w:val="000009"/>
        </w:rPr>
        <w:t>;</w:t>
      </w:r>
    </w:p>
    <w:p w14:paraId="118E1343" w14:textId="77777777" w:rsidR="00E33D94" w:rsidRPr="00437207" w:rsidRDefault="00E33D94" w:rsidP="002A37C4">
      <w:pPr>
        <w:pStyle w:val="ListParagraph"/>
        <w:numPr>
          <w:ilvl w:val="2"/>
          <w:numId w:val="1"/>
        </w:numPr>
        <w:tabs>
          <w:tab w:val="left" w:pos="1560"/>
        </w:tabs>
        <w:ind w:left="1440" w:right="57" w:hanging="720"/>
        <w:contextualSpacing w:val="0"/>
        <w:jc w:val="both"/>
      </w:pPr>
      <w:r w:rsidRPr="00437207">
        <w:t>demonstrated experience</w:t>
      </w:r>
      <w:r w:rsidRPr="00437207">
        <w:rPr>
          <w:spacing w:val="-10"/>
        </w:rPr>
        <w:t xml:space="preserve"> </w:t>
      </w:r>
      <w:r w:rsidRPr="00437207">
        <w:t>building</w:t>
      </w:r>
      <w:r w:rsidRPr="00437207">
        <w:rPr>
          <w:spacing w:val="-9"/>
        </w:rPr>
        <w:t xml:space="preserve"> </w:t>
      </w:r>
      <w:r w:rsidRPr="00437207">
        <w:t>marine</w:t>
      </w:r>
      <w:r w:rsidRPr="00437207">
        <w:rPr>
          <w:spacing w:val="-9"/>
        </w:rPr>
        <w:t xml:space="preserve"> </w:t>
      </w:r>
      <w:r w:rsidRPr="00437207">
        <w:t>forecasting</w:t>
      </w:r>
      <w:r w:rsidRPr="00437207">
        <w:rPr>
          <w:spacing w:val="-9"/>
        </w:rPr>
        <w:t xml:space="preserve"> </w:t>
      </w:r>
      <w:r w:rsidRPr="00437207">
        <w:rPr>
          <w:spacing w:val="-2"/>
        </w:rPr>
        <w:t>programmes</w:t>
      </w:r>
      <w:r w:rsidRPr="00437207">
        <w:rPr>
          <w:color w:val="000009"/>
          <w:spacing w:val="-2"/>
        </w:rPr>
        <w:t>;</w:t>
      </w:r>
    </w:p>
    <w:p w14:paraId="2F77B06A" w14:textId="77777777" w:rsidR="00E33D94" w:rsidRPr="00437207" w:rsidRDefault="00E33D94" w:rsidP="002A37C4">
      <w:pPr>
        <w:pStyle w:val="ListParagraph"/>
        <w:numPr>
          <w:ilvl w:val="2"/>
          <w:numId w:val="1"/>
        </w:numPr>
        <w:tabs>
          <w:tab w:val="left" w:pos="1560"/>
        </w:tabs>
        <w:ind w:left="1440" w:right="57" w:hanging="720"/>
        <w:contextualSpacing w:val="0"/>
        <w:jc w:val="both"/>
      </w:pPr>
      <w:r w:rsidRPr="00437207">
        <w:rPr>
          <w:color w:val="000009"/>
        </w:rPr>
        <w:t>experience</w:t>
      </w:r>
      <w:r w:rsidRPr="00437207">
        <w:rPr>
          <w:color w:val="000009"/>
          <w:spacing w:val="-8"/>
        </w:rPr>
        <w:t xml:space="preserve"> </w:t>
      </w:r>
      <w:r w:rsidRPr="00437207">
        <w:rPr>
          <w:color w:val="000009"/>
        </w:rPr>
        <w:t>working</w:t>
      </w:r>
      <w:r w:rsidRPr="00437207">
        <w:rPr>
          <w:color w:val="000009"/>
          <w:spacing w:val="-8"/>
        </w:rPr>
        <w:t xml:space="preserve"> </w:t>
      </w:r>
      <w:r w:rsidRPr="00437207">
        <w:rPr>
          <w:color w:val="000009"/>
        </w:rPr>
        <w:t>with</w:t>
      </w:r>
      <w:r w:rsidRPr="00437207">
        <w:rPr>
          <w:color w:val="000009"/>
          <w:spacing w:val="-7"/>
        </w:rPr>
        <w:t xml:space="preserve"> </w:t>
      </w:r>
      <w:r w:rsidRPr="00437207">
        <w:rPr>
          <w:color w:val="000009"/>
        </w:rPr>
        <w:t>developing</w:t>
      </w:r>
      <w:r w:rsidRPr="00437207">
        <w:rPr>
          <w:color w:val="000009"/>
          <w:spacing w:val="-7"/>
        </w:rPr>
        <w:t xml:space="preserve"> </w:t>
      </w:r>
      <w:r w:rsidRPr="00437207">
        <w:rPr>
          <w:color w:val="000009"/>
        </w:rPr>
        <w:t>countries,</w:t>
      </w:r>
      <w:r w:rsidRPr="00437207">
        <w:rPr>
          <w:color w:val="000009"/>
          <w:spacing w:val="-8"/>
        </w:rPr>
        <w:t xml:space="preserve"> </w:t>
      </w:r>
      <w:r w:rsidRPr="00437207">
        <w:rPr>
          <w:color w:val="000009"/>
        </w:rPr>
        <w:t>particularly</w:t>
      </w:r>
      <w:r w:rsidRPr="00437207">
        <w:rPr>
          <w:color w:val="000009"/>
          <w:spacing w:val="-7"/>
        </w:rPr>
        <w:t xml:space="preserve"> </w:t>
      </w:r>
      <w:r w:rsidRPr="00437207">
        <w:rPr>
          <w:color w:val="000009"/>
        </w:rPr>
        <w:t>in</w:t>
      </w:r>
      <w:r w:rsidRPr="00437207">
        <w:rPr>
          <w:color w:val="000009"/>
          <w:spacing w:val="-7"/>
        </w:rPr>
        <w:t xml:space="preserve"> </w:t>
      </w:r>
      <w:r w:rsidRPr="00437207">
        <w:rPr>
          <w:color w:val="000009"/>
        </w:rPr>
        <w:t>the</w:t>
      </w:r>
      <w:r w:rsidRPr="00437207">
        <w:rPr>
          <w:color w:val="000009"/>
          <w:spacing w:val="-8"/>
        </w:rPr>
        <w:t xml:space="preserve"> </w:t>
      </w:r>
      <w:r w:rsidRPr="00437207">
        <w:rPr>
          <w:color w:val="000009"/>
          <w:spacing w:val="-2"/>
        </w:rPr>
        <w:t>Caribbean.</w:t>
      </w:r>
    </w:p>
    <w:p w14:paraId="1DB796D8" w14:textId="77777777" w:rsidR="00E33D94" w:rsidRPr="00437207" w:rsidRDefault="00E33D94" w:rsidP="002A37C4">
      <w:pPr>
        <w:pStyle w:val="ListParagraph"/>
        <w:numPr>
          <w:ilvl w:val="2"/>
          <w:numId w:val="1"/>
        </w:numPr>
        <w:tabs>
          <w:tab w:val="left" w:pos="1560"/>
        </w:tabs>
        <w:ind w:left="1440" w:right="57" w:hanging="720"/>
        <w:contextualSpacing w:val="0"/>
        <w:jc w:val="both"/>
      </w:pPr>
      <w:r w:rsidRPr="00437207">
        <w:rPr>
          <w:color w:val="000009"/>
        </w:rPr>
        <w:t>Excellent</w:t>
      </w:r>
      <w:r w:rsidRPr="00437207">
        <w:rPr>
          <w:color w:val="000009"/>
          <w:spacing w:val="80"/>
        </w:rPr>
        <w:t xml:space="preserve"> </w:t>
      </w:r>
      <w:r w:rsidRPr="00437207">
        <w:rPr>
          <w:color w:val="000009"/>
        </w:rPr>
        <w:t>communication</w:t>
      </w:r>
      <w:r w:rsidRPr="00437207">
        <w:rPr>
          <w:color w:val="000009"/>
          <w:spacing w:val="80"/>
        </w:rPr>
        <w:t xml:space="preserve"> </w:t>
      </w:r>
      <w:r w:rsidRPr="00437207">
        <w:rPr>
          <w:color w:val="000009"/>
        </w:rPr>
        <w:t>and</w:t>
      </w:r>
      <w:r w:rsidRPr="00437207">
        <w:rPr>
          <w:color w:val="000009"/>
          <w:spacing w:val="80"/>
        </w:rPr>
        <w:t xml:space="preserve"> </w:t>
      </w:r>
      <w:r w:rsidRPr="00437207">
        <w:rPr>
          <w:color w:val="000009"/>
        </w:rPr>
        <w:t>interpersonal</w:t>
      </w:r>
      <w:r w:rsidRPr="00437207">
        <w:rPr>
          <w:color w:val="000009"/>
          <w:spacing w:val="80"/>
        </w:rPr>
        <w:t xml:space="preserve"> </w:t>
      </w:r>
      <w:r w:rsidRPr="00437207">
        <w:rPr>
          <w:color w:val="000009"/>
        </w:rPr>
        <w:t>skills,</w:t>
      </w:r>
      <w:r w:rsidRPr="00437207">
        <w:rPr>
          <w:color w:val="000009"/>
          <w:spacing w:val="80"/>
        </w:rPr>
        <w:t xml:space="preserve"> </w:t>
      </w:r>
      <w:r w:rsidRPr="00437207">
        <w:rPr>
          <w:color w:val="000009"/>
        </w:rPr>
        <w:t>with</w:t>
      </w:r>
      <w:r w:rsidRPr="00437207">
        <w:rPr>
          <w:color w:val="000009"/>
          <w:spacing w:val="80"/>
        </w:rPr>
        <w:t xml:space="preserve"> </w:t>
      </w:r>
      <w:r w:rsidRPr="00437207">
        <w:rPr>
          <w:color w:val="000009"/>
        </w:rPr>
        <w:t>the</w:t>
      </w:r>
      <w:r w:rsidRPr="00437207">
        <w:rPr>
          <w:color w:val="000009"/>
          <w:spacing w:val="79"/>
        </w:rPr>
        <w:t xml:space="preserve"> </w:t>
      </w:r>
      <w:r w:rsidRPr="00437207">
        <w:rPr>
          <w:color w:val="000009"/>
        </w:rPr>
        <w:t>ability</w:t>
      </w:r>
      <w:r w:rsidRPr="00437207">
        <w:rPr>
          <w:color w:val="000009"/>
          <w:spacing w:val="80"/>
        </w:rPr>
        <w:t xml:space="preserve"> </w:t>
      </w:r>
      <w:r w:rsidRPr="00437207">
        <w:rPr>
          <w:color w:val="000009"/>
        </w:rPr>
        <w:t>to</w:t>
      </w:r>
      <w:r w:rsidRPr="00437207">
        <w:rPr>
          <w:color w:val="000009"/>
          <w:spacing w:val="80"/>
        </w:rPr>
        <w:t xml:space="preserve"> </w:t>
      </w:r>
      <w:r w:rsidRPr="00437207">
        <w:rPr>
          <w:color w:val="000009"/>
        </w:rPr>
        <w:t>engage</w:t>
      </w:r>
      <w:r w:rsidRPr="00437207">
        <w:rPr>
          <w:color w:val="000009"/>
          <w:spacing w:val="79"/>
        </w:rPr>
        <w:t xml:space="preserve"> </w:t>
      </w:r>
      <w:r w:rsidRPr="00437207">
        <w:rPr>
          <w:color w:val="000009"/>
        </w:rPr>
        <w:t>and collaborate with diverse stakeholders.</w:t>
      </w:r>
    </w:p>
    <w:p w14:paraId="2722A91F" w14:textId="77777777" w:rsidR="00E33D94" w:rsidRPr="00437207" w:rsidRDefault="00E33D94" w:rsidP="002A407D">
      <w:pPr>
        <w:pStyle w:val="BodyText"/>
        <w:spacing w:before="1"/>
        <w:ind w:right="57"/>
      </w:pPr>
    </w:p>
    <w:p w14:paraId="77BEDD21" w14:textId="77777777" w:rsidR="00E33D94" w:rsidRDefault="00E33D94" w:rsidP="006D79A4">
      <w:pPr>
        <w:pStyle w:val="Heading1"/>
        <w:numPr>
          <w:ilvl w:val="0"/>
          <w:numId w:val="1"/>
        </w:numPr>
        <w:tabs>
          <w:tab w:val="num" w:pos="709"/>
          <w:tab w:val="left" w:pos="839"/>
        </w:tabs>
        <w:spacing w:before="0" w:after="0"/>
        <w:ind w:left="720" w:right="57" w:hanging="720"/>
        <w:jc w:val="left"/>
        <w:rPr>
          <w:rFonts w:ascii="Times New Roman" w:eastAsia="Times New Roman" w:hAnsi="Times New Roman" w:cs="Times New Roman"/>
          <w:b/>
          <w:bCs/>
          <w:color w:val="auto"/>
          <w:sz w:val="22"/>
          <w:szCs w:val="22"/>
        </w:rPr>
      </w:pPr>
      <w:r w:rsidRPr="00437207">
        <w:rPr>
          <w:rFonts w:ascii="Times New Roman" w:eastAsia="Times New Roman" w:hAnsi="Times New Roman" w:cs="Times New Roman"/>
          <w:b/>
          <w:bCs/>
          <w:color w:val="auto"/>
          <w:sz w:val="22"/>
          <w:szCs w:val="22"/>
        </w:rPr>
        <w:t>REPORTING AND DELIVERABLES</w:t>
      </w:r>
    </w:p>
    <w:p w14:paraId="5E12CBF5" w14:textId="77777777" w:rsidR="00340DE4" w:rsidRPr="00340DE4" w:rsidRDefault="00340DE4" w:rsidP="00340DE4"/>
    <w:p w14:paraId="70363724" w14:textId="77777777" w:rsidR="00E33D94" w:rsidRPr="00437207" w:rsidRDefault="00E33D94" w:rsidP="00BA099B">
      <w:pPr>
        <w:pStyle w:val="ListParagraph"/>
        <w:numPr>
          <w:ilvl w:val="1"/>
          <w:numId w:val="1"/>
        </w:numPr>
        <w:tabs>
          <w:tab w:val="left" w:pos="709"/>
        </w:tabs>
        <w:ind w:left="0" w:right="57" w:firstLine="0"/>
        <w:contextualSpacing w:val="0"/>
        <w:rPr>
          <w:color w:val="000009"/>
        </w:rPr>
      </w:pPr>
      <w:r w:rsidRPr="00437207">
        <w:rPr>
          <w:color w:val="000009"/>
        </w:rPr>
        <w:t>The</w:t>
      </w:r>
      <w:r w:rsidRPr="00437207">
        <w:rPr>
          <w:color w:val="000009"/>
          <w:spacing w:val="-6"/>
        </w:rPr>
        <w:t xml:space="preserve"> </w:t>
      </w:r>
      <w:r w:rsidRPr="00437207">
        <w:rPr>
          <w:color w:val="000009"/>
        </w:rPr>
        <w:t>Consultant</w:t>
      </w:r>
      <w:r w:rsidRPr="00437207">
        <w:rPr>
          <w:color w:val="000009"/>
          <w:spacing w:val="-5"/>
        </w:rPr>
        <w:t xml:space="preserve"> </w:t>
      </w:r>
      <w:r w:rsidRPr="00437207">
        <w:rPr>
          <w:color w:val="000009"/>
        </w:rPr>
        <w:t>will</w:t>
      </w:r>
      <w:r w:rsidRPr="00437207">
        <w:rPr>
          <w:color w:val="000009"/>
          <w:spacing w:val="-6"/>
        </w:rPr>
        <w:t xml:space="preserve"> </w:t>
      </w:r>
      <w:r w:rsidRPr="00437207">
        <w:rPr>
          <w:color w:val="000009"/>
        </w:rPr>
        <w:t>report</w:t>
      </w:r>
      <w:r w:rsidRPr="00437207">
        <w:rPr>
          <w:color w:val="000009"/>
          <w:spacing w:val="-6"/>
        </w:rPr>
        <w:t xml:space="preserve"> </w:t>
      </w:r>
      <w:r w:rsidRPr="00437207">
        <w:rPr>
          <w:color w:val="000009"/>
        </w:rPr>
        <w:t>to</w:t>
      </w:r>
      <w:r w:rsidRPr="00437207">
        <w:rPr>
          <w:color w:val="000009"/>
          <w:spacing w:val="-5"/>
        </w:rPr>
        <w:t xml:space="preserve"> </w:t>
      </w:r>
      <w:r w:rsidRPr="00437207">
        <w:rPr>
          <w:color w:val="000009"/>
        </w:rPr>
        <w:t>the</w:t>
      </w:r>
      <w:r w:rsidRPr="00437207">
        <w:rPr>
          <w:color w:val="000009"/>
          <w:spacing w:val="-6"/>
        </w:rPr>
        <w:t xml:space="preserve"> </w:t>
      </w:r>
      <w:r w:rsidRPr="00437207">
        <w:rPr>
          <w:color w:val="000009"/>
        </w:rPr>
        <w:t>Project</w:t>
      </w:r>
      <w:r w:rsidRPr="00437207">
        <w:rPr>
          <w:color w:val="000009"/>
          <w:spacing w:val="-7"/>
        </w:rPr>
        <w:t xml:space="preserve"> </w:t>
      </w:r>
      <w:r w:rsidRPr="00437207">
        <w:rPr>
          <w:color w:val="000009"/>
        </w:rPr>
        <w:t>Coordinator</w:t>
      </w:r>
      <w:r w:rsidRPr="00437207">
        <w:rPr>
          <w:color w:val="000009"/>
          <w:spacing w:val="-5"/>
        </w:rPr>
        <w:t xml:space="preserve"> </w:t>
      </w:r>
      <w:r w:rsidRPr="00437207">
        <w:rPr>
          <w:color w:val="000009"/>
        </w:rPr>
        <w:t>and</w:t>
      </w:r>
      <w:r w:rsidRPr="00437207">
        <w:rPr>
          <w:color w:val="000009"/>
          <w:spacing w:val="-5"/>
        </w:rPr>
        <w:t xml:space="preserve"> </w:t>
      </w:r>
      <w:r w:rsidRPr="00437207">
        <w:rPr>
          <w:color w:val="000009"/>
        </w:rPr>
        <w:t>is</w:t>
      </w:r>
      <w:r w:rsidRPr="00437207">
        <w:rPr>
          <w:color w:val="000009"/>
          <w:spacing w:val="-6"/>
        </w:rPr>
        <w:t xml:space="preserve"> </w:t>
      </w:r>
      <w:r w:rsidRPr="00437207">
        <w:rPr>
          <w:color w:val="000009"/>
          <w:spacing w:val="-2"/>
        </w:rPr>
        <w:t>required to deliver:</w:t>
      </w:r>
    </w:p>
    <w:p w14:paraId="6AEE5F87" w14:textId="77777777" w:rsidR="00E33D94" w:rsidRPr="00437207" w:rsidRDefault="00E33D94" w:rsidP="002A407D">
      <w:pPr>
        <w:pStyle w:val="BodyText"/>
        <w:ind w:right="57"/>
      </w:pPr>
    </w:p>
    <w:p w14:paraId="55D3BD32" w14:textId="77777777" w:rsidR="00E33D94" w:rsidRPr="00437207" w:rsidRDefault="00E33D94" w:rsidP="002A37C4">
      <w:pPr>
        <w:pStyle w:val="ListParagraph"/>
        <w:numPr>
          <w:ilvl w:val="2"/>
          <w:numId w:val="1"/>
        </w:numPr>
        <w:tabs>
          <w:tab w:val="left" w:pos="1560"/>
        </w:tabs>
        <w:ind w:left="1440" w:right="57" w:hanging="720"/>
        <w:contextualSpacing w:val="0"/>
        <w:jc w:val="both"/>
      </w:pPr>
      <w:r w:rsidRPr="00437207">
        <w:rPr>
          <w:color w:val="000009"/>
        </w:rPr>
        <w:t>Assessment</w:t>
      </w:r>
      <w:r w:rsidRPr="00437207">
        <w:rPr>
          <w:color w:val="000009"/>
          <w:spacing w:val="40"/>
        </w:rPr>
        <w:t xml:space="preserve"> </w:t>
      </w:r>
      <w:r w:rsidRPr="00437207">
        <w:rPr>
          <w:color w:val="000009"/>
        </w:rPr>
        <w:t>report</w:t>
      </w:r>
      <w:r w:rsidRPr="00437207">
        <w:rPr>
          <w:color w:val="000009"/>
          <w:spacing w:val="40"/>
        </w:rPr>
        <w:t xml:space="preserve"> </w:t>
      </w:r>
      <w:r w:rsidRPr="00437207">
        <w:rPr>
          <w:color w:val="000009"/>
        </w:rPr>
        <w:t>on</w:t>
      </w:r>
      <w:r w:rsidRPr="00437207">
        <w:rPr>
          <w:color w:val="000009"/>
          <w:spacing w:val="40"/>
        </w:rPr>
        <w:t xml:space="preserve"> </w:t>
      </w:r>
      <w:r w:rsidRPr="00437207">
        <w:rPr>
          <w:color w:val="000009"/>
        </w:rPr>
        <w:t>the</w:t>
      </w:r>
      <w:r w:rsidRPr="00437207">
        <w:rPr>
          <w:color w:val="000009"/>
          <w:spacing w:val="40"/>
        </w:rPr>
        <w:t xml:space="preserve"> </w:t>
      </w:r>
      <w:r w:rsidRPr="00437207">
        <w:rPr>
          <w:color w:val="000009"/>
        </w:rPr>
        <w:t>current</w:t>
      </w:r>
      <w:r w:rsidRPr="00437207">
        <w:rPr>
          <w:color w:val="000009"/>
          <w:spacing w:val="40"/>
        </w:rPr>
        <w:t xml:space="preserve"> </w:t>
      </w:r>
      <w:r w:rsidRPr="00437207">
        <w:rPr>
          <w:color w:val="000009"/>
        </w:rPr>
        <w:t>operational</w:t>
      </w:r>
      <w:r w:rsidRPr="00437207">
        <w:rPr>
          <w:color w:val="000009"/>
          <w:spacing w:val="40"/>
        </w:rPr>
        <w:t xml:space="preserve"> </w:t>
      </w:r>
      <w:r w:rsidRPr="00437207">
        <w:rPr>
          <w:color w:val="000009"/>
        </w:rPr>
        <w:t>workflows</w:t>
      </w:r>
      <w:r w:rsidRPr="00437207">
        <w:rPr>
          <w:color w:val="000009"/>
          <w:spacing w:val="40"/>
        </w:rPr>
        <w:t xml:space="preserve"> </w:t>
      </w:r>
      <w:r w:rsidRPr="00437207">
        <w:rPr>
          <w:color w:val="000009"/>
        </w:rPr>
        <w:t>for</w:t>
      </w:r>
      <w:r w:rsidRPr="00437207">
        <w:rPr>
          <w:color w:val="000009"/>
          <w:spacing w:val="40"/>
        </w:rPr>
        <w:t xml:space="preserve"> the </w:t>
      </w:r>
      <w:r w:rsidRPr="00437207">
        <w:rPr>
          <w:color w:val="000009"/>
        </w:rPr>
        <w:t>prototype</w:t>
      </w:r>
      <w:r w:rsidRPr="00437207">
        <w:rPr>
          <w:color w:val="000009"/>
          <w:spacing w:val="40"/>
        </w:rPr>
        <w:t xml:space="preserve"> </w:t>
      </w:r>
      <w:r w:rsidRPr="00437207">
        <w:rPr>
          <w:color w:val="000009"/>
        </w:rPr>
        <w:t>marine</w:t>
      </w:r>
      <w:r w:rsidRPr="00437207">
        <w:rPr>
          <w:color w:val="000009"/>
          <w:spacing w:val="40"/>
        </w:rPr>
        <w:t xml:space="preserve"> </w:t>
      </w:r>
      <w:r w:rsidRPr="00437207">
        <w:rPr>
          <w:color w:val="000009"/>
        </w:rPr>
        <w:t xml:space="preserve">model </w:t>
      </w:r>
      <w:r w:rsidRPr="00437207">
        <w:rPr>
          <w:color w:val="000009"/>
          <w:spacing w:val="-2"/>
        </w:rPr>
        <w:t>applications.</w:t>
      </w:r>
    </w:p>
    <w:p w14:paraId="370E0A72" w14:textId="77777777" w:rsidR="00E33D94" w:rsidRPr="00437207" w:rsidRDefault="00E33D94" w:rsidP="002A37C4">
      <w:pPr>
        <w:pStyle w:val="ListParagraph"/>
        <w:numPr>
          <w:ilvl w:val="2"/>
          <w:numId w:val="1"/>
        </w:numPr>
        <w:tabs>
          <w:tab w:val="left" w:pos="1560"/>
        </w:tabs>
        <w:ind w:left="1440" w:right="57" w:hanging="720"/>
        <w:contextualSpacing w:val="0"/>
        <w:jc w:val="both"/>
      </w:pPr>
      <w:r w:rsidRPr="00437207">
        <w:t>Delivery of enhanced marine products and services</w:t>
      </w:r>
    </w:p>
    <w:p w14:paraId="30B384BE" w14:textId="77777777" w:rsidR="00E33D94" w:rsidRPr="00437207" w:rsidRDefault="00E33D94" w:rsidP="002A37C4">
      <w:pPr>
        <w:pStyle w:val="ListParagraph"/>
        <w:numPr>
          <w:ilvl w:val="2"/>
          <w:numId w:val="1"/>
        </w:numPr>
        <w:tabs>
          <w:tab w:val="left" w:pos="1560"/>
        </w:tabs>
        <w:ind w:left="1440" w:right="57" w:hanging="720"/>
        <w:contextualSpacing w:val="0"/>
        <w:jc w:val="both"/>
      </w:pPr>
      <w:r w:rsidRPr="00437207">
        <w:rPr>
          <w:color w:val="000009"/>
        </w:rPr>
        <w:t>Report on</w:t>
      </w:r>
      <w:r w:rsidRPr="00437207">
        <w:rPr>
          <w:color w:val="000009"/>
          <w:spacing w:val="-6"/>
        </w:rPr>
        <w:t xml:space="preserve"> </w:t>
      </w:r>
      <w:r w:rsidRPr="00437207">
        <w:rPr>
          <w:color w:val="000009"/>
        </w:rPr>
        <w:t>enhanced</w:t>
      </w:r>
      <w:r w:rsidRPr="00437207">
        <w:rPr>
          <w:color w:val="000009"/>
          <w:spacing w:val="-7"/>
        </w:rPr>
        <w:t xml:space="preserve"> </w:t>
      </w:r>
      <w:r w:rsidRPr="00437207">
        <w:rPr>
          <w:color w:val="000009"/>
        </w:rPr>
        <w:t>marine</w:t>
      </w:r>
      <w:r w:rsidRPr="00437207">
        <w:rPr>
          <w:color w:val="000009"/>
          <w:spacing w:val="-7"/>
        </w:rPr>
        <w:t xml:space="preserve"> </w:t>
      </w:r>
      <w:r w:rsidRPr="00437207">
        <w:rPr>
          <w:color w:val="000009"/>
        </w:rPr>
        <w:t>product and service</w:t>
      </w:r>
      <w:r w:rsidRPr="00437207">
        <w:rPr>
          <w:color w:val="000009"/>
          <w:spacing w:val="-7"/>
        </w:rPr>
        <w:t xml:space="preserve"> </w:t>
      </w:r>
      <w:r w:rsidRPr="00437207">
        <w:rPr>
          <w:color w:val="000009"/>
          <w:spacing w:val="-2"/>
        </w:rPr>
        <w:t>delivery.</w:t>
      </w:r>
    </w:p>
    <w:p w14:paraId="71F831E1" w14:textId="77777777" w:rsidR="00E33D94" w:rsidRPr="00437207" w:rsidRDefault="00E33D94" w:rsidP="002A37C4">
      <w:pPr>
        <w:pStyle w:val="ListParagraph"/>
        <w:numPr>
          <w:ilvl w:val="2"/>
          <w:numId w:val="1"/>
        </w:numPr>
        <w:tabs>
          <w:tab w:val="left" w:pos="1560"/>
        </w:tabs>
        <w:ind w:left="1440" w:right="57" w:hanging="720"/>
        <w:contextualSpacing w:val="0"/>
        <w:jc w:val="both"/>
      </w:pPr>
      <w:r w:rsidRPr="00437207">
        <w:rPr>
          <w:color w:val="000009"/>
        </w:rPr>
        <w:t>Report</w:t>
      </w:r>
      <w:r w:rsidRPr="00437207">
        <w:rPr>
          <w:color w:val="000009"/>
          <w:spacing w:val="78"/>
        </w:rPr>
        <w:t xml:space="preserve"> </w:t>
      </w:r>
      <w:r w:rsidRPr="00437207">
        <w:rPr>
          <w:color w:val="000009"/>
        </w:rPr>
        <w:t>detailing</w:t>
      </w:r>
      <w:r w:rsidRPr="00437207">
        <w:rPr>
          <w:color w:val="000009"/>
          <w:spacing w:val="80"/>
        </w:rPr>
        <w:t xml:space="preserve"> </w:t>
      </w:r>
      <w:r w:rsidRPr="00437207">
        <w:rPr>
          <w:color w:val="000009"/>
        </w:rPr>
        <w:t>possible</w:t>
      </w:r>
      <w:r w:rsidRPr="00437207">
        <w:rPr>
          <w:color w:val="000009"/>
          <w:spacing w:val="77"/>
        </w:rPr>
        <w:t xml:space="preserve"> </w:t>
      </w:r>
      <w:r w:rsidRPr="00437207">
        <w:rPr>
          <w:color w:val="000009"/>
        </w:rPr>
        <w:t>areas</w:t>
      </w:r>
      <w:r w:rsidRPr="00437207">
        <w:rPr>
          <w:color w:val="000009"/>
          <w:spacing w:val="78"/>
        </w:rPr>
        <w:t xml:space="preserve"> </w:t>
      </w:r>
      <w:r w:rsidRPr="00437207">
        <w:rPr>
          <w:color w:val="000009"/>
        </w:rPr>
        <w:t>of</w:t>
      </w:r>
      <w:r w:rsidRPr="00437207">
        <w:rPr>
          <w:color w:val="000009"/>
          <w:spacing w:val="79"/>
        </w:rPr>
        <w:t xml:space="preserve"> </w:t>
      </w:r>
      <w:r w:rsidRPr="00437207">
        <w:rPr>
          <w:color w:val="000009"/>
        </w:rPr>
        <w:t>research</w:t>
      </w:r>
      <w:r w:rsidRPr="00437207">
        <w:rPr>
          <w:color w:val="000009"/>
          <w:spacing w:val="80"/>
        </w:rPr>
        <w:t xml:space="preserve"> </w:t>
      </w:r>
      <w:r w:rsidRPr="00437207">
        <w:rPr>
          <w:color w:val="000009"/>
        </w:rPr>
        <w:t>and</w:t>
      </w:r>
      <w:r w:rsidRPr="00437207">
        <w:rPr>
          <w:color w:val="000009"/>
          <w:spacing w:val="79"/>
        </w:rPr>
        <w:t xml:space="preserve"> </w:t>
      </w:r>
      <w:r w:rsidRPr="00437207">
        <w:rPr>
          <w:color w:val="000009"/>
        </w:rPr>
        <w:t>training</w:t>
      </w:r>
      <w:r w:rsidRPr="00437207">
        <w:rPr>
          <w:color w:val="000009"/>
          <w:spacing w:val="79"/>
        </w:rPr>
        <w:t xml:space="preserve"> </w:t>
      </w:r>
      <w:r w:rsidRPr="00437207">
        <w:rPr>
          <w:color w:val="000009"/>
        </w:rPr>
        <w:t>programmes</w:t>
      </w:r>
      <w:r w:rsidRPr="00437207">
        <w:rPr>
          <w:color w:val="000009"/>
          <w:spacing w:val="79"/>
        </w:rPr>
        <w:t xml:space="preserve"> </w:t>
      </w:r>
      <w:r w:rsidRPr="00437207">
        <w:rPr>
          <w:color w:val="000009"/>
        </w:rPr>
        <w:t>inclusive</w:t>
      </w:r>
      <w:r w:rsidRPr="00437207">
        <w:rPr>
          <w:color w:val="000009"/>
          <w:spacing w:val="78"/>
        </w:rPr>
        <w:t xml:space="preserve"> </w:t>
      </w:r>
      <w:r w:rsidRPr="00437207">
        <w:rPr>
          <w:color w:val="000009"/>
        </w:rPr>
        <w:t>of technical/financial/human resources required.</w:t>
      </w:r>
    </w:p>
    <w:p w14:paraId="599E822B" w14:textId="77777777" w:rsidR="00E33D94" w:rsidRPr="00437207" w:rsidRDefault="00E33D94" w:rsidP="002A37C4">
      <w:pPr>
        <w:pStyle w:val="ListParagraph"/>
        <w:numPr>
          <w:ilvl w:val="2"/>
          <w:numId w:val="1"/>
        </w:numPr>
        <w:tabs>
          <w:tab w:val="left" w:pos="1560"/>
        </w:tabs>
        <w:ind w:left="1440" w:right="57" w:hanging="720"/>
        <w:contextualSpacing w:val="0"/>
        <w:jc w:val="both"/>
      </w:pPr>
      <w:r w:rsidRPr="00437207">
        <w:rPr>
          <w:color w:val="000009"/>
        </w:rPr>
        <w:t>Training</w:t>
      </w:r>
      <w:r w:rsidRPr="00437207">
        <w:rPr>
          <w:color w:val="000009"/>
          <w:spacing w:val="80"/>
        </w:rPr>
        <w:t xml:space="preserve"> </w:t>
      </w:r>
      <w:r w:rsidRPr="00437207">
        <w:rPr>
          <w:color w:val="000009"/>
        </w:rPr>
        <w:t>syllabi</w:t>
      </w:r>
      <w:r w:rsidRPr="00437207">
        <w:rPr>
          <w:color w:val="000009"/>
          <w:spacing w:val="80"/>
        </w:rPr>
        <w:t xml:space="preserve"> </w:t>
      </w:r>
      <w:r w:rsidRPr="00437207">
        <w:rPr>
          <w:color w:val="000009"/>
        </w:rPr>
        <w:t>for</w:t>
      </w:r>
      <w:r w:rsidRPr="00437207">
        <w:rPr>
          <w:color w:val="000009"/>
          <w:spacing w:val="80"/>
        </w:rPr>
        <w:t xml:space="preserve"> </w:t>
      </w:r>
      <w:r w:rsidRPr="00437207">
        <w:rPr>
          <w:color w:val="000009"/>
        </w:rPr>
        <w:t>internal</w:t>
      </w:r>
      <w:r w:rsidRPr="00437207">
        <w:rPr>
          <w:color w:val="000009"/>
          <w:spacing w:val="80"/>
        </w:rPr>
        <w:t xml:space="preserve"> </w:t>
      </w:r>
      <w:r w:rsidRPr="00437207">
        <w:rPr>
          <w:color w:val="000009"/>
        </w:rPr>
        <w:t>training</w:t>
      </w:r>
      <w:r w:rsidRPr="00437207">
        <w:rPr>
          <w:color w:val="000009"/>
          <w:spacing w:val="80"/>
        </w:rPr>
        <w:t xml:space="preserve"> </w:t>
      </w:r>
      <w:r w:rsidRPr="00437207">
        <w:rPr>
          <w:color w:val="000009"/>
        </w:rPr>
        <w:t>programme</w:t>
      </w:r>
      <w:r w:rsidRPr="00437207">
        <w:rPr>
          <w:color w:val="000009"/>
          <w:spacing w:val="80"/>
        </w:rPr>
        <w:t xml:space="preserve"> </w:t>
      </w:r>
      <w:r w:rsidRPr="00437207">
        <w:rPr>
          <w:color w:val="000009"/>
        </w:rPr>
        <w:t>for</w:t>
      </w:r>
      <w:r w:rsidRPr="00437207">
        <w:rPr>
          <w:color w:val="000009"/>
          <w:spacing w:val="80"/>
        </w:rPr>
        <w:t xml:space="preserve"> </w:t>
      </w:r>
      <w:r w:rsidRPr="00437207">
        <w:rPr>
          <w:color w:val="000009"/>
        </w:rPr>
        <w:t>the</w:t>
      </w:r>
      <w:r w:rsidRPr="00437207">
        <w:rPr>
          <w:color w:val="000009"/>
          <w:spacing w:val="80"/>
        </w:rPr>
        <w:t xml:space="preserve"> </w:t>
      </w:r>
      <w:r w:rsidRPr="00437207">
        <w:rPr>
          <w:color w:val="000009"/>
        </w:rPr>
        <w:t>CIMH</w:t>
      </w:r>
      <w:r w:rsidRPr="00437207">
        <w:rPr>
          <w:color w:val="000009"/>
          <w:spacing w:val="80"/>
        </w:rPr>
        <w:t xml:space="preserve"> </w:t>
      </w:r>
      <w:r w:rsidRPr="00437207">
        <w:rPr>
          <w:color w:val="000009"/>
        </w:rPr>
        <w:t>staff</w:t>
      </w:r>
      <w:r w:rsidRPr="00437207">
        <w:rPr>
          <w:color w:val="000009"/>
          <w:spacing w:val="80"/>
        </w:rPr>
        <w:t xml:space="preserve"> </w:t>
      </w:r>
      <w:r w:rsidRPr="00437207">
        <w:rPr>
          <w:color w:val="000009"/>
        </w:rPr>
        <w:t>along</w:t>
      </w:r>
      <w:r w:rsidRPr="00437207">
        <w:rPr>
          <w:color w:val="000009"/>
          <w:spacing w:val="80"/>
        </w:rPr>
        <w:t xml:space="preserve"> </w:t>
      </w:r>
      <w:r w:rsidRPr="00437207">
        <w:rPr>
          <w:color w:val="000009"/>
        </w:rPr>
        <w:t>with identification</w:t>
      </w:r>
      <w:r w:rsidRPr="00437207">
        <w:rPr>
          <w:color w:val="000009"/>
          <w:spacing w:val="-7"/>
        </w:rPr>
        <w:t xml:space="preserve"> </w:t>
      </w:r>
      <w:r w:rsidRPr="00437207">
        <w:rPr>
          <w:color w:val="000009"/>
        </w:rPr>
        <w:t>of</w:t>
      </w:r>
      <w:r w:rsidRPr="00437207">
        <w:rPr>
          <w:color w:val="000009"/>
          <w:spacing w:val="-7"/>
        </w:rPr>
        <w:t xml:space="preserve"> </w:t>
      </w:r>
      <w:r w:rsidRPr="00437207">
        <w:rPr>
          <w:color w:val="000009"/>
        </w:rPr>
        <w:t>a</w:t>
      </w:r>
      <w:r w:rsidRPr="00437207">
        <w:rPr>
          <w:color w:val="000009"/>
          <w:spacing w:val="-8"/>
        </w:rPr>
        <w:t xml:space="preserve"> </w:t>
      </w:r>
      <w:r w:rsidRPr="00437207">
        <w:rPr>
          <w:color w:val="000009"/>
        </w:rPr>
        <w:t>proposed</w:t>
      </w:r>
      <w:r w:rsidRPr="00437207">
        <w:rPr>
          <w:color w:val="000009"/>
          <w:spacing w:val="-7"/>
        </w:rPr>
        <w:t xml:space="preserve"> </w:t>
      </w:r>
      <w:r w:rsidRPr="00437207">
        <w:rPr>
          <w:color w:val="000009"/>
        </w:rPr>
        <w:t>programmes</w:t>
      </w:r>
      <w:r w:rsidRPr="00437207">
        <w:rPr>
          <w:color w:val="000009"/>
          <w:spacing w:val="-8"/>
        </w:rPr>
        <w:t xml:space="preserve"> </w:t>
      </w:r>
      <w:r w:rsidRPr="00437207">
        <w:rPr>
          <w:color w:val="000009"/>
        </w:rPr>
        <w:t>for</w:t>
      </w:r>
      <w:r w:rsidRPr="00437207">
        <w:rPr>
          <w:color w:val="000009"/>
          <w:spacing w:val="-7"/>
        </w:rPr>
        <w:t xml:space="preserve"> </w:t>
      </w:r>
      <w:r w:rsidRPr="00437207">
        <w:rPr>
          <w:color w:val="000009"/>
        </w:rPr>
        <w:t>advanced</w:t>
      </w:r>
      <w:r w:rsidRPr="00437207">
        <w:rPr>
          <w:color w:val="000009"/>
          <w:spacing w:val="-7"/>
        </w:rPr>
        <w:t xml:space="preserve"> </w:t>
      </w:r>
      <w:r w:rsidRPr="00437207">
        <w:rPr>
          <w:color w:val="000009"/>
        </w:rPr>
        <w:t>study</w:t>
      </w:r>
      <w:r w:rsidRPr="00437207">
        <w:rPr>
          <w:color w:val="000009"/>
          <w:spacing w:val="-7"/>
        </w:rPr>
        <w:t xml:space="preserve"> </w:t>
      </w:r>
      <w:r w:rsidRPr="00437207">
        <w:rPr>
          <w:color w:val="000009"/>
        </w:rPr>
        <w:t>for</w:t>
      </w:r>
      <w:r w:rsidRPr="00437207">
        <w:rPr>
          <w:color w:val="000009"/>
          <w:spacing w:val="-8"/>
        </w:rPr>
        <w:t xml:space="preserve"> </w:t>
      </w:r>
      <w:r w:rsidRPr="00437207">
        <w:rPr>
          <w:color w:val="000009"/>
        </w:rPr>
        <w:t>a</w:t>
      </w:r>
      <w:r w:rsidRPr="00437207">
        <w:rPr>
          <w:color w:val="000009"/>
          <w:spacing w:val="-7"/>
        </w:rPr>
        <w:t xml:space="preserve"> </w:t>
      </w:r>
      <w:r w:rsidRPr="00437207">
        <w:rPr>
          <w:color w:val="000009"/>
        </w:rPr>
        <w:t>least</w:t>
      </w:r>
      <w:r w:rsidRPr="00437207">
        <w:rPr>
          <w:color w:val="000009"/>
          <w:spacing w:val="-7"/>
        </w:rPr>
        <w:t xml:space="preserve"> </w:t>
      </w:r>
      <w:r w:rsidRPr="00437207">
        <w:rPr>
          <w:color w:val="000009"/>
        </w:rPr>
        <w:t>one</w:t>
      </w:r>
      <w:r w:rsidRPr="00437207">
        <w:rPr>
          <w:color w:val="000009"/>
          <w:spacing w:val="-7"/>
        </w:rPr>
        <w:t xml:space="preserve"> </w:t>
      </w:r>
      <w:r w:rsidRPr="00437207">
        <w:rPr>
          <w:color w:val="000009"/>
        </w:rPr>
        <w:t>member</w:t>
      </w:r>
      <w:r w:rsidRPr="00437207">
        <w:rPr>
          <w:color w:val="000009"/>
          <w:spacing w:val="-7"/>
        </w:rPr>
        <w:t xml:space="preserve"> </w:t>
      </w:r>
      <w:r w:rsidRPr="00437207">
        <w:rPr>
          <w:color w:val="000009"/>
        </w:rPr>
        <w:t>of</w:t>
      </w:r>
      <w:r w:rsidRPr="00437207">
        <w:rPr>
          <w:color w:val="000009"/>
          <w:spacing w:val="-7"/>
        </w:rPr>
        <w:t xml:space="preserve"> </w:t>
      </w:r>
      <w:r w:rsidRPr="00437207">
        <w:rPr>
          <w:color w:val="000009"/>
        </w:rPr>
        <w:t>staff</w:t>
      </w:r>
    </w:p>
    <w:p w14:paraId="30F48829" w14:textId="77777777" w:rsidR="00E33D94" w:rsidRPr="00437207" w:rsidRDefault="00E33D94" w:rsidP="002A37C4">
      <w:pPr>
        <w:ind w:right="57"/>
        <w:jc w:val="both"/>
      </w:pPr>
    </w:p>
    <w:p w14:paraId="30184CE2" w14:textId="77777777" w:rsidR="00E33D94" w:rsidRPr="00437207" w:rsidRDefault="00E33D94" w:rsidP="00AC7FF1">
      <w:pPr>
        <w:pStyle w:val="Heading1"/>
        <w:numPr>
          <w:ilvl w:val="0"/>
          <w:numId w:val="1"/>
        </w:numPr>
        <w:tabs>
          <w:tab w:val="left" w:pos="0"/>
          <w:tab w:val="num" w:pos="709"/>
        </w:tabs>
        <w:spacing w:before="0" w:after="0"/>
        <w:ind w:left="0" w:right="57" w:firstLine="0"/>
        <w:jc w:val="left"/>
        <w:rPr>
          <w:rFonts w:ascii="Times New Roman" w:eastAsia="Times New Roman" w:hAnsi="Times New Roman" w:cs="Times New Roman"/>
          <w:b/>
          <w:bCs/>
          <w:color w:val="auto"/>
          <w:sz w:val="22"/>
          <w:szCs w:val="22"/>
        </w:rPr>
      </w:pPr>
      <w:r w:rsidRPr="00437207">
        <w:rPr>
          <w:rFonts w:ascii="Times New Roman" w:eastAsia="Times New Roman" w:hAnsi="Times New Roman" w:cs="Times New Roman"/>
          <w:b/>
          <w:bCs/>
          <w:color w:val="auto"/>
          <w:sz w:val="22"/>
          <w:szCs w:val="22"/>
        </w:rPr>
        <w:t>DURATION</w:t>
      </w:r>
    </w:p>
    <w:p w14:paraId="2F4A5896" w14:textId="77777777" w:rsidR="00E33D94" w:rsidRPr="00437207" w:rsidRDefault="00E33D94" w:rsidP="002A407D">
      <w:pPr>
        <w:pStyle w:val="BodyText"/>
        <w:ind w:right="57"/>
        <w:rPr>
          <w:b/>
        </w:rPr>
      </w:pPr>
    </w:p>
    <w:p w14:paraId="52354E34" w14:textId="77777777" w:rsidR="00E33D94" w:rsidRPr="00437207" w:rsidRDefault="00E33D94" w:rsidP="002A37C4">
      <w:pPr>
        <w:pStyle w:val="ListParagraph"/>
        <w:numPr>
          <w:ilvl w:val="1"/>
          <w:numId w:val="1"/>
        </w:numPr>
        <w:tabs>
          <w:tab w:val="left" w:pos="709"/>
        </w:tabs>
        <w:ind w:left="0" w:right="57" w:firstLine="0"/>
        <w:contextualSpacing w:val="0"/>
      </w:pPr>
      <w:r w:rsidRPr="00437207">
        <w:rPr>
          <w:color w:val="000009"/>
        </w:rPr>
        <w:t>The contract will be for a total of 42.5 man-days over a duration not exceeding eight (8) months.</w:t>
      </w:r>
      <w:r w:rsidRPr="00437207">
        <w:t xml:space="preserve"> </w:t>
      </w:r>
    </w:p>
    <w:p w14:paraId="278F4821" w14:textId="77777777" w:rsidR="00692089" w:rsidRPr="00437207" w:rsidRDefault="00692089" w:rsidP="002A407D">
      <w:pPr>
        <w:ind w:right="57"/>
      </w:pPr>
    </w:p>
    <w:sectPr w:rsidR="00692089" w:rsidRPr="00437207" w:rsidSect="00BC18D7">
      <w:headerReference w:type="even" r:id="rId12"/>
      <w:headerReference w:type="default" r:id="rId13"/>
      <w:headerReference w:type="first" r:id="rId14"/>
      <w:pgSz w:w="12240" w:h="15840"/>
      <w:pgMar w:top="1219" w:right="1440" w:bottom="851" w:left="1440" w:header="73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08AE" w14:textId="77777777" w:rsidR="0040393D" w:rsidRDefault="0040393D">
      <w:r>
        <w:separator/>
      </w:r>
    </w:p>
  </w:endnote>
  <w:endnote w:type="continuationSeparator" w:id="0">
    <w:p w14:paraId="5D26086D" w14:textId="77777777" w:rsidR="0040393D" w:rsidRDefault="0040393D">
      <w:r>
        <w:continuationSeparator/>
      </w:r>
    </w:p>
  </w:endnote>
  <w:endnote w:type="continuationNotice" w:id="1">
    <w:p w14:paraId="7617FF82" w14:textId="77777777" w:rsidR="002B70A8" w:rsidRDefault="002B7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999F" w14:textId="77777777" w:rsidR="0040393D" w:rsidRDefault="0040393D">
      <w:r>
        <w:separator/>
      </w:r>
    </w:p>
  </w:footnote>
  <w:footnote w:type="continuationSeparator" w:id="0">
    <w:p w14:paraId="0419BF7E" w14:textId="77777777" w:rsidR="0040393D" w:rsidRDefault="0040393D">
      <w:r>
        <w:continuationSeparator/>
      </w:r>
    </w:p>
  </w:footnote>
  <w:footnote w:type="continuationNotice" w:id="1">
    <w:p w14:paraId="065649C7" w14:textId="77777777" w:rsidR="002B70A8" w:rsidRDefault="002B7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945C" w14:textId="77777777" w:rsidR="007F75EC" w:rsidRDefault="007F7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A576" w14:textId="77777777" w:rsidR="007F75EC" w:rsidRDefault="007F75E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0680" w14:textId="77777777" w:rsidR="007F75EC" w:rsidRDefault="007F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6773"/>
    <w:multiLevelType w:val="multilevel"/>
    <w:tmpl w:val="0B8073B6"/>
    <w:lvl w:ilvl="0">
      <w:start w:val="1"/>
      <w:numFmt w:val="decimal"/>
      <w:lvlText w:val="%1."/>
      <w:lvlJc w:val="left"/>
      <w:pPr>
        <w:ind w:left="12084" w:hanging="721"/>
        <w:jc w:val="right"/>
      </w:pPr>
      <w:rPr>
        <w:rFonts w:ascii="Times New Roman" w:eastAsia="Times New Roman" w:hAnsi="Times New Roman" w:cs="Times New Roman" w:hint="default"/>
        <w:b/>
        <w:bCs/>
        <w:i w:val="0"/>
        <w:iCs w:val="0"/>
        <w:color w:val="000009"/>
        <w:spacing w:val="0"/>
        <w:w w:val="99"/>
        <w:sz w:val="22"/>
        <w:szCs w:val="22"/>
        <w:lang w:val="en-US" w:eastAsia="en-US" w:bidi="ar-SA"/>
      </w:rPr>
    </w:lvl>
    <w:lvl w:ilvl="1">
      <w:start w:val="1"/>
      <w:numFmt w:val="decimalZero"/>
      <w:lvlText w:val="%1.%2"/>
      <w:lvlJc w:val="left"/>
      <w:pPr>
        <w:ind w:left="12145" w:hanging="721"/>
      </w:pPr>
      <w:rPr>
        <w:rFonts w:hint="default"/>
        <w:spacing w:val="0"/>
        <w:w w:val="99"/>
        <w:lang w:val="en-US" w:eastAsia="en-US" w:bidi="ar-SA"/>
      </w:rPr>
    </w:lvl>
    <w:lvl w:ilvl="2">
      <w:start w:val="1"/>
      <w:numFmt w:val="lowerLetter"/>
      <w:lvlText w:val="(%3)"/>
      <w:lvlJc w:val="left"/>
      <w:pPr>
        <w:ind w:left="12804" w:hanging="721"/>
      </w:pPr>
      <w:rPr>
        <w:rFonts w:ascii="Times New Roman" w:eastAsia="Times New Roman" w:hAnsi="Times New Roman" w:cs="Times New Roman" w:hint="default"/>
        <w:b w:val="0"/>
        <w:bCs w:val="0"/>
        <w:i w:val="0"/>
        <w:iCs w:val="0"/>
        <w:color w:val="000009"/>
        <w:spacing w:val="0"/>
        <w:w w:val="99"/>
        <w:sz w:val="22"/>
        <w:szCs w:val="22"/>
        <w:lang w:val="en-US" w:eastAsia="en-US" w:bidi="ar-SA"/>
      </w:rPr>
    </w:lvl>
    <w:lvl w:ilvl="3">
      <w:numFmt w:val="bullet"/>
      <w:lvlText w:val="•"/>
      <w:lvlJc w:val="left"/>
      <w:pPr>
        <w:ind w:left="13861" w:hanging="721"/>
      </w:pPr>
      <w:rPr>
        <w:rFonts w:hint="default"/>
        <w:lang w:val="en-US" w:eastAsia="en-US" w:bidi="ar-SA"/>
      </w:rPr>
    </w:lvl>
    <w:lvl w:ilvl="4">
      <w:numFmt w:val="bullet"/>
      <w:lvlText w:val="•"/>
      <w:lvlJc w:val="left"/>
      <w:pPr>
        <w:ind w:left="14919" w:hanging="721"/>
      </w:pPr>
      <w:rPr>
        <w:rFonts w:hint="default"/>
        <w:lang w:val="en-US" w:eastAsia="en-US" w:bidi="ar-SA"/>
      </w:rPr>
    </w:lvl>
    <w:lvl w:ilvl="5">
      <w:numFmt w:val="bullet"/>
      <w:lvlText w:val="•"/>
      <w:lvlJc w:val="left"/>
      <w:pPr>
        <w:ind w:left="15976" w:hanging="721"/>
      </w:pPr>
      <w:rPr>
        <w:rFonts w:hint="default"/>
        <w:lang w:val="en-US" w:eastAsia="en-US" w:bidi="ar-SA"/>
      </w:rPr>
    </w:lvl>
    <w:lvl w:ilvl="6">
      <w:numFmt w:val="bullet"/>
      <w:lvlText w:val="•"/>
      <w:lvlJc w:val="left"/>
      <w:pPr>
        <w:ind w:left="17034" w:hanging="721"/>
      </w:pPr>
      <w:rPr>
        <w:rFonts w:hint="default"/>
        <w:lang w:val="en-US" w:eastAsia="en-US" w:bidi="ar-SA"/>
      </w:rPr>
    </w:lvl>
    <w:lvl w:ilvl="7">
      <w:numFmt w:val="bullet"/>
      <w:lvlText w:val="•"/>
      <w:lvlJc w:val="left"/>
      <w:pPr>
        <w:ind w:left="18091" w:hanging="721"/>
      </w:pPr>
      <w:rPr>
        <w:rFonts w:hint="default"/>
        <w:lang w:val="en-US" w:eastAsia="en-US" w:bidi="ar-SA"/>
      </w:rPr>
    </w:lvl>
    <w:lvl w:ilvl="8">
      <w:numFmt w:val="bullet"/>
      <w:lvlText w:val="•"/>
      <w:lvlJc w:val="left"/>
      <w:pPr>
        <w:ind w:left="19149" w:hanging="721"/>
      </w:pPr>
      <w:rPr>
        <w:rFonts w:hint="default"/>
        <w:lang w:val="en-US" w:eastAsia="en-US" w:bidi="ar-SA"/>
      </w:rPr>
    </w:lvl>
  </w:abstractNum>
  <w:num w:numId="1" w16cid:durableId="6379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94"/>
    <w:rsid w:val="000B60C2"/>
    <w:rsid w:val="000D5491"/>
    <w:rsid w:val="0011147E"/>
    <w:rsid w:val="001309AB"/>
    <w:rsid w:val="001427FE"/>
    <w:rsid w:val="00164755"/>
    <w:rsid w:val="00165290"/>
    <w:rsid w:val="00166523"/>
    <w:rsid w:val="002A37C4"/>
    <w:rsid w:val="002A407D"/>
    <w:rsid w:val="002B70A8"/>
    <w:rsid w:val="002C35DA"/>
    <w:rsid w:val="00340DE4"/>
    <w:rsid w:val="0040393D"/>
    <w:rsid w:val="00437207"/>
    <w:rsid w:val="00546527"/>
    <w:rsid w:val="00692089"/>
    <w:rsid w:val="006D79A4"/>
    <w:rsid w:val="00716824"/>
    <w:rsid w:val="007813EA"/>
    <w:rsid w:val="007F75EC"/>
    <w:rsid w:val="009867AB"/>
    <w:rsid w:val="00AC7FF1"/>
    <w:rsid w:val="00BA099B"/>
    <w:rsid w:val="00BC18D7"/>
    <w:rsid w:val="00C1266D"/>
    <w:rsid w:val="00C803AB"/>
    <w:rsid w:val="00E01237"/>
    <w:rsid w:val="00E23739"/>
    <w:rsid w:val="00E33D94"/>
    <w:rsid w:val="00F368D4"/>
    <w:rsid w:val="00F4117C"/>
    <w:rsid w:val="00F57E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D13DE"/>
  <w15:chartTrackingRefBased/>
  <w15:docId w15:val="{D056AF75-1470-4693-BDA7-792A60BC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D9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E33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D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D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D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D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D94"/>
    <w:rPr>
      <w:rFonts w:eastAsiaTheme="majorEastAsia" w:cstheme="majorBidi"/>
      <w:color w:val="272727" w:themeColor="text1" w:themeTint="D8"/>
    </w:rPr>
  </w:style>
  <w:style w:type="paragraph" w:styleId="Title">
    <w:name w:val="Title"/>
    <w:basedOn w:val="Normal"/>
    <w:next w:val="Normal"/>
    <w:link w:val="TitleChar"/>
    <w:uiPriority w:val="10"/>
    <w:qFormat/>
    <w:rsid w:val="00E33D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D94"/>
    <w:pPr>
      <w:spacing w:before="160"/>
      <w:jc w:val="center"/>
    </w:pPr>
    <w:rPr>
      <w:i/>
      <w:iCs/>
      <w:color w:val="404040" w:themeColor="text1" w:themeTint="BF"/>
    </w:rPr>
  </w:style>
  <w:style w:type="character" w:customStyle="1" w:styleId="QuoteChar">
    <w:name w:val="Quote Char"/>
    <w:basedOn w:val="DefaultParagraphFont"/>
    <w:link w:val="Quote"/>
    <w:uiPriority w:val="29"/>
    <w:rsid w:val="00E33D94"/>
    <w:rPr>
      <w:i/>
      <w:iCs/>
      <w:color w:val="404040" w:themeColor="text1" w:themeTint="BF"/>
    </w:rPr>
  </w:style>
  <w:style w:type="paragraph" w:styleId="ListParagraph">
    <w:name w:val="List Paragraph"/>
    <w:basedOn w:val="Normal"/>
    <w:uiPriority w:val="1"/>
    <w:qFormat/>
    <w:rsid w:val="00E33D94"/>
    <w:pPr>
      <w:ind w:left="720"/>
      <w:contextualSpacing/>
    </w:pPr>
  </w:style>
  <w:style w:type="character" w:styleId="IntenseEmphasis">
    <w:name w:val="Intense Emphasis"/>
    <w:basedOn w:val="DefaultParagraphFont"/>
    <w:uiPriority w:val="21"/>
    <w:qFormat/>
    <w:rsid w:val="00E33D94"/>
    <w:rPr>
      <w:i/>
      <w:iCs/>
      <w:color w:val="0F4761" w:themeColor="accent1" w:themeShade="BF"/>
    </w:rPr>
  </w:style>
  <w:style w:type="paragraph" w:styleId="IntenseQuote">
    <w:name w:val="Intense Quote"/>
    <w:basedOn w:val="Normal"/>
    <w:next w:val="Normal"/>
    <w:link w:val="IntenseQuoteChar"/>
    <w:uiPriority w:val="30"/>
    <w:qFormat/>
    <w:rsid w:val="00E33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D94"/>
    <w:rPr>
      <w:i/>
      <w:iCs/>
      <w:color w:val="0F4761" w:themeColor="accent1" w:themeShade="BF"/>
    </w:rPr>
  </w:style>
  <w:style w:type="character" w:styleId="IntenseReference">
    <w:name w:val="Intense Reference"/>
    <w:basedOn w:val="DefaultParagraphFont"/>
    <w:uiPriority w:val="32"/>
    <w:qFormat/>
    <w:rsid w:val="00E33D94"/>
    <w:rPr>
      <w:b/>
      <w:bCs/>
      <w:smallCaps/>
      <w:color w:val="0F4761" w:themeColor="accent1" w:themeShade="BF"/>
      <w:spacing w:val="5"/>
    </w:rPr>
  </w:style>
  <w:style w:type="paragraph" w:styleId="BodyText">
    <w:name w:val="Body Text"/>
    <w:basedOn w:val="Normal"/>
    <w:link w:val="BodyTextChar"/>
    <w:uiPriority w:val="1"/>
    <w:qFormat/>
    <w:rsid w:val="00E33D94"/>
  </w:style>
  <w:style w:type="character" w:customStyle="1" w:styleId="BodyTextChar">
    <w:name w:val="Body Text Char"/>
    <w:basedOn w:val="DefaultParagraphFont"/>
    <w:link w:val="BodyText"/>
    <w:uiPriority w:val="1"/>
    <w:rsid w:val="00E33D94"/>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33D94"/>
    <w:pPr>
      <w:tabs>
        <w:tab w:val="center" w:pos="4680"/>
        <w:tab w:val="right" w:pos="9360"/>
      </w:tabs>
    </w:pPr>
  </w:style>
  <w:style w:type="character" w:customStyle="1" w:styleId="HeaderChar">
    <w:name w:val="Header Char"/>
    <w:basedOn w:val="DefaultParagraphFont"/>
    <w:link w:val="Header"/>
    <w:uiPriority w:val="99"/>
    <w:rsid w:val="00E33D94"/>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E33D94"/>
    <w:pPr>
      <w:widowControl/>
      <w:autoSpaceDE/>
      <w:autoSpaceDN/>
      <w:spacing w:before="100" w:beforeAutospacing="1" w:after="100" w:afterAutospacing="1"/>
    </w:pPr>
    <w:rPr>
      <w:sz w:val="24"/>
      <w:szCs w:val="24"/>
    </w:rPr>
  </w:style>
  <w:style w:type="paragraph" w:styleId="Footer">
    <w:name w:val="footer"/>
    <w:basedOn w:val="Normal"/>
    <w:link w:val="FooterChar"/>
    <w:uiPriority w:val="99"/>
    <w:semiHidden/>
    <w:unhideWhenUsed/>
    <w:rsid w:val="002B70A8"/>
    <w:pPr>
      <w:tabs>
        <w:tab w:val="center" w:pos="4513"/>
        <w:tab w:val="right" w:pos="9026"/>
      </w:tabs>
    </w:pPr>
  </w:style>
  <w:style w:type="character" w:customStyle="1" w:styleId="FooterChar">
    <w:name w:val="Footer Char"/>
    <w:basedOn w:val="DefaultParagraphFont"/>
    <w:link w:val="Footer"/>
    <w:uiPriority w:val="99"/>
    <w:semiHidden/>
    <w:rsid w:val="002B70A8"/>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OP365-1937012750-41</_dlc_DocId>
    <_dlc_DocIdUrl xmlns="d7c79300-af82-4651-8bb4-0962fed79a64">
      <Url>https://caribank.sharepoint.com/sites/ZZ/PRN300057/_layouts/15/DocIdRedir.aspx?ID=OP365-1937012750-41</Url>
      <Description>OP365-1937012750-41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FCD02167C3C4EB416944A6FC076D7" ma:contentTypeVersion="16" ma:contentTypeDescription="Create a new document." ma:contentTypeScope="" ma:versionID="6e573ed70db03c82446aea27eee05499">
  <xsd:schema xmlns:xsd="http://www.w3.org/2001/XMLSchema" xmlns:xs="http://www.w3.org/2001/XMLSchema" xmlns:p="http://schemas.microsoft.com/office/2006/metadata/properties" xmlns:ns2="d7c79300-af82-4651-8bb4-0962fed79a64" xmlns:ns3="0c4b6121-56d7-4f65-b8ec-ac61c0f139e3" targetNamespace="http://schemas.microsoft.com/office/2006/metadata/properties" ma:root="true" ma:fieldsID="5e6b379c22d021331df21b8132091c55" ns2:_="" ns3:_="">
    <xsd:import namespace="d7c79300-af82-4651-8bb4-0962fed79a64"/>
    <xsd:import namespace="0c4b6121-56d7-4f65-b8ec-ac61c0f139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4b6121-56d7-4f65-b8ec-ac61c0f139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1ea6748-af05-4a75-9b44-37e5618d313b"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A1A6D4-89C3-488D-AC0E-17ED62FF466E}">
  <ds:schemaRefs>
    <ds:schemaRef ds:uri="http://purl.org/dc/elements/1.1/"/>
    <ds:schemaRef ds:uri="http://schemas.microsoft.com/office/2006/documentManagement/types"/>
    <ds:schemaRef ds:uri="http://purl.org/dc/dcmitype/"/>
    <ds:schemaRef ds:uri="http://schemas.microsoft.com/office/2006/metadata/properties"/>
    <ds:schemaRef ds:uri="d7c79300-af82-4651-8bb4-0962fed79a64"/>
    <ds:schemaRef ds:uri="http://purl.org/dc/terms/"/>
    <ds:schemaRef ds:uri="http://schemas.microsoft.com/office/infopath/2007/PartnerControls"/>
    <ds:schemaRef ds:uri="http://www.w3.org/XML/1998/namespace"/>
    <ds:schemaRef ds:uri="0c4b6121-56d7-4f65-b8ec-ac61c0f139e3"/>
    <ds:schemaRef ds:uri="http://schemas.openxmlformats.org/package/2006/metadata/core-properties"/>
  </ds:schemaRefs>
</ds:datastoreItem>
</file>

<file path=customXml/itemProps2.xml><?xml version="1.0" encoding="utf-8"?>
<ds:datastoreItem xmlns:ds="http://schemas.openxmlformats.org/officeDocument/2006/customXml" ds:itemID="{D0B59B76-7F9A-48F6-81EF-F60C48CD0960}">
  <ds:schemaRefs>
    <ds:schemaRef ds:uri="http://schemas.microsoft.com/sharepoint/v3/contenttype/forms"/>
  </ds:schemaRefs>
</ds:datastoreItem>
</file>

<file path=customXml/itemProps3.xml><?xml version="1.0" encoding="utf-8"?>
<ds:datastoreItem xmlns:ds="http://schemas.openxmlformats.org/officeDocument/2006/customXml" ds:itemID="{4817BBC9-B77F-4E72-9C93-AACC9AF54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0c4b6121-56d7-4f65-b8ec-ac61c0f13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90408-A9F6-409B-AFA5-4E492DBF8AF0}">
  <ds:schemaRefs>
    <ds:schemaRef ds:uri="Microsoft.SharePoint.Taxonomy.ContentTypeSync"/>
  </ds:schemaRefs>
</ds:datastoreItem>
</file>

<file path=customXml/itemProps5.xml><?xml version="1.0" encoding="utf-8"?>
<ds:datastoreItem xmlns:ds="http://schemas.openxmlformats.org/officeDocument/2006/customXml" ds:itemID="{B04F5B27-9BF1-4EEF-B9C6-70A5BDDC25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1589</Words>
  <Characters>9487</Characters>
  <Application>Microsoft Office Word</Application>
  <DocSecurity>0</DocSecurity>
  <Lines>155</Lines>
  <Paragraphs>41</Paragraphs>
  <ScaleCrop>false</ScaleCrop>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2</cp:revision>
  <dcterms:created xsi:type="dcterms:W3CDTF">2025-06-12T12:47:00Z</dcterms:created>
  <dcterms:modified xsi:type="dcterms:W3CDTF">2025-06-12T12:47:00Z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0x010100B9CFCD02167C3C4EB416944A6FC076D7</vt:lpwstr>
  </property>
  <property fmtid="{D5CDD505-2E9C-101B-9397-08002B2CF9AE}" pid="3" name="_dlc_DocIdItemGuid">
    <vt:lpwstr>207099bc-62a5-4904-9aaf-06695574c62d</vt:lpwstr>
  </property>
  <property fmtid="{D5CDD505-2E9C-101B-9397-08002B2CF9AE}" pid="4" name="GrammarlyDocumentId">
    <vt:lpwstr>0e8bebfd-212e-4805-ab1c-4d39f562304c</vt:lpwstr>
  </property>
</Properties>
</file>