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9FD4" w14:textId="77777777" w:rsidR="007056F7" w:rsidRPr="00C420AB" w:rsidRDefault="007056F7" w:rsidP="007056F7">
      <w:pPr>
        <w:pStyle w:val="NormalWeb"/>
        <w:spacing w:before="0" w:beforeAutospacing="0" w:after="0" w:afterAutospacing="0"/>
        <w:jc w:val="center"/>
        <w:rPr>
          <w:color w:val="000000"/>
          <w:sz w:val="22"/>
          <w:szCs w:val="22"/>
        </w:rPr>
      </w:pPr>
      <w:r w:rsidRPr="00C420AB">
        <w:rPr>
          <w:b/>
          <w:bCs/>
          <w:color w:val="000000"/>
          <w:sz w:val="22"/>
          <w:szCs w:val="22"/>
        </w:rPr>
        <w:t>CARIBBEAN DEVELOPMENT BANK</w:t>
      </w:r>
    </w:p>
    <w:p w14:paraId="01EC6C49" w14:textId="404263CA" w:rsidR="007056F7" w:rsidRPr="00C420AB" w:rsidRDefault="007056F7" w:rsidP="004C6AA3">
      <w:pPr>
        <w:spacing w:after="240"/>
        <w:jc w:val="center"/>
        <w:rPr>
          <w:rFonts w:ascii="Times New Roman" w:hAnsi="Times New Roman" w:cs="Times New Roman"/>
          <w:color w:val="000000"/>
          <w:sz w:val="22"/>
          <w:szCs w:val="22"/>
        </w:rPr>
      </w:pPr>
      <w:r w:rsidRPr="00C420AB">
        <w:rPr>
          <w:rFonts w:ascii="Times New Roman" w:hAnsi="Times New Roman" w:cs="Times New Roman"/>
          <w:sz w:val="22"/>
          <w:szCs w:val="22"/>
        </w:rPr>
        <w:br/>
      </w:r>
      <w:r w:rsidRPr="00C420AB">
        <w:rPr>
          <w:rFonts w:ascii="Times New Roman" w:hAnsi="Times New Roman" w:cs="Times New Roman"/>
          <w:sz w:val="22"/>
          <w:szCs w:val="22"/>
        </w:rPr>
        <w:br/>
      </w:r>
      <w:r w:rsidRPr="00C420AB">
        <w:rPr>
          <w:rFonts w:ascii="Times New Roman" w:hAnsi="Times New Roman" w:cs="Times New Roman"/>
          <w:sz w:val="22"/>
          <w:szCs w:val="22"/>
        </w:rPr>
        <w:br/>
      </w:r>
      <w:r w:rsidRPr="00C420AB">
        <w:rPr>
          <w:rFonts w:ascii="Times New Roman" w:hAnsi="Times New Roman" w:cs="Times New Roman"/>
          <w:noProof/>
          <w:sz w:val="22"/>
          <w:szCs w:val="22"/>
        </w:rPr>
        <w:drawing>
          <wp:inline distT="0" distB="0" distL="0" distR="0" wp14:anchorId="5E3CD74F" wp14:editId="2F5C9AFF">
            <wp:extent cx="1438910" cy="1447165"/>
            <wp:effectExtent l="0" t="0" r="0" b="635"/>
            <wp:docPr id="732054188" name="Picture 732054188" descr="Description: LETTER CONTINUE TEST">
              <a:extLst xmlns:a="http://schemas.openxmlformats.org/drawingml/2006/main">
                <a:ext uri="{FF2B5EF4-FFF2-40B4-BE49-F238E27FC236}">
                  <a16:creationId xmlns:a16="http://schemas.microsoft.com/office/drawing/2014/main" id="{5A89CAED-2E7E-4A0E-BDFA-B70EBB96BE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054188"/>
                    <pic:cNvPicPr/>
                  </pic:nvPicPr>
                  <pic:blipFill>
                    <a:blip r:embed="rId11">
                      <a:extLst>
                        <a:ext uri="{28A0092B-C50C-407E-A947-70E740481C1C}">
                          <a14:useLocalDpi xmlns:a14="http://schemas.microsoft.com/office/drawing/2010/main" val="0"/>
                        </a:ext>
                      </a:extLst>
                    </a:blip>
                    <a:stretch>
                      <a:fillRect/>
                    </a:stretch>
                  </pic:blipFill>
                  <pic:spPr>
                    <a:xfrm>
                      <a:off x="0" y="0"/>
                      <a:ext cx="1438910" cy="1447165"/>
                    </a:xfrm>
                    <a:prstGeom prst="rect">
                      <a:avLst/>
                    </a:prstGeom>
                  </pic:spPr>
                </pic:pic>
              </a:graphicData>
            </a:graphic>
          </wp:inline>
        </w:drawing>
      </w:r>
    </w:p>
    <w:p w14:paraId="171E8DE6" w14:textId="77777777" w:rsidR="007056F7" w:rsidRPr="00C420AB" w:rsidRDefault="007056F7" w:rsidP="007056F7">
      <w:pPr>
        <w:rPr>
          <w:rFonts w:ascii="Times New Roman" w:hAnsi="Times New Roman" w:cs="Times New Roman"/>
          <w:color w:val="000000"/>
          <w:sz w:val="22"/>
          <w:szCs w:val="22"/>
        </w:rPr>
      </w:pPr>
    </w:p>
    <w:p w14:paraId="7B2731B2" w14:textId="6A88BABC" w:rsidR="007056F7" w:rsidRPr="00C420AB" w:rsidRDefault="009121EE" w:rsidP="007056F7">
      <w:pPr>
        <w:pStyle w:val="NormalWeb"/>
        <w:spacing w:before="0" w:beforeAutospacing="0" w:after="0" w:afterAutospacing="0"/>
        <w:jc w:val="center"/>
        <w:rPr>
          <w:b/>
          <w:bCs/>
          <w:color w:val="000000"/>
          <w:sz w:val="22"/>
          <w:szCs w:val="22"/>
        </w:rPr>
      </w:pPr>
      <w:r w:rsidRPr="00C420AB">
        <w:rPr>
          <w:b/>
          <w:bCs/>
          <w:color w:val="000000"/>
          <w:sz w:val="22"/>
          <w:szCs w:val="22"/>
        </w:rPr>
        <w:t xml:space="preserve">DRAFT </w:t>
      </w:r>
      <w:r w:rsidR="007056F7" w:rsidRPr="00C420AB">
        <w:rPr>
          <w:b/>
          <w:bCs/>
          <w:color w:val="000000"/>
          <w:sz w:val="22"/>
          <w:szCs w:val="22"/>
        </w:rPr>
        <w:t xml:space="preserve">TERMS OF REFERENCE </w:t>
      </w:r>
    </w:p>
    <w:p w14:paraId="043C04A0" w14:textId="77777777" w:rsidR="007056F7" w:rsidRPr="00C420AB" w:rsidRDefault="007056F7" w:rsidP="007056F7">
      <w:pPr>
        <w:pStyle w:val="NormalWeb"/>
        <w:spacing w:before="0" w:beforeAutospacing="0" w:after="0" w:afterAutospacing="0"/>
        <w:jc w:val="center"/>
        <w:rPr>
          <w:b/>
          <w:bCs/>
          <w:color w:val="000000"/>
          <w:sz w:val="22"/>
          <w:szCs w:val="22"/>
        </w:rPr>
      </w:pPr>
    </w:p>
    <w:p w14:paraId="29AA8542" w14:textId="065E5D58" w:rsidR="007056F7" w:rsidRPr="00C420AB" w:rsidRDefault="007056F7" w:rsidP="00A67F96">
      <w:pPr>
        <w:pStyle w:val="NormalWeb"/>
        <w:spacing w:before="0" w:beforeAutospacing="0" w:after="0" w:afterAutospacing="0"/>
        <w:jc w:val="center"/>
        <w:rPr>
          <w:b/>
          <w:bCs/>
          <w:color w:val="000000"/>
          <w:sz w:val="22"/>
          <w:szCs w:val="22"/>
        </w:rPr>
      </w:pPr>
      <w:r w:rsidRPr="00C420AB">
        <w:rPr>
          <w:b/>
          <w:bCs/>
          <w:color w:val="000000"/>
          <w:sz w:val="22"/>
          <w:szCs w:val="22"/>
        </w:rPr>
        <w:t xml:space="preserve">Independent Evaluation </w:t>
      </w:r>
      <w:r w:rsidR="0084099A" w:rsidRPr="00C420AB">
        <w:rPr>
          <w:b/>
          <w:bCs/>
          <w:color w:val="000000"/>
          <w:sz w:val="22"/>
          <w:szCs w:val="22"/>
        </w:rPr>
        <w:t xml:space="preserve">of the Caribbean Development Bank’s Private Sector Strategy </w:t>
      </w:r>
      <w:r w:rsidRPr="00C420AB">
        <w:rPr>
          <w:b/>
          <w:bCs/>
          <w:color w:val="000000"/>
          <w:sz w:val="22"/>
          <w:szCs w:val="22"/>
        </w:rPr>
        <w:t>2017–2025</w:t>
      </w:r>
    </w:p>
    <w:p w14:paraId="08F84E72" w14:textId="77777777" w:rsidR="007056F7" w:rsidRPr="00C420AB" w:rsidRDefault="007056F7" w:rsidP="007056F7">
      <w:pPr>
        <w:spacing w:after="240"/>
        <w:rPr>
          <w:rFonts w:ascii="Times New Roman" w:hAnsi="Times New Roman" w:cs="Times New Roman"/>
          <w:color w:val="000000"/>
          <w:sz w:val="22"/>
          <w:szCs w:val="22"/>
        </w:rPr>
      </w:pPr>
    </w:p>
    <w:p w14:paraId="4099FC94" w14:textId="77777777" w:rsidR="00950E4C" w:rsidRPr="00C420AB" w:rsidRDefault="00950E4C" w:rsidP="007056F7">
      <w:pPr>
        <w:spacing w:after="240"/>
        <w:rPr>
          <w:rFonts w:ascii="Times New Roman" w:hAnsi="Times New Roman" w:cs="Times New Roman"/>
          <w:color w:val="000000"/>
          <w:sz w:val="22"/>
          <w:szCs w:val="22"/>
        </w:rPr>
      </w:pPr>
    </w:p>
    <w:p w14:paraId="14CC3F24" w14:textId="77777777" w:rsidR="00950E4C" w:rsidRPr="00C420AB" w:rsidRDefault="00950E4C" w:rsidP="007056F7">
      <w:pPr>
        <w:spacing w:after="240"/>
        <w:rPr>
          <w:rFonts w:ascii="Times New Roman" w:hAnsi="Times New Roman" w:cs="Times New Roman"/>
          <w:color w:val="000000"/>
          <w:sz w:val="22"/>
          <w:szCs w:val="22"/>
        </w:rPr>
      </w:pPr>
    </w:p>
    <w:p w14:paraId="40A3C291" w14:textId="77777777" w:rsidR="00950E4C" w:rsidRPr="00C420AB" w:rsidRDefault="00950E4C" w:rsidP="007056F7">
      <w:pPr>
        <w:spacing w:after="240"/>
        <w:rPr>
          <w:rFonts w:ascii="Times New Roman" w:hAnsi="Times New Roman" w:cs="Times New Roman"/>
          <w:color w:val="000000"/>
          <w:sz w:val="22"/>
          <w:szCs w:val="22"/>
        </w:rPr>
      </w:pPr>
    </w:p>
    <w:p w14:paraId="7EFC9E08" w14:textId="77777777" w:rsidR="00950E4C" w:rsidRPr="00C420AB" w:rsidRDefault="00950E4C" w:rsidP="007056F7">
      <w:pPr>
        <w:spacing w:after="240"/>
        <w:rPr>
          <w:rFonts w:ascii="Times New Roman" w:hAnsi="Times New Roman" w:cs="Times New Roman"/>
          <w:color w:val="000000"/>
          <w:sz w:val="22"/>
          <w:szCs w:val="22"/>
        </w:rPr>
      </w:pPr>
    </w:p>
    <w:p w14:paraId="23F73FD5" w14:textId="77777777" w:rsidR="00950E4C" w:rsidRPr="00C420AB" w:rsidRDefault="00950E4C" w:rsidP="007056F7">
      <w:pPr>
        <w:spacing w:after="240"/>
        <w:rPr>
          <w:rFonts w:ascii="Times New Roman" w:hAnsi="Times New Roman" w:cs="Times New Roman"/>
          <w:color w:val="000000"/>
          <w:sz w:val="22"/>
          <w:szCs w:val="22"/>
        </w:rPr>
      </w:pPr>
    </w:p>
    <w:p w14:paraId="63604A5F" w14:textId="77777777" w:rsidR="00950E4C" w:rsidRPr="00C420AB" w:rsidRDefault="00950E4C" w:rsidP="007056F7">
      <w:pPr>
        <w:spacing w:after="240"/>
        <w:rPr>
          <w:rFonts w:ascii="Times New Roman" w:hAnsi="Times New Roman" w:cs="Times New Roman"/>
          <w:color w:val="000000"/>
          <w:sz w:val="22"/>
          <w:szCs w:val="22"/>
        </w:rPr>
      </w:pPr>
    </w:p>
    <w:p w14:paraId="513CCF25" w14:textId="77777777" w:rsidR="00950E4C" w:rsidRPr="00C420AB" w:rsidRDefault="00950E4C" w:rsidP="007056F7">
      <w:pPr>
        <w:spacing w:after="240"/>
        <w:rPr>
          <w:rFonts w:ascii="Times New Roman" w:hAnsi="Times New Roman" w:cs="Times New Roman"/>
          <w:color w:val="000000"/>
          <w:sz w:val="22"/>
          <w:szCs w:val="22"/>
        </w:rPr>
      </w:pPr>
    </w:p>
    <w:p w14:paraId="4B053993" w14:textId="77777777" w:rsidR="00950E4C" w:rsidRPr="00C420AB" w:rsidRDefault="00950E4C" w:rsidP="007056F7">
      <w:pPr>
        <w:spacing w:after="240"/>
        <w:rPr>
          <w:rFonts w:ascii="Times New Roman" w:hAnsi="Times New Roman" w:cs="Times New Roman"/>
          <w:color w:val="000000"/>
          <w:sz w:val="22"/>
          <w:szCs w:val="22"/>
        </w:rPr>
      </w:pPr>
    </w:p>
    <w:p w14:paraId="702DD979" w14:textId="77777777" w:rsidR="00950E4C" w:rsidRPr="00C420AB" w:rsidRDefault="00950E4C" w:rsidP="007056F7">
      <w:pPr>
        <w:spacing w:after="240"/>
        <w:rPr>
          <w:rFonts w:ascii="Times New Roman" w:hAnsi="Times New Roman" w:cs="Times New Roman"/>
          <w:color w:val="000000"/>
          <w:sz w:val="22"/>
          <w:szCs w:val="22"/>
        </w:rPr>
      </w:pPr>
    </w:p>
    <w:p w14:paraId="678BDE42" w14:textId="77777777" w:rsidR="00950E4C" w:rsidRPr="00C420AB" w:rsidRDefault="00950E4C" w:rsidP="007056F7">
      <w:pPr>
        <w:spacing w:after="240"/>
        <w:rPr>
          <w:rFonts w:ascii="Times New Roman" w:hAnsi="Times New Roman" w:cs="Times New Roman"/>
          <w:color w:val="000000"/>
          <w:sz w:val="22"/>
          <w:szCs w:val="22"/>
        </w:rPr>
      </w:pPr>
    </w:p>
    <w:p w14:paraId="3EF545DE" w14:textId="77777777" w:rsidR="00227B86" w:rsidRPr="00C420AB" w:rsidRDefault="007056F7" w:rsidP="00950E4C">
      <w:pPr>
        <w:pStyle w:val="NormalWeb"/>
        <w:spacing w:before="0" w:beforeAutospacing="0" w:after="160" w:afterAutospacing="0"/>
        <w:rPr>
          <w:b/>
          <w:bCs/>
          <w:color w:val="000000" w:themeColor="text1"/>
          <w:sz w:val="22"/>
          <w:szCs w:val="22"/>
        </w:rPr>
      </w:pPr>
      <w:r w:rsidRPr="00C420AB">
        <w:rPr>
          <w:b/>
          <w:bCs/>
          <w:color w:val="000000" w:themeColor="text1"/>
          <w:sz w:val="22"/>
          <w:szCs w:val="22"/>
        </w:rPr>
        <w:t>OFFICE OF INDEPENDENT EVALUATION</w:t>
      </w:r>
      <w:r w:rsidR="03474849" w:rsidRPr="00C420AB">
        <w:rPr>
          <w:b/>
          <w:bCs/>
          <w:color w:val="000000" w:themeColor="text1"/>
          <w:sz w:val="22"/>
          <w:szCs w:val="22"/>
        </w:rPr>
        <w:t xml:space="preserve"> </w:t>
      </w:r>
    </w:p>
    <w:p w14:paraId="04F7B79C" w14:textId="5718B132" w:rsidR="00837029" w:rsidRPr="00C420AB" w:rsidRDefault="002F784A" w:rsidP="00F07E7A">
      <w:pPr>
        <w:pStyle w:val="NormalWeb"/>
        <w:spacing w:before="0" w:beforeAutospacing="0" w:after="160" w:afterAutospacing="0"/>
        <w:rPr>
          <w:b/>
          <w:bCs/>
          <w:color w:val="000000" w:themeColor="text1"/>
          <w:sz w:val="22"/>
          <w:szCs w:val="22"/>
        </w:rPr>
      </w:pPr>
      <w:r w:rsidRPr="00C420AB">
        <w:rPr>
          <w:b/>
          <w:bCs/>
          <w:color w:val="000000" w:themeColor="text1"/>
          <w:sz w:val="22"/>
          <w:szCs w:val="22"/>
        </w:rPr>
        <w:t>March</w:t>
      </w:r>
      <w:r w:rsidR="007056F7" w:rsidRPr="00C420AB">
        <w:rPr>
          <w:b/>
          <w:bCs/>
          <w:color w:val="000000" w:themeColor="text1"/>
          <w:sz w:val="22"/>
          <w:szCs w:val="22"/>
        </w:rPr>
        <w:t xml:space="preserve"> 202</w:t>
      </w:r>
      <w:r w:rsidRPr="00C420AB">
        <w:rPr>
          <w:b/>
          <w:bCs/>
          <w:color w:val="000000" w:themeColor="text1"/>
          <w:sz w:val="22"/>
          <w:szCs w:val="22"/>
        </w:rPr>
        <w:t>6</w:t>
      </w:r>
    </w:p>
    <w:p w14:paraId="6952AC0B" w14:textId="77777777" w:rsidR="00837029" w:rsidRPr="00C420AB" w:rsidRDefault="00837029">
      <w:pPr>
        <w:rPr>
          <w:rFonts w:ascii="Times New Roman" w:eastAsia="Times New Roman" w:hAnsi="Times New Roman" w:cs="Times New Roman"/>
          <w:b/>
          <w:bCs/>
          <w:color w:val="000000" w:themeColor="text1"/>
          <w:kern w:val="0"/>
          <w:sz w:val="22"/>
          <w:szCs w:val="22"/>
          <w:lang w:val="en-CA"/>
          <w14:ligatures w14:val="none"/>
        </w:rPr>
      </w:pPr>
      <w:r w:rsidRPr="00C420AB">
        <w:rPr>
          <w:b/>
          <w:bCs/>
          <w:color w:val="000000" w:themeColor="text1"/>
          <w:sz w:val="22"/>
          <w:szCs w:val="22"/>
        </w:rPr>
        <w:br w:type="page"/>
      </w:r>
    </w:p>
    <w:p w14:paraId="57046BC4" w14:textId="77777777" w:rsidR="00644F0D" w:rsidRPr="00C420AB" w:rsidRDefault="00644F0D" w:rsidP="00A74055">
      <w:pPr>
        <w:pStyle w:val="Heading2"/>
        <w:rPr>
          <w:rFonts w:ascii="Times New Roman" w:hAnsi="Times New Roman" w:cs="Times New Roman"/>
          <w:b/>
          <w:bCs/>
          <w:sz w:val="24"/>
          <w:szCs w:val="24"/>
        </w:rPr>
      </w:pPr>
      <w:r w:rsidRPr="00C420AB">
        <w:rPr>
          <w:rFonts w:ascii="Times New Roman" w:hAnsi="Times New Roman" w:cs="Times New Roman"/>
          <w:b/>
          <w:bCs/>
          <w:sz w:val="24"/>
          <w:szCs w:val="24"/>
        </w:rPr>
        <w:lastRenderedPageBreak/>
        <w:t>1. Background</w:t>
      </w:r>
    </w:p>
    <w:p w14:paraId="2487410A" w14:textId="33E78761" w:rsidR="00A262B7" w:rsidRPr="00C420AB" w:rsidRDefault="00A262B7" w:rsidP="00A262B7">
      <w:pPr>
        <w:jc w:val="both"/>
        <w:rPr>
          <w:rFonts w:ascii="Times New Roman" w:hAnsi="Times New Roman" w:cs="Times New Roman"/>
          <w:sz w:val="22"/>
          <w:szCs w:val="22"/>
        </w:rPr>
      </w:pPr>
      <w:r w:rsidRPr="00C420AB">
        <w:rPr>
          <w:rFonts w:ascii="Times New Roman" w:hAnsi="Times New Roman" w:cs="Times New Roman"/>
          <w:sz w:val="22"/>
          <w:szCs w:val="22"/>
        </w:rPr>
        <w:t>Private sector development (PSD) has progressively evolved from a complementary operational area to a central pillar of the Caribbean Development Bank’s (CDB’s) development model. Fiscal constraints across Borrowing Member Countries (BMCs), rising climate vulnerability, limited public balance sheet space, and increasing demand for Adequate and Affordable Financing (AAAF) have reinforced the need to mobilize private capital as a driver of sustainable growth, resilience and international competitiveness.</w:t>
      </w:r>
    </w:p>
    <w:p w14:paraId="2FB7721C" w14:textId="4DA83E3E" w:rsidR="00644F0D" w:rsidRPr="00C420AB" w:rsidRDefault="000506D4" w:rsidP="00644F0D">
      <w:pPr>
        <w:jc w:val="both"/>
        <w:rPr>
          <w:rFonts w:ascii="Times New Roman" w:hAnsi="Times New Roman" w:cs="Times New Roman"/>
          <w:sz w:val="22"/>
          <w:szCs w:val="22"/>
        </w:rPr>
      </w:pPr>
      <w:r w:rsidRPr="00C420AB">
        <w:rPr>
          <w:rFonts w:ascii="Times New Roman" w:hAnsi="Times New Roman" w:cs="Times New Roman"/>
          <w:sz w:val="22"/>
          <w:szCs w:val="22"/>
        </w:rPr>
        <w:t xml:space="preserve">The Private Sector Development Policy and Strategy 2017–2020 established the foundation for the Bank’s modern PSD engagement. </w:t>
      </w:r>
      <w:r w:rsidR="00D9430B" w:rsidRPr="00C420AB">
        <w:rPr>
          <w:rFonts w:ascii="Times New Roman" w:hAnsi="Times New Roman" w:cs="Times New Roman"/>
          <w:sz w:val="22"/>
          <w:szCs w:val="22"/>
        </w:rPr>
        <w:t>The Private Sector Strategy (PSS) 2023–2028 represents a structural shift in ambition and operational design.</w:t>
      </w:r>
      <w:r w:rsidR="00497B77" w:rsidRPr="00C420AB">
        <w:rPr>
          <w:rFonts w:ascii="Times New Roman" w:hAnsi="Times New Roman" w:cs="Times New Roman"/>
          <w:sz w:val="22"/>
          <w:szCs w:val="22"/>
        </w:rPr>
        <w:t xml:space="preserve"> </w:t>
      </w:r>
      <w:r w:rsidR="00B808D4" w:rsidRPr="00C420AB">
        <w:rPr>
          <w:rFonts w:ascii="Times New Roman" w:hAnsi="Times New Roman" w:cs="Times New Roman"/>
          <w:sz w:val="22"/>
          <w:szCs w:val="22"/>
        </w:rPr>
        <w:t>With the</w:t>
      </w:r>
      <w:r w:rsidR="00644F0D" w:rsidRPr="00C420AB">
        <w:rPr>
          <w:rFonts w:ascii="Times New Roman" w:hAnsi="Times New Roman" w:cs="Times New Roman"/>
          <w:sz w:val="22"/>
          <w:szCs w:val="22"/>
        </w:rPr>
        <w:t xml:space="preserve"> </w:t>
      </w:r>
      <w:r w:rsidR="000E6680" w:rsidRPr="00C420AB">
        <w:rPr>
          <w:rFonts w:ascii="Times New Roman" w:hAnsi="Times New Roman" w:cs="Times New Roman"/>
          <w:sz w:val="22"/>
          <w:szCs w:val="22"/>
        </w:rPr>
        <w:t>transition toward a more ambitious and diversified private sector model</w:t>
      </w:r>
      <w:r w:rsidR="00B808D4" w:rsidRPr="00C420AB">
        <w:rPr>
          <w:rFonts w:ascii="Times New Roman" w:hAnsi="Times New Roman" w:cs="Times New Roman"/>
          <w:sz w:val="22"/>
          <w:szCs w:val="22"/>
        </w:rPr>
        <w:t xml:space="preserve">, </w:t>
      </w:r>
      <w:r w:rsidR="00CC22E8" w:rsidRPr="00C420AB">
        <w:rPr>
          <w:rFonts w:ascii="Times New Roman" w:hAnsi="Times New Roman" w:cs="Times New Roman"/>
          <w:sz w:val="22"/>
          <w:szCs w:val="22"/>
        </w:rPr>
        <w:t>CDB</w:t>
      </w:r>
      <w:r w:rsidR="00B808D4" w:rsidRPr="00C420AB">
        <w:rPr>
          <w:rFonts w:ascii="Times New Roman" w:hAnsi="Times New Roman" w:cs="Times New Roman"/>
          <w:sz w:val="22"/>
          <w:szCs w:val="22"/>
        </w:rPr>
        <w:t xml:space="preserve"> now</w:t>
      </w:r>
      <w:r w:rsidR="00644F0D" w:rsidRPr="00C420AB">
        <w:rPr>
          <w:rFonts w:ascii="Times New Roman" w:hAnsi="Times New Roman" w:cs="Times New Roman"/>
          <w:sz w:val="22"/>
          <w:szCs w:val="22"/>
        </w:rPr>
        <w:t xml:space="preserve"> seeks to commission an independent evaluation of its </w:t>
      </w:r>
      <w:r w:rsidR="00F67CB6" w:rsidRPr="00C420AB">
        <w:rPr>
          <w:rFonts w:ascii="Times New Roman" w:hAnsi="Times New Roman" w:cs="Times New Roman"/>
          <w:sz w:val="22"/>
          <w:szCs w:val="22"/>
        </w:rPr>
        <w:t xml:space="preserve">PSS </w:t>
      </w:r>
      <w:r w:rsidR="00717400" w:rsidRPr="00C420AB">
        <w:rPr>
          <w:rFonts w:ascii="Times New Roman" w:hAnsi="Times New Roman" w:cs="Times New Roman"/>
          <w:sz w:val="22"/>
          <w:szCs w:val="22"/>
        </w:rPr>
        <w:t>from</w:t>
      </w:r>
      <w:r w:rsidR="00644F0D" w:rsidRPr="00C420AB">
        <w:rPr>
          <w:rFonts w:ascii="Times New Roman" w:hAnsi="Times New Roman" w:cs="Times New Roman"/>
          <w:sz w:val="22"/>
          <w:szCs w:val="22"/>
        </w:rPr>
        <w:t xml:space="preserve"> 2017 to 2025. This evaluation will be led by the Office of Independent Evaluation (OIE),</w:t>
      </w:r>
      <w:r w:rsidR="009522F2" w:rsidRPr="00C420AB">
        <w:rPr>
          <w:rFonts w:ascii="Times New Roman" w:hAnsi="Times New Roman" w:cs="Times New Roman"/>
          <w:sz w:val="22"/>
          <w:szCs w:val="22"/>
        </w:rPr>
        <w:t xml:space="preserve"> in line with the </w:t>
      </w:r>
      <w:r w:rsidR="00F407B9" w:rsidRPr="00C420AB">
        <w:rPr>
          <w:rFonts w:ascii="Times New Roman" w:hAnsi="Times New Roman" w:cs="Times New Roman"/>
          <w:sz w:val="22"/>
          <w:szCs w:val="22"/>
        </w:rPr>
        <w:t>2025 CDB Evaluation Policy,</w:t>
      </w:r>
      <w:r w:rsidR="00644F0D" w:rsidRPr="00C420AB">
        <w:rPr>
          <w:rFonts w:ascii="Times New Roman" w:hAnsi="Times New Roman" w:cs="Times New Roman"/>
          <w:sz w:val="22"/>
          <w:szCs w:val="22"/>
        </w:rPr>
        <w:t xml:space="preserve"> with support </w:t>
      </w:r>
      <w:r w:rsidR="00F407B9" w:rsidRPr="00C420AB">
        <w:rPr>
          <w:rFonts w:ascii="Times New Roman" w:hAnsi="Times New Roman" w:cs="Times New Roman"/>
          <w:sz w:val="22"/>
          <w:szCs w:val="22"/>
        </w:rPr>
        <w:t>of an externally procured</w:t>
      </w:r>
      <w:r w:rsidR="000B787F" w:rsidRPr="00C420AB">
        <w:rPr>
          <w:rFonts w:ascii="Times New Roman" w:hAnsi="Times New Roman" w:cs="Times New Roman"/>
          <w:sz w:val="22"/>
          <w:szCs w:val="22"/>
        </w:rPr>
        <w:t xml:space="preserve"> and independent evaluation firm</w:t>
      </w:r>
      <w:r w:rsidR="00644F0D" w:rsidRPr="00C420AB">
        <w:rPr>
          <w:rFonts w:ascii="Times New Roman" w:hAnsi="Times New Roman" w:cs="Times New Roman"/>
          <w:sz w:val="22"/>
          <w:szCs w:val="22"/>
        </w:rPr>
        <w:t xml:space="preserve">. </w:t>
      </w:r>
    </w:p>
    <w:p w14:paraId="272A1CFE" w14:textId="77777777" w:rsidR="00644F0D" w:rsidRPr="00C420AB" w:rsidRDefault="00644F0D" w:rsidP="00837029">
      <w:pPr>
        <w:pStyle w:val="Heading2"/>
        <w:jc w:val="both"/>
        <w:rPr>
          <w:rFonts w:ascii="Times New Roman" w:hAnsi="Times New Roman" w:cs="Times New Roman"/>
          <w:b/>
          <w:bCs/>
          <w:sz w:val="24"/>
          <w:szCs w:val="24"/>
        </w:rPr>
      </w:pPr>
      <w:r w:rsidRPr="00C420AB">
        <w:rPr>
          <w:rFonts w:ascii="Times New Roman" w:hAnsi="Times New Roman" w:cs="Times New Roman"/>
          <w:b/>
          <w:bCs/>
          <w:sz w:val="24"/>
          <w:szCs w:val="24"/>
        </w:rPr>
        <w:t>2. Objectives of the Assignment</w:t>
      </w:r>
    </w:p>
    <w:p w14:paraId="15A6F1C6" w14:textId="77777777" w:rsidR="00644F0D" w:rsidRPr="00C420AB" w:rsidRDefault="00644F0D" w:rsidP="00837029">
      <w:pPr>
        <w:jc w:val="both"/>
        <w:rPr>
          <w:rFonts w:ascii="Times New Roman" w:hAnsi="Times New Roman" w:cs="Times New Roman"/>
          <w:sz w:val="22"/>
          <w:szCs w:val="22"/>
        </w:rPr>
      </w:pPr>
      <w:r w:rsidRPr="00C420AB">
        <w:rPr>
          <w:rFonts w:ascii="Times New Roman" w:hAnsi="Times New Roman" w:cs="Times New Roman"/>
          <w:sz w:val="22"/>
          <w:szCs w:val="22"/>
        </w:rPr>
        <w:t>The evaluation aims to:</w:t>
      </w:r>
    </w:p>
    <w:p w14:paraId="409606EE" w14:textId="0AE48C84" w:rsidR="00644F0D" w:rsidRPr="00C420AB" w:rsidRDefault="00644F0D" w:rsidP="00837029">
      <w:pPr>
        <w:numPr>
          <w:ilvl w:val="0"/>
          <w:numId w:val="23"/>
        </w:numPr>
        <w:jc w:val="both"/>
        <w:rPr>
          <w:rFonts w:ascii="Times New Roman" w:hAnsi="Times New Roman" w:cs="Times New Roman"/>
          <w:sz w:val="22"/>
          <w:szCs w:val="22"/>
        </w:rPr>
      </w:pPr>
      <w:r w:rsidRPr="00C420AB">
        <w:rPr>
          <w:rFonts w:ascii="Times New Roman" w:hAnsi="Times New Roman" w:cs="Times New Roman"/>
          <w:sz w:val="22"/>
          <w:szCs w:val="22"/>
        </w:rPr>
        <w:t xml:space="preserve">Assess the </w:t>
      </w:r>
      <w:r w:rsidRPr="00C420AB">
        <w:rPr>
          <w:rFonts w:ascii="Times New Roman" w:hAnsi="Times New Roman" w:cs="Times New Roman"/>
          <w:b/>
          <w:bCs/>
          <w:sz w:val="22"/>
          <w:szCs w:val="22"/>
        </w:rPr>
        <w:t>relevance</w:t>
      </w:r>
      <w:r w:rsidRPr="00C420AB">
        <w:rPr>
          <w:rFonts w:ascii="Times New Roman" w:hAnsi="Times New Roman" w:cs="Times New Roman"/>
          <w:sz w:val="22"/>
          <w:szCs w:val="22"/>
        </w:rPr>
        <w:t xml:space="preserve">, </w:t>
      </w:r>
      <w:r w:rsidRPr="00C420AB">
        <w:rPr>
          <w:rFonts w:ascii="Times New Roman" w:hAnsi="Times New Roman" w:cs="Times New Roman"/>
          <w:b/>
          <w:bCs/>
          <w:sz w:val="22"/>
          <w:szCs w:val="22"/>
        </w:rPr>
        <w:t>effectiveness</w:t>
      </w:r>
      <w:r w:rsidRPr="00C420AB">
        <w:rPr>
          <w:rFonts w:ascii="Times New Roman" w:hAnsi="Times New Roman" w:cs="Times New Roman"/>
          <w:sz w:val="22"/>
          <w:szCs w:val="22"/>
        </w:rPr>
        <w:t xml:space="preserve">, </w:t>
      </w:r>
      <w:r w:rsidR="00FC52C8" w:rsidRPr="00C420AB">
        <w:rPr>
          <w:rFonts w:ascii="Times New Roman" w:hAnsi="Times New Roman" w:cs="Times New Roman"/>
          <w:b/>
          <w:bCs/>
          <w:sz w:val="22"/>
          <w:szCs w:val="22"/>
        </w:rPr>
        <w:t xml:space="preserve">additionality, mobilization performance, risk-adjusted performance, institutional readiness, </w:t>
      </w:r>
      <w:r w:rsidR="00FC52C8" w:rsidRPr="00C420AB">
        <w:rPr>
          <w:rFonts w:ascii="Times New Roman" w:hAnsi="Times New Roman" w:cs="Times New Roman"/>
          <w:sz w:val="22"/>
          <w:szCs w:val="22"/>
        </w:rPr>
        <w:t>and</w:t>
      </w:r>
      <w:r w:rsidR="00FC52C8" w:rsidRPr="00C420AB">
        <w:rPr>
          <w:rFonts w:ascii="Times New Roman" w:hAnsi="Times New Roman" w:cs="Times New Roman"/>
          <w:b/>
          <w:bCs/>
          <w:sz w:val="22"/>
          <w:szCs w:val="22"/>
        </w:rPr>
        <w:t xml:space="preserve"> sustainability </w:t>
      </w:r>
      <w:r w:rsidR="00FC52C8" w:rsidRPr="00C420AB">
        <w:rPr>
          <w:rFonts w:ascii="Times New Roman" w:hAnsi="Times New Roman" w:cs="Times New Roman"/>
          <w:sz w:val="22"/>
          <w:szCs w:val="22"/>
        </w:rPr>
        <w:t>of CDB’s PSS</w:t>
      </w:r>
      <w:r w:rsidR="004E0128" w:rsidRPr="00C420AB">
        <w:rPr>
          <w:rFonts w:ascii="Times New Roman" w:hAnsi="Times New Roman" w:cs="Times New Roman"/>
          <w:sz w:val="22"/>
          <w:szCs w:val="22"/>
        </w:rPr>
        <w:t xml:space="preserve"> and related operations.</w:t>
      </w:r>
    </w:p>
    <w:p w14:paraId="220A5FD4" w14:textId="582306AD" w:rsidR="00644F0D" w:rsidRPr="00C420AB" w:rsidRDefault="00644F0D" w:rsidP="00837029">
      <w:pPr>
        <w:numPr>
          <w:ilvl w:val="0"/>
          <w:numId w:val="23"/>
        </w:numPr>
        <w:jc w:val="both"/>
        <w:rPr>
          <w:rFonts w:ascii="Times New Roman" w:hAnsi="Times New Roman" w:cs="Times New Roman"/>
          <w:sz w:val="22"/>
          <w:szCs w:val="22"/>
        </w:rPr>
      </w:pPr>
      <w:r w:rsidRPr="00C420AB">
        <w:rPr>
          <w:rFonts w:ascii="Times New Roman" w:hAnsi="Times New Roman" w:cs="Times New Roman"/>
          <w:sz w:val="22"/>
          <w:szCs w:val="22"/>
        </w:rPr>
        <w:t>Identify enablers</w:t>
      </w:r>
      <w:r w:rsidR="00927431" w:rsidRPr="00C420AB">
        <w:rPr>
          <w:rFonts w:ascii="Times New Roman" w:hAnsi="Times New Roman" w:cs="Times New Roman"/>
          <w:sz w:val="22"/>
          <w:szCs w:val="22"/>
        </w:rPr>
        <w:t xml:space="preserve"> and </w:t>
      </w:r>
      <w:r w:rsidR="00960784" w:rsidRPr="00C420AB">
        <w:rPr>
          <w:rFonts w:ascii="Times New Roman" w:hAnsi="Times New Roman" w:cs="Times New Roman"/>
          <w:sz w:val="22"/>
          <w:szCs w:val="22"/>
        </w:rPr>
        <w:t>bottlenecks</w:t>
      </w:r>
      <w:r w:rsidRPr="00C420AB">
        <w:rPr>
          <w:rFonts w:ascii="Times New Roman" w:hAnsi="Times New Roman" w:cs="Times New Roman"/>
          <w:sz w:val="22"/>
          <w:szCs w:val="22"/>
        </w:rPr>
        <w:t>.</w:t>
      </w:r>
    </w:p>
    <w:p w14:paraId="030B016A" w14:textId="4242950A" w:rsidR="00644F0D" w:rsidRPr="00C420AB" w:rsidRDefault="00644F0D" w:rsidP="00837029">
      <w:pPr>
        <w:numPr>
          <w:ilvl w:val="0"/>
          <w:numId w:val="23"/>
        </w:numPr>
        <w:jc w:val="both"/>
        <w:rPr>
          <w:rFonts w:ascii="Times New Roman" w:hAnsi="Times New Roman" w:cs="Times New Roman"/>
          <w:sz w:val="22"/>
          <w:szCs w:val="22"/>
        </w:rPr>
      </w:pPr>
      <w:r w:rsidRPr="00C420AB">
        <w:rPr>
          <w:rFonts w:ascii="Times New Roman" w:hAnsi="Times New Roman" w:cs="Times New Roman"/>
          <w:sz w:val="22"/>
          <w:szCs w:val="22"/>
        </w:rPr>
        <w:t xml:space="preserve">Provide </w:t>
      </w:r>
      <w:r w:rsidR="0002548E" w:rsidRPr="00C420AB">
        <w:rPr>
          <w:rFonts w:ascii="Times New Roman" w:hAnsi="Times New Roman" w:cs="Times New Roman"/>
          <w:sz w:val="22"/>
          <w:szCs w:val="22"/>
        </w:rPr>
        <w:t xml:space="preserve">concrete, </w:t>
      </w:r>
      <w:r w:rsidRPr="00C420AB">
        <w:rPr>
          <w:rFonts w:ascii="Times New Roman" w:hAnsi="Times New Roman" w:cs="Times New Roman"/>
          <w:b/>
          <w:bCs/>
          <w:sz w:val="22"/>
          <w:szCs w:val="22"/>
        </w:rPr>
        <w:t>actionable recommendations</w:t>
      </w:r>
      <w:r w:rsidRPr="00C420AB">
        <w:rPr>
          <w:rFonts w:ascii="Times New Roman" w:hAnsi="Times New Roman" w:cs="Times New Roman"/>
          <w:sz w:val="22"/>
          <w:szCs w:val="22"/>
        </w:rPr>
        <w:t xml:space="preserve"> </w:t>
      </w:r>
      <w:r w:rsidR="005B2E63" w:rsidRPr="00C420AB">
        <w:rPr>
          <w:rFonts w:ascii="Times New Roman" w:hAnsi="Times New Roman" w:cs="Times New Roman"/>
          <w:sz w:val="22"/>
          <w:szCs w:val="22"/>
        </w:rPr>
        <w:t xml:space="preserve">to support </w:t>
      </w:r>
      <w:r w:rsidR="005A34AF" w:rsidRPr="00C420AB">
        <w:rPr>
          <w:rFonts w:ascii="Times New Roman" w:hAnsi="Times New Roman" w:cs="Times New Roman"/>
          <w:sz w:val="22"/>
          <w:szCs w:val="22"/>
        </w:rPr>
        <w:t>forward</w:t>
      </w:r>
      <w:r w:rsidR="009522F2" w:rsidRPr="00C420AB">
        <w:rPr>
          <w:rFonts w:ascii="Times New Roman" w:hAnsi="Times New Roman" w:cs="Times New Roman"/>
          <w:sz w:val="22"/>
          <w:szCs w:val="22"/>
        </w:rPr>
        <w:t>-looking scalability</w:t>
      </w:r>
      <w:r w:rsidR="00927431" w:rsidRPr="00C420AB">
        <w:rPr>
          <w:rFonts w:ascii="Times New Roman" w:hAnsi="Times New Roman" w:cs="Times New Roman"/>
          <w:sz w:val="22"/>
          <w:szCs w:val="22"/>
        </w:rPr>
        <w:t xml:space="preserve">, </w:t>
      </w:r>
      <w:r w:rsidR="0E512259" w:rsidRPr="00C420AB">
        <w:rPr>
          <w:rFonts w:ascii="Times New Roman" w:hAnsi="Times New Roman" w:cs="Times New Roman"/>
          <w:sz w:val="22"/>
          <w:szCs w:val="22"/>
        </w:rPr>
        <w:t>refinement,</w:t>
      </w:r>
      <w:r w:rsidR="00927431" w:rsidRPr="00C420AB">
        <w:rPr>
          <w:rFonts w:ascii="Times New Roman" w:hAnsi="Times New Roman" w:cs="Times New Roman"/>
          <w:sz w:val="22"/>
          <w:szCs w:val="22"/>
        </w:rPr>
        <w:t xml:space="preserve"> and </w:t>
      </w:r>
      <w:proofErr w:type="spellStart"/>
      <w:r w:rsidR="00927431" w:rsidRPr="00C420AB">
        <w:rPr>
          <w:rFonts w:ascii="Times New Roman" w:hAnsi="Times New Roman" w:cs="Times New Roman"/>
          <w:sz w:val="22"/>
          <w:szCs w:val="22"/>
        </w:rPr>
        <w:t>operationalisation</w:t>
      </w:r>
      <w:proofErr w:type="spellEnd"/>
      <w:r w:rsidR="00927431" w:rsidRPr="00C420AB">
        <w:rPr>
          <w:rFonts w:ascii="Times New Roman" w:hAnsi="Times New Roman" w:cs="Times New Roman"/>
          <w:sz w:val="22"/>
          <w:szCs w:val="22"/>
        </w:rPr>
        <w:t xml:space="preserve"> of the PSS</w:t>
      </w:r>
      <w:r w:rsidRPr="00C420AB">
        <w:rPr>
          <w:rFonts w:ascii="Times New Roman" w:hAnsi="Times New Roman" w:cs="Times New Roman"/>
          <w:sz w:val="22"/>
          <w:szCs w:val="22"/>
        </w:rPr>
        <w:t>.</w:t>
      </w:r>
    </w:p>
    <w:p w14:paraId="5841F83A" w14:textId="77777777" w:rsidR="00644F0D" w:rsidRPr="00C420AB" w:rsidRDefault="00644F0D" w:rsidP="00837029">
      <w:pPr>
        <w:pStyle w:val="Heading2"/>
        <w:jc w:val="both"/>
        <w:rPr>
          <w:rFonts w:ascii="Times New Roman" w:hAnsi="Times New Roman" w:cs="Times New Roman"/>
          <w:b/>
          <w:bCs/>
          <w:sz w:val="24"/>
          <w:szCs w:val="24"/>
        </w:rPr>
      </w:pPr>
      <w:r w:rsidRPr="00C420AB">
        <w:rPr>
          <w:rFonts w:ascii="Times New Roman" w:hAnsi="Times New Roman" w:cs="Times New Roman"/>
          <w:b/>
          <w:bCs/>
          <w:sz w:val="24"/>
          <w:szCs w:val="24"/>
        </w:rPr>
        <w:t>3. Scope of Work</w:t>
      </w:r>
    </w:p>
    <w:p w14:paraId="68CA4516" w14:textId="77777777" w:rsidR="00743D53" w:rsidRPr="00C420AB" w:rsidRDefault="00865593"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While the evaluation covers the period </w:t>
      </w:r>
      <w:r w:rsidRPr="00C420AB">
        <w:rPr>
          <w:rFonts w:ascii="Times New Roman" w:hAnsi="Times New Roman" w:cs="Times New Roman"/>
          <w:b/>
          <w:bCs/>
          <w:sz w:val="22"/>
          <w:szCs w:val="22"/>
        </w:rPr>
        <w:t>2017–2025</w:t>
      </w:r>
      <w:r w:rsidRPr="00C420AB">
        <w:rPr>
          <w:rFonts w:ascii="Times New Roman" w:hAnsi="Times New Roman" w:cs="Times New Roman"/>
          <w:sz w:val="22"/>
          <w:szCs w:val="22"/>
        </w:rPr>
        <w:t xml:space="preserve">, it is explicitly anchored in the Bank’s ongoing strategic transition toward an expanded non-sovereign private sector model under the </w:t>
      </w:r>
      <w:r w:rsidRPr="00C420AB">
        <w:rPr>
          <w:rFonts w:ascii="Times New Roman" w:hAnsi="Times New Roman" w:cs="Times New Roman"/>
          <w:b/>
          <w:bCs/>
          <w:sz w:val="22"/>
          <w:szCs w:val="22"/>
        </w:rPr>
        <w:t>PSS 2023–2028</w:t>
      </w:r>
      <w:r w:rsidRPr="00C420AB">
        <w:rPr>
          <w:rFonts w:ascii="Times New Roman" w:hAnsi="Times New Roman" w:cs="Times New Roman"/>
          <w:sz w:val="22"/>
          <w:szCs w:val="22"/>
        </w:rPr>
        <w:t xml:space="preserve"> and the </w:t>
      </w:r>
      <w:r w:rsidRPr="00C420AB">
        <w:rPr>
          <w:rFonts w:ascii="Times New Roman" w:hAnsi="Times New Roman" w:cs="Times New Roman"/>
          <w:b/>
          <w:bCs/>
          <w:sz w:val="22"/>
          <w:szCs w:val="22"/>
        </w:rPr>
        <w:t xml:space="preserve">Strategic Plan 2026–2035. </w:t>
      </w:r>
      <w:proofErr w:type="gramStart"/>
      <w:r w:rsidR="005237C1" w:rsidRPr="00C420AB">
        <w:rPr>
          <w:rFonts w:ascii="Times New Roman" w:hAnsi="Times New Roman" w:cs="Times New Roman"/>
          <w:sz w:val="22"/>
          <w:szCs w:val="22"/>
        </w:rPr>
        <w:t>In light of</w:t>
      </w:r>
      <w:proofErr w:type="gramEnd"/>
      <w:r w:rsidR="005237C1" w:rsidRPr="00C420AB">
        <w:rPr>
          <w:rFonts w:ascii="Times New Roman" w:hAnsi="Times New Roman" w:cs="Times New Roman"/>
          <w:sz w:val="22"/>
          <w:szCs w:val="22"/>
        </w:rPr>
        <w:t xml:space="preserve"> this evolution, the evaluation will prioritize </w:t>
      </w:r>
      <w:r w:rsidR="005237C1" w:rsidRPr="00C420AB">
        <w:rPr>
          <w:rFonts w:ascii="Times New Roman" w:hAnsi="Times New Roman" w:cs="Times New Roman"/>
          <w:b/>
          <w:bCs/>
          <w:sz w:val="22"/>
          <w:szCs w:val="22"/>
        </w:rPr>
        <w:t>institutional readiness, early implementation performance, and forward-looking scalability</w:t>
      </w:r>
      <w:r w:rsidR="005237C1" w:rsidRPr="00C420AB">
        <w:rPr>
          <w:rFonts w:ascii="Times New Roman" w:hAnsi="Times New Roman" w:cs="Times New Roman"/>
          <w:sz w:val="22"/>
          <w:szCs w:val="22"/>
        </w:rPr>
        <w:t xml:space="preserve">. </w:t>
      </w:r>
    </w:p>
    <w:p w14:paraId="7AD1E6F6" w14:textId="32C943F2" w:rsidR="00743D53" w:rsidRPr="00C420AB" w:rsidRDefault="00743D53" w:rsidP="00837029">
      <w:pPr>
        <w:jc w:val="both"/>
        <w:rPr>
          <w:rFonts w:ascii="Times New Roman" w:hAnsi="Times New Roman" w:cs="Times New Roman"/>
          <w:sz w:val="22"/>
          <w:szCs w:val="22"/>
        </w:rPr>
      </w:pPr>
      <w:r w:rsidRPr="00C420AB">
        <w:rPr>
          <w:rFonts w:ascii="Times New Roman" w:hAnsi="Times New Roman" w:cs="Times New Roman"/>
          <w:sz w:val="22"/>
          <w:szCs w:val="22"/>
        </w:rPr>
        <w:t>The portfolio under review will comprise all private sector-related operations approved between January 1, 2017, and 31 December 2025. The cutoff date for considering results and implementation evidence will be </w:t>
      </w:r>
      <w:r w:rsidRPr="00C420AB">
        <w:rPr>
          <w:rFonts w:ascii="Times New Roman" w:hAnsi="Times New Roman" w:cs="Times New Roman"/>
          <w:b/>
          <w:bCs/>
          <w:sz w:val="22"/>
          <w:szCs w:val="22"/>
        </w:rPr>
        <w:t>June 30, 2026</w:t>
      </w:r>
      <w:r w:rsidRPr="00C420AB">
        <w:rPr>
          <w:rFonts w:ascii="Times New Roman" w:hAnsi="Times New Roman" w:cs="Times New Roman"/>
          <w:sz w:val="22"/>
          <w:szCs w:val="22"/>
        </w:rPr>
        <w:t>.: </w:t>
      </w:r>
    </w:p>
    <w:p w14:paraId="61966B7F" w14:textId="77777777" w:rsidR="00743D53" w:rsidRPr="00C420AB" w:rsidRDefault="00743D53" w:rsidP="00837029">
      <w:pPr>
        <w:jc w:val="both"/>
        <w:rPr>
          <w:rFonts w:ascii="Times New Roman" w:hAnsi="Times New Roman" w:cs="Times New Roman"/>
          <w:sz w:val="22"/>
          <w:szCs w:val="22"/>
        </w:rPr>
      </w:pPr>
      <w:r w:rsidRPr="00C420AB">
        <w:rPr>
          <w:rFonts w:ascii="Times New Roman" w:hAnsi="Times New Roman" w:cs="Times New Roman"/>
          <w:sz w:val="22"/>
          <w:szCs w:val="22"/>
        </w:rPr>
        <w:t>Consistent with phased analytical approach, the scope includes: </w:t>
      </w:r>
    </w:p>
    <w:p w14:paraId="62A6C8EB" w14:textId="77777777" w:rsidR="00743D53" w:rsidRPr="00C420AB" w:rsidRDefault="00743D53" w:rsidP="00837029">
      <w:pPr>
        <w:numPr>
          <w:ilvl w:val="0"/>
          <w:numId w:val="30"/>
        </w:numPr>
        <w:jc w:val="both"/>
        <w:rPr>
          <w:rFonts w:ascii="Times New Roman" w:hAnsi="Times New Roman" w:cs="Times New Roman"/>
          <w:sz w:val="22"/>
          <w:szCs w:val="22"/>
        </w:rPr>
      </w:pPr>
      <w:r w:rsidRPr="00C420AB">
        <w:rPr>
          <w:rFonts w:ascii="Times New Roman" w:hAnsi="Times New Roman" w:cs="Times New Roman"/>
          <w:sz w:val="22"/>
          <w:szCs w:val="22"/>
        </w:rPr>
        <w:t xml:space="preserve">Non-sovereign operations where CDB assumes non-sovereign exposure </w:t>
      </w:r>
      <w:proofErr w:type="gramStart"/>
      <w:r w:rsidRPr="00C420AB">
        <w:rPr>
          <w:rFonts w:ascii="Times New Roman" w:hAnsi="Times New Roman" w:cs="Times New Roman"/>
          <w:sz w:val="22"/>
          <w:szCs w:val="22"/>
        </w:rPr>
        <w:t>risk;</w:t>
      </w:r>
      <w:proofErr w:type="gramEnd"/>
      <w:r w:rsidRPr="00C420AB">
        <w:rPr>
          <w:rFonts w:ascii="Times New Roman" w:hAnsi="Times New Roman" w:cs="Times New Roman"/>
          <w:sz w:val="22"/>
          <w:szCs w:val="22"/>
        </w:rPr>
        <w:t> </w:t>
      </w:r>
    </w:p>
    <w:p w14:paraId="3376BAC9" w14:textId="77777777" w:rsidR="00743D53" w:rsidRPr="00C420AB" w:rsidRDefault="00743D53" w:rsidP="00837029">
      <w:pPr>
        <w:numPr>
          <w:ilvl w:val="0"/>
          <w:numId w:val="28"/>
        </w:numPr>
        <w:jc w:val="both"/>
        <w:rPr>
          <w:rFonts w:ascii="Times New Roman" w:hAnsi="Times New Roman" w:cs="Times New Roman"/>
          <w:sz w:val="22"/>
          <w:szCs w:val="22"/>
        </w:rPr>
      </w:pPr>
      <w:r w:rsidRPr="00C420AB">
        <w:rPr>
          <w:rFonts w:ascii="Times New Roman" w:hAnsi="Times New Roman" w:cs="Times New Roman"/>
          <w:sz w:val="22"/>
          <w:szCs w:val="22"/>
        </w:rPr>
        <w:t xml:space="preserve">Sovereign-guaranteed operations supporting private sector </w:t>
      </w:r>
      <w:proofErr w:type="gramStart"/>
      <w:r w:rsidRPr="00C420AB">
        <w:rPr>
          <w:rFonts w:ascii="Times New Roman" w:hAnsi="Times New Roman" w:cs="Times New Roman"/>
          <w:sz w:val="22"/>
          <w:szCs w:val="22"/>
        </w:rPr>
        <w:t>development;</w:t>
      </w:r>
      <w:proofErr w:type="gramEnd"/>
      <w:r w:rsidRPr="00C420AB">
        <w:rPr>
          <w:rFonts w:ascii="Times New Roman" w:hAnsi="Times New Roman" w:cs="Times New Roman"/>
          <w:sz w:val="22"/>
          <w:szCs w:val="22"/>
        </w:rPr>
        <w:t> </w:t>
      </w:r>
    </w:p>
    <w:p w14:paraId="6CE87B92" w14:textId="77777777" w:rsidR="00743D53" w:rsidRPr="00C420AB" w:rsidRDefault="00743D53" w:rsidP="00837029">
      <w:pPr>
        <w:numPr>
          <w:ilvl w:val="0"/>
          <w:numId w:val="25"/>
        </w:numPr>
        <w:jc w:val="both"/>
        <w:rPr>
          <w:rFonts w:ascii="Times New Roman" w:hAnsi="Times New Roman" w:cs="Times New Roman"/>
          <w:sz w:val="22"/>
          <w:szCs w:val="22"/>
        </w:rPr>
      </w:pPr>
      <w:r w:rsidRPr="00C420AB">
        <w:rPr>
          <w:rFonts w:ascii="Times New Roman" w:hAnsi="Times New Roman" w:cs="Times New Roman"/>
          <w:sz w:val="22"/>
          <w:szCs w:val="22"/>
        </w:rPr>
        <w:t xml:space="preserve">Special Funds and blended finance operations, including guarantees and risk-sharing </w:t>
      </w:r>
      <w:proofErr w:type="gramStart"/>
      <w:r w:rsidRPr="00C420AB">
        <w:rPr>
          <w:rFonts w:ascii="Times New Roman" w:hAnsi="Times New Roman" w:cs="Times New Roman"/>
          <w:sz w:val="22"/>
          <w:szCs w:val="22"/>
        </w:rPr>
        <w:t>mechanisms;</w:t>
      </w:r>
      <w:proofErr w:type="gramEnd"/>
      <w:r w:rsidRPr="00C420AB">
        <w:rPr>
          <w:rFonts w:ascii="Times New Roman" w:hAnsi="Times New Roman" w:cs="Times New Roman"/>
          <w:sz w:val="22"/>
          <w:szCs w:val="22"/>
        </w:rPr>
        <w:t> </w:t>
      </w:r>
    </w:p>
    <w:p w14:paraId="62D27671" w14:textId="27ED856B" w:rsidR="00363844" w:rsidRPr="00C420AB" w:rsidRDefault="00743D53" w:rsidP="00837029">
      <w:pPr>
        <w:numPr>
          <w:ilvl w:val="0"/>
          <w:numId w:val="11"/>
        </w:numPr>
        <w:jc w:val="both"/>
        <w:rPr>
          <w:rFonts w:ascii="Times New Roman" w:hAnsi="Times New Roman" w:cs="Times New Roman"/>
          <w:sz w:val="22"/>
          <w:szCs w:val="22"/>
        </w:rPr>
      </w:pPr>
      <w:r w:rsidRPr="00C420AB">
        <w:rPr>
          <w:rFonts w:ascii="Times New Roman" w:hAnsi="Times New Roman" w:cs="Times New Roman"/>
          <w:sz w:val="22"/>
          <w:szCs w:val="22"/>
        </w:rPr>
        <w:t>Associated technical assistance linked to private sector development objectives. </w:t>
      </w:r>
    </w:p>
    <w:p w14:paraId="0CF59E11" w14:textId="333DBEEE" w:rsidR="00743D53" w:rsidRPr="00C420AB" w:rsidRDefault="00743D53" w:rsidP="00837029">
      <w:pPr>
        <w:jc w:val="both"/>
        <w:rPr>
          <w:rFonts w:ascii="Times New Roman" w:hAnsi="Times New Roman" w:cs="Times New Roman"/>
          <w:sz w:val="22"/>
          <w:szCs w:val="22"/>
        </w:rPr>
      </w:pPr>
      <w:r w:rsidRPr="00C420AB">
        <w:rPr>
          <w:rFonts w:ascii="Times New Roman" w:hAnsi="Times New Roman" w:cs="Times New Roman"/>
          <w:sz w:val="22"/>
          <w:szCs w:val="22"/>
        </w:rPr>
        <w:t>To ensure technical </w:t>
      </w:r>
      <w:proofErr w:type="spellStart"/>
      <w:r w:rsidRPr="00C420AB">
        <w:rPr>
          <w:rFonts w:ascii="Times New Roman" w:hAnsi="Times New Roman" w:cs="Times New Roman"/>
          <w:sz w:val="22"/>
          <w:szCs w:val="22"/>
        </w:rPr>
        <w:t>rigour</w:t>
      </w:r>
      <w:proofErr w:type="spellEnd"/>
      <w:r w:rsidRPr="00C420AB">
        <w:rPr>
          <w:rFonts w:ascii="Times New Roman" w:hAnsi="Times New Roman" w:cs="Times New Roman"/>
          <w:sz w:val="22"/>
          <w:szCs w:val="22"/>
        </w:rPr>
        <w:t>, the portfolio analysis will be segmented by: </w:t>
      </w:r>
    </w:p>
    <w:p w14:paraId="45BDA846" w14:textId="77777777" w:rsidR="00743D53" w:rsidRPr="00C420AB" w:rsidRDefault="00743D53" w:rsidP="00837029">
      <w:pPr>
        <w:numPr>
          <w:ilvl w:val="0"/>
          <w:numId w:val="8"/>
        </w:numPr>
        <w:jc w:val="both"/>
        <w:rPr>
          <w:rFonts w:ascii="Times New Roman" w:hAnsi="Times New Roman" w:cs="Times New Roman"/>
          <w:sz w:val="22"/>
          <w:szCs w:val="22"/>
        </w:rPr>
      </w:pPr>
      <w:r w:rsidRPr="00C420AB">
        <w:rPr>
          <w:rFonts w:ascii="Times New Roman" w:hAnsi="Times New Roman" w:cs="Times New Roman"/>
          <w:sz w:val="22"/>
          <w:szCs w:val="22"/>
        </w:rPr>
        <w:t xml:space="preserve">Risk rating and instrument </w:t>
      </w:r>
      <w:proofErr w:type="gramStart"/>
      <w:r w:rsidRPr="00C420AB">
        <w:rPr>
          <w:rFonts w:ascii="Times New Roman" w:hAnsi="Times New Roman" w:cs="Times New Roman"/>
          <w:sz w:val="22"/>
          <w:szCs w:val="22"/>
        </w:rPr>
        <w:t>class;</w:t>
      </w:r>
      <w:proofErr w:type="gramEnd"/>
      <w:r w:rsidRPr="00C420AB">
        <w:rPr>
          <w:rFonts w:ascii="Times New Roman" w:hAnsi="Times New Roman" w:cs="Times New Roman"/>
          <w:sz w:val="22"/>
          <w:szCs w:val="22"/>
        </w:rPr>
        <w:t>  </w:t>
      </w:r>
    </w:p>
    <w:p w14:paraId="17ED64D1" w14:textId="77777777" w:rsidR="00743D53" w:rsidRPr="00C420AB" w:rsidRDefault="00743D53" w:rsidP="00837029">
      <w:pPr>
        <w:numPr>
          <w:ilvl w:val="0"/>
          <w:numId w:val="3"/>
        </w:numPr>
        <w:jc w:val="both"/>
        <w:rPr>
          <w:rFonts w:ascii="Times New Roman" w:hAnsi="Times New Roman" w:cs="Times New Roman"/>
          <w:sz w:val="22"/>
          <w:szCs w:val="22"/>
        </w:rPr>
      </w:pPr>
      <w:proofErr w:type="spellStart"/>
      <w:r w:rsidRPr="00C420AB">
        <w:rPr>
          <w:rFonts w:ascii="Times New Roman" w:hAnsi="Times New Roman" w:cs="Times New Roman"/>
          <w:sz w:val="22"/>
          <w:szCs w:val="22"/>
        </w:rPr>
        <w:t>Concessionality</w:t>
      </w:r>
      <w:proofErr w:type="spellEnd"/>
      <w:r w:rsidRPr="00C420AB">
        <w:rPr>
          <w:rFonts w:ascii="Times New Roman" w:hAnsi="Times New Roman" w:cs="Times New Roman"/>
          <w:sz w:val="22"/>
          <w:szCs w:val="22"/>
        </w:rPr>
        <w:t xml:space="preserve"> and market </w:t>
      </w:r>
      <w:proofErr w:type="gramStart"/>
      <w:r w:rsidRPr="00C420AB">
        <w:rPr>
          <w:rFonts w:ascii="Times New Roman" w:hAnsi="Times New Roman" w:cs="Times New Roman"/>
          <w:sz w:val="22"/>
          <w:szCs w:val="22"/>
        </w:rPr>
        <w:t>impact;</w:t>
      </w:r>
      <w:proofErr w:type="gramEnd"/>
      <w:r w:rsidRPr="00C420AB">
        <w:rPr>
          <w:rFonts w:ascii="Times New Roman" w:hAnsi="Times New Roman" w:cs="Times New Roman"/>
          <w:sz w:val="22"/>
          <w:szCs w:val="22"/>
        </w:rPr>
        <w:t>  </w:t>
      </w:r>
    </w:p>
    <w:p w14:paraId="0941622C" w14:textId="77777777" w:rsidR="00743D53" w:rsidRPr="00C420AB" w:rsidRDefault="00743D53" w:rsidP="00837029">
      <w:pPr>
        <w:numPr>
          <w:ilvl w:val="0"/>
          <w:numId w:val="17"/>
        </w:numPr>
        <w:jc w:val="both"/>
        <w:rPr>
          <w:rFonts w:ascii="Times New Roman" w:hAnsi="Times New Roman" w:cs="Times New Roman"/>
          <w:sz w:val="22"/>
          <w:szCs w:val="22"/>
        </w:rPr>
      </w:pPr>
      <w:r w:rsidRPr="00C420AB">
        <w:rPr>
          <w:rFonts w:ascii="Times New Roman" w:hAnsi="Times New Roman" w:cs="Times New Roman"/>
          <w:sz w:val="22"/>
          <w:szCs w:val="22"/>
        </w:rPr>
        <w:lastRenderedPageBreak/>
        <w:t>Forward-looking stress scenarios, including stress testing and downside case analysis.  </w:t>
      </w:r>
    </w:p>
    <w:p w14:paraId="2C5FE6F6" w14:textId="77777777" w:rsidR="00743D53" w:rsidRPr="00C420AB" w:rsidRDefault="00743D53" w:rsidP="00837029">
      <w:pPr>
        <w:jc w:val="both"/>
        <w:rPr>
          <w:rFonts w:ascii="Times New Roman" w:hAnsi="Times New Roman" w:cs="Times New Roman"/>
          <w:sz w:val="22"/>
          <w:szCs w:val="22"/>
        </w:rPr>
      </w:pPr>
      <w:r w:rsidRPr="00C420AB">
        <w:rPr>
          <w:rFonts w:ascii="Times New Roman" w:hAnsi="Times New Roman" w:cs="Times New Roman"/>
          <w:sz w:val="22"/>
          <w:szCs w:val="22"/>
        </w:rPr>
        <w:t>The unit of analysis will primarily be the portfolio and instrument category, complemented by selected case studies. </w:t>
      </w:r>
      <w:r w:rsidRPr="00C420AB">
        <w:rPr>
          <w:rFonts w:ascii="Times New Roman" w:hAnsi="Times New Roman" w:cs="Times New Roman"/>
          <w:sz w:val="22"/>
          <w:szCs w:val="22"/>
        </w:rPr>
        <w:br/>
        <w:t> </w:t>
      </w:r>
    </w:p>
    <w:p w14:paraId="58407F92" w14:textId="762C2EF3" w:rsidR="00E8230D" w:rsidRPr="00C420AB" w:rsidRDefault="00E8230D" w:rsidP="00837029">
      <w:pPr>
        <w:pStyle w:val="Heading3"/>
        <w:jc w:val="both"/>
        <w:rPr>
          <w:rFonts w:ascii="Times New Roman" w:hAnsi="Times New Roman" w:cs="Times New Roman"/>
          <w:b/>
          <w:bCs/>
          <w:sz w:val="24"/>
          <w:szCs w:val="24"/>
        </w:rPr>
      </w:pPr>
      <w:r w:rsidRPr="00C420AB">
        <w:rPr>
          <w:rFonts w:ascii="Times New Roman" w:hAnsi="Times New Roman" w:cs="Times New Roman"/>
          <w:b/>
          <w:bCs/>
          <w:sz w:val="24"/>
          <w:szCs w:val="24"/>
        </w:rPr>
        <w:t>4. Methodology</w:t>
      </w:r>
    </w:p>
    <w:p w14:paraId="24D693E2" w14:textId="5D6E4EA1" w:rsidR="00E32382" w:rsidRPr="00C420AB" w:rsidRDefault="00E32382"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The evaluation adopts a </w:t>
      </w:r>
      <w:r w:rsidRPr="00C420AB">
        <w:rPr>
          <w:rFonts w:ascii="Times New Roman" w:hAnsi="Times New Roman" w:cs="Times New Roman"/>
          <w:b/>
          <w:bCs/>
          <w:sz w:val="22"/>
          <w:szCs w:val="22"/>
        </w:rPr>
        <w:t>theory-based, portfolio-level approach</w:t>
      </w:r>
      <w:r w:rsidRPr="00C420AB">
        <w:rPr>
          <w:rFonts w:ascii="Times New Roman" w:hAnsi="Times New Roman" w:cs="Times New Roman"/>
          <w:sz w:val="22"/>
          <w:szCs w:val="22"/>
        </w:rPr>
        <w:t>, consistent with good practice across multilateral development banks (MDBs), focusing on strategy and system-level performance</w:t>
      </w:r>
      <w:r w:rsidR="00B97BB2" w:rsidRPr="00C420AB">
        <w:rPr>
          <w:rFonts w:ascii="Times New Roman" w:hAnsi="Times New Roman" w:cs="Times New Roman"/>
          <w:sz w:val="22"/>
          <w:szCs w:val="22"/>
        </w:rPr>
        <w:t xml:space="preserve">, </w:t>
      </w:r>
      <w:r w:rsidRPr="00C420AB">
        <w:rPr>
          <w:rFonts w:ascii="Times New Roman" w:hAnsi="Times New Roman" w:cs="Times New Roman"/>
          <w:sz w:val="22"/>
          <w:szCs w:val="22"/>
        </w:rPr>
        <w:t xml:space="preserve">including </w:t>
      </w:r>
      <w:r w:rsidRPr="00C420AB">
        <w:rPr>
          <w:rFonts w:ascii="Times New Roman" w:hAnsi="Times New Roman" w:cs="Times New Roman"/>
          <w:b/>
          <w:bCs/>
          <w:sz w:val="22"/>
          <w:szCs w:val="22"/>
        </w:rPr>
        <w:t>capital efficiency and risk-adjusted returns</w:t>
      </w:r>
      <w:r w:rsidR="00B97BB2" w:rsidRPr="00C420AB">
        <w:rPr>
          <w:rFonts w:ascii="Times New Roman" w:hAnsi="Times New Roman" w:cs="Times New Roman"/>
          <w:sz w:val="22"/>
          <w:szCs w:val="22"/>
        </w:rPr>
        <w:t xml:space="preserve">, </w:t>
      </w:r>
      <w:r w:rsidRPr="00C420AB">
        <w:rPr>
          <w:rFonts w:ascii="Times New Roman" w:hAnsi="Times New Roman" w:cs="Times New Roman"/>
          <w:sz w:val="22"/>
          <w:szCs w:val="22"/>
        </w:rPr>
        <w:t>rather than individual transaction performance.</w:t>
      </w:r>
    </w:p>
    <w:p w14:paraId="65D2E20B" w14:textId="78E49A7B" w:rsidR="00D07CDD" w:rsidRPr="00C420AB" w:rsidRDefault="00D07CDD" w:rsidP="00837029">
      <w:pPr>
        <w:jc w:val="both"/>
        <w:rPr>
          <w:rFonts w:ascii="Times New Roman" w:hAnsi="Times New Roman" w:cs="Times New Roman"/>
          <w:sz w:val="22"/>
          <w:szCs w:val="22"/>
        </w:rPr>
      </w:pPr>
      <w:r w:rsidRPr="00C420AB">
        <w:rPr>
          <w:rFonts w:ascii="Times New Roman" w:hAnsi="Times New Roman" w:cs="Times New Roman"/>
          <w:sz w:val="22"/>
          <w:szCs w:val="22"/>
        </w:rPr>
        <w:t>Given the structural evolution of CDB’s private sector model since 2017, the evaluation will adopt a </w:t>
      </w:r>
      <w:r w:rsidRPr="00C420AB">
        <w:rPr>
          <w:rFonts w:ascii="Times New Roman" w:hAnsi="Times New Roman" w:cs="Times New Roman"/>
          <w:b/>
          <w:bCs/>
          <w:sz w:val="22"/>
          <w:szCs w:val="22"/>
        </w:rPr>
        <w:t>phased analytical approach</w:t>
      </w:r>
      <w:r w:rsidRPr="00C420AB">
        <w:rPr>
          <w:rFonts w:ascii="Times New Roman" w:hAnsi="Times New Roman" w:cs="Times New Roman"/>
          <w:sz w:val="22"/>
          <w:szCs w:val="22"/>
        </w:rPr>
        <w:t>: </w:t>
      </w:r>
    </w:p>
    <w:p w14:paraId="6636A97E" w14:textId="7507599D" w:rsidR="00D07CDD" w:rsidRPr="00C420AB" w:rsidRDefault="00D07CDD" w:rsidP="00837029">
      <w:pPr>
        <w:numPr>
          <w:ilvl w:val="0"/>
          <w:numId w:val="22"/>
        </w:numPr>
        <w:jc w:val="both"/>
        <w:rPr>
          <w:rFonts w:ascii="Times New Roman" w:hAnsi="Times New Roman" w:cs="Times New Roman"/>
          <w:sz w:val="22"/>
          <w:szCs w:val="22"/>
        </w:rPr>
      </w:pPr>
      <w:r w:rsidRPr="00C420AB">
        <w:rPr>
          <w:rFonts w:ascii="Times New Roman" w:hAnsi="Times New Roman" w:cs="Times New Roman"/>
          <w:b/>
          <w:bCs/>
          <w:sz w:val="22"/>
          <w:szCs w:val="22"/>
        </w:rPr>
        <w:t>Phase I: Foundational Baseline (2017–2022):</w:t>
      </w:r>
      <w:r w:rsidRPr="00C420AB">
        <w:rPr>
          <w:rFonts w:ascii="Times New Roman" w:hAnsi="Times New Roman" w:cs="Times New Roman"/>
          <w:sz w:val="22"/>
          <w:szCs w:val="22"/>
        </w:rPr>
        <w:t> The evaluation will </w:t>
      </w:r>
      <w:proofErr w:type="spellStart"/>
      <w:r w:rsidRPr="00C420AB">
        <w:rPr>
          <w:rFonts w:ascii="Times New Roman" w:hAnsi="Times New Roman" w:cs="Times New Roman"/>
          <w:sz w:val="22"/>
          <w:szCs w:val="22"/>
        </w:rPr>
        <w:t>analyse</w:t>
      </w:r>
      <w:proofErr w:type="spellEnd"/>
      <w:r w:rsidRPr="00C420AB">
        <w:rPr>
          <w:rFonts w:ascii="Times New Roman" w:hAnsi="Times New Roman" w:cs="Times New Roman"/>
          <w:sz w:val="22"/>
          <w:szCs w:val="22"/>
        </w:rPr>
        <w:t> this period to understand the Bank’s historical trajectory and performance under the intermediary-led model. </w:t>
      </w:r>
    </w:p>
    <w:p w14:paraId="5A113D62" w14:textId="77777777" w:rsidR="00D07CDD" w:rsidRPr="00C420AB" w:rsidRDefault="00D07CDD" w:rsidP="00837029">
      <w:pPr>
        <w:numPr>
          <w:ilvl w:val="0"/>
          <w:numId w:val="14"/>
        </w:numPr>
        <w:jc w:val="both"/>
        <w:rPr>
          <w:rFonts w:ascii="Times New Roman" w:hAnsi="Times New Roman" w:cs="Times New Roman"/>
          <w:sz w:val="22"/>
          <w:szCs w:val="22"/>
        </w:rPr>
      </w:pPr>
      <w:r w:rsidRPr="00C420AB">
        <w:rPr>
          <w:rFonts w:ascii="Times New Roman" w:hAnsi="Times New Roman" w:cs="Times New Roman"/>
          <w:b/>
          <w:bCs/>
          <w:sz w:val="22"/>
          <w:szCs w:val="22"/>
        </w:rPr>
        <w:t>Phase II: Strategic Implementation and Readiness (2023–2028):</w:t>
      </w:r>
      <w:r w:rsidRPr="00C420AB">
        <w:rPr>
          <w:rFonts w:ascii="Times New Roman" w:hAnsi="Times New Roman" w:cs="Times New Roman"/>
          <w:sz w:val="22"/>
          <w:szCs w:val="22"/>
        </w:rPr>
        <w:t> The primary evaluative focus will be on the current Strategy, </w:t>
      </w:r>
      <w:proofErr w:type="spellStart"/>
      <w:r w:rsidRPr="00C420AB">
        <w:rPr>
          <w:rFonts w:ascii="Times New Roman" w:hAnsi="Times New Roman" w:cs="Times New Roman"/>
          <w:sz w:val="22"/>
          <w:szCs w:val="22"/>
        </w:rPr>
        <w:t>prioritising</w:t>
      </w:r>
      <w:proofErr w:type="spellEnd"/>
      <w:r w:rsidRPr="00C420AB">
        <w:rPr>
          <w:rFonts w:ascii="Times New Roman" w:hAnsi="Times New Roman" w:cs="Times New Roman"/>
          <w:sz w:val="22"/>
          <w:szCs w:val="22"/>
        </w:rPr>
        <w:t> institutional capacity, early implementation signals, and scalability. </w:t>
      </w:r>
    </w:p>
    <w:p w14:paraId="626CC70B" w14:textId="77777777" w:rsidR="00D07CDD" w:rsidRPr="00C420AB" w:rsidRDefault="00D07CDD" w:rsidP="00837029">
      <w:pPr>
        <w:jc w:val="both"/>
        <w:rPr>
          <w:rFonts w:ascii="Times New Roman" w:hAnsi="Times New Roman" w:cs="Times New Roman"/>
          <w:sz w:val="22"/>
          <w:szCs w:val="22"/>
        </w:rPr>
      </w:pPr>
      <w:r w:rsidRPr="00C420AB">
        <w:rPr>
          <w:rFonts w:ascii="Times New Roman" w:hAnsi="Times New Roman" w:cs="Times New Roman"/>
          <w:sz w:val="22"/>
          <w:szCs w:val="22"/>
        </w:rPr>
        <w:t>By utilizing this phased approach, the evaluation ensures that resources are strategically directed toward the Bank’s current and future operating framework. </w:t>
      </w:r>
    </w:p>
    <w:p w14:paraId="330AC704" w14:textId="3852FD02" w:rsidR="002E250D" w:rsidRPr="00C420AB" w:rsidRDefault="002E250D"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 xml:space="preserve">a. Inception </w:t>
      </w:r>
      <w:r w:rsidR="00E277B4" w:rsidRPr="00C420AB">
        <w:rPr>
          <w:rFonts w:ascii="Times New Roman" w:hAnsi="Times New Roman" w:cs="Times New Roman"/>
          <w:b/>
          <w:bCs/>
          <w:sz w:val="22"/>
          <w:szCs w:val="22"/>
        </w:rPr>
        <w:t xml:space="preserve">and Analytical Design </w:t>
      </w:r>
      <w:r w:rsidRPr="00C420AB">
        <w:rPr>
          <w:rFonts w:ascii="Times New Roman" w:hAnsi="Times New Roman" w:cs="Times New Roman"/>
          <w:b/>
          <w:bCs/>
          <w:sz w:val="22"/>
          <w:szCs w:val="22"/>
        </w:rPr>
        <w:t>Phase</w:t>
      </w:r>
    </w:p>
    <w:p w14:paraId="0F0AD22F" w14:textId="77777777" w:rsidR="00E277B4" w:rsidRPr="00C420AB" w:rsidRDefault="00E277B4"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The Inception Phase will establish </w:t>
      </w:r>
      <w:proofErr w:type="gramStart"/>
      <w:r w:rsidRPr="00C420AB">
        <w:rPr>
          <w:rFonts w:ascii="Times New Roman" w:hAnsi="Times New Roman" w:cs="Times New Roman"/>
          <w:sz w:val="22"/>
          <w:szCs w:val="22"/>
        </w:rPr>
        <w:t>the</w:t>
      </w:r>
      <w:proofErr w:type="gramEnd"/>
      <w:r w:rsidRPr="00C420AB">
        <w:rPr>
          <w:rFonts w:ascii="Times New Roman" w:hAnsi="Times New Roman" w:cs="Times New Roman"/>
          <w:sz w:val="22"/>
          <w:szCs w:val="22"/>
        </w:rPr>
        <w:t xml:space="preserve"> analytical framework and methodological design. Key activities include:</w:t>
      </w:r>
    </w:p>
    <w:p w14:paraId="3FDA3545" w14:textId="77777777" w:rsidR="00E27959" w:rsidRPr="00C420AB" w:rsidRDefault="00E27959" w:rsidP="00837029">
      <w:pPr>
        <w:numPr>
          <w:ilvl w:val="0"/>
          <w:numId w:val="18"/>
        </w:numPr>
        <w:jc w:val="both"/>
        <w:rPr>
          <w:rFonts w:ascii="Times New Roman" w:hAnsi="Times New Roman" w:cs="Times New Roman"/>
          <w:sz w:val="22"/>
          <w:szCs w:val="22"/>
        </w:rPr>
      </w:pPr>
      <w:r w:rsidRPr="00C420AB">
        <w:rPr>
          <w:rFonts w:ascii="Times New Roman" w:hAnsi="Times New Roman" w:cs="Times New Roman"/>
          <w:b/>
          <w:bCs/>
          <w:sz w:val="22"/>
          <w:szCs w:val="22"/>
        </w:rPr>
        <w:t>Theory of Change (</w:t>
      </w:r>
      <w:proofErr w:type="spellStart"/>
      <w:r w:rsidRPr="00C420AB">
        <w:rPr>
          <w:rFonts w:ascii="Times New Roman" w:hAnsi="Times New Roman" w:cs="Times New Roman"/>
          <w:b/>
          <w:bCs/>
          <w:sz w:val="22"/>
          <w:szCs w:val="22"/>
        </w:rPr>
        <w:t>ToC</w:t>
      </w:r>
      <w:proofErr w:type="spellEnd"/>
      <w:r w:rsidRPr="00C420AB">
        <w:rPr>
          <w:rFonts w:ascii="Times New Roman" w:hAnsi="Times New Roman" w:cs="Times New Roman"/>
          <w:b/>
          <w:bCs/>
          <w:sz w:val="22"/>
          <w:szCs w:val="22"/>
        </w:rPr>
        <w:t xml:space="preserve">) Reconstruction: </w:t>
      </w:r>
      <w:r w:rsidRPr="00C420AB">
        <w:rPr>
          <w:rFonts w:ascii="Times New Roman" w:hAnsi="Times New Roman" w:cs="Times New Roman"/>
          <w:sz w:val="22"/>
          <w:szCs w:val="22"/>
        </w:rPr>
        <w:t xml:space="preserve">Developing a unified </w:t>
      </w:r>
      <w:proofErr w:type="spellStart"/>
      <w:r w:rsidRPr="00C420AB">
        <w:rPr>
          <w:rFonts w:ascii="Times New Roman" w:hAnsi="Times New Roman" w:cs="Times New Roman"/>
          <w:sz w:val="22"/>
          <w:szCs w:val="22"/>
        </w:rPr>
        <w:t>ToC</w:t>
      </w:r>
      <w:proofErr w:type="spellEnd"/>
      <w:r w:rsidRPr="00C420AB">
        <w:rPr>
          <w:rFonts w:ascii="Times New Roman" w:hAnsi="Times New Roman" w:cs="Times New Roman"/>
          <w:sz w:val="22"/>
          <w:szCs w:val="22"/>
        </w:rPr>
        <w:t xml:space="preserve"> that integrates the 2017 and 2023 Strategies. This reconstruction will explicitly map risk transmission channels to identify how financial and operational risks impact development outcomes.</w:t>
      </w:r>
    </w:p>
    <w:p w14:paraId="313A6D56" w14:textId="77777777" w:rsidR="00E27959" w:rsidRPr="00C420AB" w:rsidRDefault="00E27959" w:rsidP="00837029">
      <w:pPr>
        <w:numPr>
          <w:ilvl w:val="0"/>
          <w:numId w:val="18"/>
        </w:numPr>
        <w:jc w:val="both"/>
        <w:rPr>
          <w:rFonts w:ascii="Times New Roman" w:hAnsi="Times New Roman" w:cs="Times New Roman"/>
          <w:sz w:val="22"/>
          <w:szCs w:val="22"/>
        </w:rPr>
      </w:pPr>
      <w:r w:rsidRPr="00C420AB">
        <w:rPr>
          <w:rFonts w:ascii="Times New Roman" w:hAnsi="Times New Roman" w:cs="Times New Roman"/>
          <w:b/>
          <w:bCs/>
          <w:sz w:val="22"/>
          <w:szCs w:val="22"/>
        </w:rPr>
        <w:t xml:space="preserve">Evaluation Matrix: </w:t>
      </w:r>
      <w:r w:rsidRPr="00C420AB">
        <w:rPr>
          <w:rFonts w:ascii="Times New Roman" w:hAnsi="Times New Roman" w:cs="Times New Roman"/>
          <w:sz w:val="22"/>
          <w:szCs w:val="22"/>
        </w:rPr>
        <w:t>Defining judgment criteria and indicators for each clustered evaluation question.</w:t>
      </w:r>
    </w:p>
    <w:p w14:paraId="29814AD8" w14:textId="77777777" w:rsidR="00E27959" w:rsidRPr="00C420AB" w:rsidRDefault="00E27959" w:rsidP="00837029">
      <w:pPr>
        <w:numPr>
          <w:ilvl w:val="0"/>
          <w:numId w:val="18"/>
        </w:numPr>
        <w:jc w:val="both"/>
        <w:rPr>
          <w:rFonts w:ascii="Times New Roman" w:hAnsi="Times New Roman" w:cs="Times New Roman"/>
          <w:sz w:val="22"/>
          <w:szCs w:val="22"/>
        </w:rPr>
      </w:pPr>
      <w:r w:rsidRPr="00C420AB">
        <w:rPr>
          <w:rFonts w:ascii="Times New Roman" w:hAnsi="Times New Roman" w:cs="Times New Roman"/>
          <w:b/>
          <w:bCs/>
          <w:sz w:val="22"/>
          <w:szCs w:val="22"/>
        </w:rPr>
        <w:t xml:space="preserve">Portfolio Mapping: </w:t>
      </w:r>
      <w:r w:rsidRPr="00C420AB">
        <w:rPr>
          <w:rFonts w:ascii="Times New Roman" w:hAnsi="Times New Roman" w:cs="Times New Roman"/>
          <w:sz w:val="22"/>
          <w:szCs w:val="22"/>
        </w:rPr>
        <w:t>A comprehensive mapping (2017–2025) covering instrument mix, sector/geographic distribution, exposure levels, and mobilization data.</w:t>
      </w:r>
    </w:p>
    <w:p w14:paraId="602108B3" w14:textId="77777777" w:rsidR="00E27959" w:rsidRPr="00C420AB" w:rsidRDefault="00E27959" w:rsidP="00837029">
      <w:pPr>
        <w:numPr>
          <w:ilvl w:val="0"/>
          <w:numId w:val="18"/>
        </w:numPr>
        <w:jc w:val="both"/>
        <w:rPr>
          <w:rFonts w:ascii="Times New Roman" w:hAnsi="Times New Roman" w:cs="Times New Roman"/>
          <w:sz w:val="22"/>
          <w:szCs w:val="22"/>
        </w:rPr>
      </w:pPr>
      <w:r w:rsidRPr="00C420AB">
        <w:rPr>
          <w:rFonts w:ascii="Times New Roman" w:hAnsi="Times New Roman" w:cs="Times New Roman"/>
          <w:b/>
          <w:bCs/>
          <w:sz w:val="22"/>
          <w:szCs w:val="22"/>
        </w:rPr>
        <w:t xml:space="preserve">Selection of Case Studies: </w:t>
      </w:r>
      <w:r w:rsidRPr="00C420AB">
        <w:rPr>
          <w:rFonts w:ascii="Times New Roman" w:hAnsi="Times New Roman" w:cs="Times New Roman"/>
          <w:sz w:val="22"/>
          <w:szCs w:val="22"/>
        </w:rPr>
        <w:t>Identifying 3–4 case studies to test causal pathways, including failed or distressed projects to extract critical lessons on risk mitigation and workout capacity.</w:t>
      </w:r>
    </w:p>
    <w:p w14:paraId="6E5798C3" w14:textId="3C9FF965" w:rsidR="00E27959" w:rsidRPr="00C420AB" w:rsidRDefault="00E27959" w:rsidP="00837029">
      <w:pPr>
        <w:numPr>
          <w:ilvl w:val="0"/>
          <w:numId w:val="18"/>
        </w:numPr>
        <w:jc w:val="both"/>
        <w:rPr>
          <w:rFonts w:ascii="Times New Roman" w:hAnsi="Times New Roman" w:cs="Times New Roman"/>
          <w:sz w:val="22"/>
          <w:szCs w:val="22"/>
        </w:rPr>
      </w:pPr>
      <w:r w:rsidRPr="00C420AB">
        <w:rPr>
          <w:rFonts w:ascii="Times New Roman" w:hAnsi="Times New Roman" w:cs="Times New Roman"/>
          <w:b/>
          <w:bCs/>
          <w:sz w:val="22"/>
          <w:szCs w:val="22"/>
        </w:rPr>
        <w:t xml:space="preserve">Validation Workshop: </w:t>
      </w:r>
      <w:r w:rsidRPr="00C420AB">
        <w:rPr>
          <w:rFonts w:ascii="Times New Roman" w:hAnsi="Times New Roman" w:cs="Times New Roman"/>
          <w:sz w:val="22"/>
          <w:szCs w:val="22"/>
        </w:rPr>
        <w:t>Engaging internal stakeholders to finalize scope and analytical lenses.</w:t>
      </w:r>
    </w:p>
    <w:p w14:paraId="318C5399" w14:textId="77777777" w:rsidR="00E27959" w:rsidRPr="00C420AB" w:rsidRDefault="00E27959"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An Inception Report will </w:t>
      </w:r>
      <w:proofErr w:type="spellStart"/>
      <w:r w:rsidRPr="00C420AB">
        <w:rPr>
          <w:rFonts w:ascii="Times New Roman" w:hAnsi="Times New Roman" w:cs="Times New Roman"/>
          <w:sz w:val="22"/>
          <w:szCs w:val="22"/>
        </w:rPr>
        <w:t>finalise</w:t>
      </w:r>
      <w:proofErr w:type="spellEnd"/>
      <w:r w:rsidRPr="00C420AB">
        <w:rPr>
          <w:rFonts w:ascii="Times New Roman" w:hAnsi="Times New Roman" w:cs="Times New Roman"/>
          <w:sz w:val="22"/>
          <w:szCs w:val="22"/>
        </w:rPr>
        <w:t xml:space="preserve"> scope, sampling strategy, data tools, and analytical lenses.</w:t>
      </w:r>
    </w:p>
    <w:p w14:paraId="5CDA79BB" w14:textId="77777777" w:rsidR="002E250D" w:rsidRPr="00C420AB" w:rsidRDefault="002E250D"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b. Data Collection and Analysis Phase</w:t>
      </w:r>
    </w:p>
    <w:p w14:paraId="6C29A7FC" w14:textId="2D54158B" w:rsidR="0047790E" w:rsidRPr="00C420AB" w:rsidRDefault="0047790E" w:rsidP="00837029">
      <w:pPr>
        <w:jc w:val="both"/>
        <w:rPr>
          <w:rFonts w:ascii="Times New Roman" w:hAnsi="Times New Roman" w:cs="Times New Roman"/>
          <w:sz w:val="22"/>
          <w:szCs w:val="22"/>
        </w:rPr>
      </w:pPr>
      <w:r w:rsidRPr="00C420AB">
        <w:rPr>
          <w:rFonts w:ascii="Times New Roman" w:hAnsi="Times New Roman" w:cs="Times New Roman"/>
          <w:sz w:val="22"/>
          <w:szCs w:val="22"/>
        </w:rPr>
        <w:t>This phase will combine quantitative and qualitative methods to assess performance and readiness.</w:t>
      </w:r>
    </w:p>
    <w:p w14:paraId="0049C838" w14:textId="77777777" w:rsidR="00866CDF" w:rsidRPr="00C420AB" w:rsidRDefault="00866CDF" w:rsidP="00837029">
      <w:pPr>
        <w:jc w:val="both"/>
        <w:rPr>
          <w:rFonts w:ascii="Times New Roman" w:hAnsi="Times New Roman" w:cs="Times New Roman"/>
          <w:b/>
          <w:bCs/>
          <w:sz w:val="22"/>
          <w:szCs w:val="22"/>
        </w:rPr>
      </w:pPr>
    </w:p>
    <w:p w14:paraId="151E5A5F" w14:textId="7D7B5A72" w:rsidR="0047790E" w:rsidRPr="00C420AB" w:rsidRDefault="0047790E"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lastRenderedPageBreak/>
        <w:t>Portfolio Analysis</w:t>
      </w:r>
    </w:p>
    <w:p w14:paraId="487DB0AC" w14:textId="77777777" w:rsidR="0047790E" w:rsidRPr="00C420AB" w:rsidRDefault="0047790E"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A structured portfolio review will </w:t>
      </w:r>
      <w:proofErr w:type="spellStart"/>
      <w:r w:rsidRPr="00C420AB">
        <w:rPr>
          <w:rFonts w:ascii="Times New Roman" w:hAnsi="Times New Roman" w:cs="Times New Roman"/>
          <w:sz w:val="22"/>
          <w:szCs w:val="22"/>
        </w:rPr>
        <w:t>analyse</w:t>
      </w:r>
      <w:proofErr w:type="spellEnd"/>
      <w:r w:rsidRPr="00C420AB">
        <w:rPr>
          <w:rFonts w:ascii="Times New Roman" w:hAnsi="Times New Roman" w:cs="Times New Roman"/>
          <w:sz w:val="22"/>
          <w:szCs w:val="22"/>
        </w:rPr>
        <w:t>:</w:t>
      </w:r>
    </w:p>
    <w:p w14:paraId="18EF9F3D" w14:textId="77777777" w:rsidR="0047790E" w:rsidRPr="00C420AB" w:rsidRDefault="0047790E" w:rsidP="00837029">
      <w:pPr>
        <w:numPr>
          <w:ilvl w:val="0"/>
          <w:numId w:val="31"/>
        </w:numPr>
        <w:tabs>
          <w:tab w:val="clear" w:pos="720"/>
        </w:tabs>
        <w:jc w:val="both"/>
        <w:rPr>
          <w:rFonts w:ascii="Times New Roman" w:hAnsi="Times New Roman" w:cs="Times New Roman"/>
          <w:sz w:val="22"/>
          <w:szCs w:val="22"/>
        </w:rPr>
      </w:pPr>
      <w:r w:rsidRPr="00C420AB">
        <w:rPr>
          <w:rFonts w:ascii="Times New Roman" w:hAnsi="Times New Roman" w:cs="Times New Roman"/>
          <w:b/>
          <w:bCs/>
          <w:sz w:val="22"/>
          <w:szCs w:val="22"/>
        </w:rPr>
        <w:t>Financial Trends:</w:t>
      </w:r>
      <w:r w:rsidRPr="00C420AB">
        <w:rPr>
          <w:rFonts w:ascii="Times New Roman" w:hAnsi="Times New Roman" w:cs="Times New Roman"/>
          <w:sz w:val="22"/>
          <w:szCs w:val="22"/>
        </w:rPr>
        <w:t xml:space="preserve"> Approval volumes, sector/geographic distribution, and instrument evolution.</w:t>
      </w:r>
    </w:p>
    <w:p w14:paraId="3BBC9817" w14:textId="77777777" w:rsidR="0047790E" w:rsidRPr="00C420AB" w:rsidRDefault="0047790E" w:rsidP="00837029">
      <w:pPr>
        <w:numPr>
          <w:ilvl w:val="0"/>
          <w:numId w:val="31"/>
        </w:numPr>
        <w:tabs>
          <w:tab w:val="clear" w:pos="720"/>
        </w:tabs>
        <w:jc w:val="both"/>
        <w:rPr>
          <w:rFonts w:ascii="Times New Roman" w:hAnsi="Times New Roman" w:cs="Times New Roman"/>
          <w:sz w:val="22"/>
          <w:szCs w:val="22"/>
        </w:rPr>
      </w:pPr>
      <w:r w:rsidRPr="00C420AB">
        <w:rPr>
          <w:rFonts w:ascii="Times New Roman" w:hAnsi="Times New Roman" w:cs="Times New Roman"/>
          <w:b/>
          <w:bCs/>
          <w:sz w:val="22"/>
          <w:szCs w:val="22"/>
        </w:rPr>
        <w:t>Credit Risk and Asset Quality:</w:t>
      </w:r>
      <w:r w:rsidRPr="00C420AB">
        <w:rPr>
          <w:rFonts w:ascii="Times New Roman" w:hAnsi="Times New Roman" w:cs="Times New Roman"/>
          <w:sz w:val="22"/>
          <w:szCs w:val="22"/>
        </w:rPr>
        <w:t xml:space="preserve"> A deep dive into </w:t>
      </w:r>
      <w:r w:rsidRPr="00C420AB">
        <w:rPr>
          <w:rFonts w:ascii="Times New Roman" w:hAnsi="Times New Roman" w:cs="Times New Roman"/>
          <w:b/>
          <w:bCs/>
          <w:sz w:val="22"/>
          <w:szCs w:val="22"/>
        </w:rPr>
        <w:t>default analysis, Loss Given Default (LGD), and risk migration</w:t>
      </w:r>
      <w:r w:rsidRPr="00C420AB">
        <w:rPr>
          <w:rFonts w:ascii="Times New Roman" w:hAnsi="Times New Roman" w:cs="Times New Roman"/>
          <w:sz w:val="22"/>
          <w:szCs w:val="22"/>
        </w:rPr>
        <w:t xml:space="preserve"> patterns across the non-sovereign portfolio.</w:t>
      </w:r>
    </w:p>
    <w:p w14:paraId="4D237549" w14:textId="77777777" w:rsidR="0047790E" w:rsidRPr="00C420AB" w:rsidRDefault="0047790E" w:rsidP="00837029">
      <w:pPr>
        <w:numPr>
          <w:ilvl w:val="0"/>
          <w:numId w:val="31"/>
        </w:numPr>
        <w:tabs>
          <w:tab w:val="clear" w:pos="720"/>
        </w:tabs>
        <w:jc w:val="both"/>
        <w:rPr>
          <w:rFonts w:ascii="Times New Roman" w:hAnsi="Times New Roman" w:cs="Times New Roman"/>
          <w:sz w:val="22"/>
          <w:szCs w:val="22"/>
        </w:rPr>
      </w:pPr>
      <w:r w:rsidRPr="00C420AB">
        <w:rPr>
          <w:rFonts w:ascii="Times New Roman" w:hAnsi="Times New Roman" w:cs="Times New Roman"/>
          <w:b/>
          <w:bCs/>
          <w:sz w:val="22"/>
          <w:szCs w:val="22"/>
        </w:rPr>
        <w:t>Capital and Stress Testing:</w:t>
      </w:r>
      <w:r w:rsidRPr="00C420AB">
        <w:rPr>
          <w:rFonts w:ascii="Times New Roman" w:hAnsi="Times New Roman" w:cs="Times New Roman"/>
          <w:sz w:val="22"/>
          <w:szCs w:val="22"/>
        </w:rPr>
        <w:t xml:space="preserve"> Analysis of mobilization ratios, capital intensity trends, and the application of </w:t>
      </w:r>
      <w:r w:rsidRPr="00C420AB">
        <w:rPr>
          <w:rFonts w:ascii="Times New Roman" w:hAnsi="Times New Roman" w:cs="Times New Roman"/>
          <w:b/>
          <w:bCs/>
          <w:sz w:val="22"/>
          <w:szCs w:val="22"/>
        </w:rPr>
        <w:t>stress scenarios</w:t>
      </w:r>
      <w:r w:rsidRPr="00C420AB">
        <w:rPr>
          <w:rFonts w:ascii="Times New Roman" w:hAnsi="Times New Roman" w:cs="Times New Roman"/>
          <w:sz w:val="22"/>
          <w:szCs w:val="22"/>
        </w:rPr>
        <w:t xml:space="preserve"> to assess portfolio resilience.</w:t>
      </w:r>
    </w:p>
    <w:p w14:paraId="64573D92" w14:textId="77777777" w:rsidR="0047790E" w:rsidRPr="00C420AB" w:rsidRDefault="0047790E" w:rsidP="00837029">
      <w:pPr>
        <w:numPr>
          <w:ilvl w:val="0"/>
          <w:numId w:val="31"/>
        </w:numPr>
        <w:tabs>
          <w:tab w:val="clear" w:pos="720"/>
        </w:tabs>
        <w:jc w:val="both"/>
        <w:rPr>
          <w:rFonts w:ascii="Times New Roman" w:hAnsi="Times New Roman" w:cs="Times New Roman"/>
          <w:sz w:val="22"/>
          <w:szCs w:val="22"/>
        </w:rPr>
      </w:pPr>
      <w:r w:rsidRPr="00C420AB">
        <w:rPr>
          <w:rFonts w:ascii="Times New Roman" w:hAnsi="Times New Roman" w:cs="Times New Roman"/>
          <w:b/>
          <w:bCs/>
          <w:sz w:val="22"/>
          <w:szCs w:val="22"/>
        </w:rPr>
        <w:t>Comparative Analysis:</w:t>
      </w:r>
      <w:r w:rsidRPr="00C420AB">
        <w:rPr>
          <w:rFonts w:ascii="Times New Roman" w:hAnsi="Times New Roman" w:cs="Times New Roman"/>
          <w:sz w:val="22"/>
          <w:szCs w:val="22"/>
        </w:rPr>
        <w:t xml:space="preserve"> Pre- and post-2023 comparisons to assess structural shifts following the strategy reform.</w:t>
      </w:r>
    </w:p>
    <w:p w14:paraId="01E1F1E5" w14:textId="77777777" w:rsidR="0047790E" w:rsidRPr="00C420AB" w:rsidRDefault="0047790E"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Case Studies</w:t>
      </w:r>
    </w:p>
    <w:p w14:paraId="5409883A" w14:textId="2ACE2341" w:rsidR="0047790E" w:rsidRPr="00C420AB" w:rsidRDefault="0047790E"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The 3–4 case studies (country- </w:t>
      </w:r>
      <w:r w:rsidR="30E69B73" w:rsidRPr="00C420AB">
        <w:rPr>
          <w:rFonts w:ascii="Times New Roman" w:hAnsi="Times New Roman" w:cs="Times New Roman"/>
          <w:sz w:val="22"/>
          <w:szCs w:val="22"/>
        </w:rPr>
        <w:t>and/</w:t>
      </w:r>
      <w:r w:rsidRPr="00C420AB">
        <w:rPr>
          <w:rFonts w:ascii="Times New Roman" w:hAnsi="Times New Roman" w:cs="Times New Roman"/>
          <w:sz w:val="22"/>
          <w:szCs w:val="22"/>
        </w:rPr>
        <w:t>or instrument-based) will explore:</w:t>
      </w:r>
    </w:p>
    <w:p w14:paraId="0CBBEF18" w14:textId="77777777" w:rsidR="0047790E" w:rsidRPr="00C420AB" w:rsidRDefault="0047790E" w:rsidP="00837029">
      <w:pPr>
        <w:numPr>
          <w:ilvl w:val="0"/>
          <w:numId w:val="31"/>
        </w:numPr>
        <w:jc w:val="both"/>
        <w:rPr>
          <w:rFonts w:ascii="Times New Roman" w:hAnsi="Times New Roman" w:cs="Times New Roman"/>
          <w:sz w:val="22"/>
          <w:szCs w:val="22"/>
        </w:rPr>
      </w:pPr>
      <w:proofErr w:type="gramStart"/>
      <w:r w:rsidRPr="00C420AB">
        <w:rPr>
          <w:rFonts w:ascii="Times New Roman" w:hAnsi="Times New Roman" w:cs="Times New Roman"/>
          <w:sz w:val="22"/>
          <w:szCs w:val="22"/>
        </w:rPr>
        <w:t>Implementation</w:t>
      </w:r>
      <w:proofErr w:type="gramEnd"/>
      <w:r w:rsidRPr="00C420AB">
        <w:rPr>
          <w:rFonts w:ascii="Times New Roman" w:hAnsi="Times New Roman" w:cs="Times New Roman"/>
          <w:sz w:val="22"/>
          <w:szCs w:val="22"/>
        </w:rPr>
        <w:t xml:space="preserve"> dynamics and institutional coordination.</w:t>
      </w:r>
    </w:p>
    <w:p w14:paraId="20D023EB" w14:textId="77777777" w:rsidR="0047790E" w:rsidRPr="00C420AB" w:rsidRDefault="0047790E" w:rsidP="00837029">
      <w:pPr>
        <w:numPr>
          <w:ilvl w:val="0"/>
          <w:numId w:val="31"/>
        </w:numPr>
        <w:jc w:val="both"/>
        <w:rPr>
          <w:rFonts w:ascii="Times New Roman" w:hAnsi="Times New Roman" w:cs="Times New Roman"/>
          <w:sz w:val="22"/>
          <w:szCs w:val="22"/>
        </w:rPr>
      </w:pPr>
      <w:r w:rsidRPr="00C420AB">
        <w:rPr>
          <w:rFonts w:ascii="Times New Roman" w:hAnsi="Times New Roman" w:cs="Times New Roman"/>
          <w:sz w:val="22"/>
          <w:szCs w:val="22"/>
        </w:rPr>
        <w:t>Additionality and catalytic effects, particularly the interaction between financing and technical assistance.</w:t>
      </w:r>
    </w:p>
    <w:p w14:paraId="6BFEAAB0" w14:textId="77777777" w:rsidR="0047790E" w:rsidRPr="00C420AB" w:rsidRDefault="0047790E" w:rsidP="00837029">
      <w:pPr>
        <w:numPr>
          <w:ilvl w:val="0"/>
          <w:numId w:val="31"/>
        </w:numPr>
        <w:jc w:val="both"/>
        <w:rPr>
          <w:rFonts w:ascii="Times New Roman" w:hAnsi="Times New Roman" w:cs="Times New Roman"/>
          <w:sz w:val="22"/>
          <w:szCs w:val="22"/>
        </w:rPr>
      </w:pPr>
      <w:r w:rsidRPr="00C420AB">
        <w:rPr>
          <w:rFonts w:ascii="Times New Roman" w:hAnsi="Times New Roman" w:cs="Times New Roman"/>
          <w:sz w:val="22"/>
          <w:szCs w:val="22"/>
        </w:rPr>
        <w:t>Lessons from Distress: Specific analysis of projects that did not meet financial or developmental expectations to identify bottlenecks in project structuring or monitoring.</w:t>
      </w:r>
    </w:p>
    <w:p w14:paraId="23E7043F" w14:textId="77777777" w:rsidR="0047790E" w:rsidRPr="00C420AB" w:rsidRDefault="0047790E"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Stakeholder Interviews</w:t>
      </w:r>
    </w:p>
    <w:p w14:paraId="709AA459" w14:textId="77777777" w:rsidR="0047790E" w:rsidRPr="00C420AB" w:rsidRDefault="0047790E" w:rsidP="00837029">
      <w:pPr>
        <w:numPr>
          <w:ilvl w:val="0"/>
          <w:numId w:val="31"/>
        </w:numPr>
        <w:jc w:val="both"/>
        <w:rPr>
          <w:rFonts w:ascii="Times New Roman" w:hAnsi="Times New Roman" w:cs="Times New Roman"/>
          <w:sz w:val="22"/>
          <w:szCs w:val="22"/>
        </w:rPr>
      </w:pPr>
      <w:r w:rsidRPr="00C420AB">
        <w:rPr>
          <w:rFonts w:ascii="Times New Roman" w:hAnsi="Times New Roman" w:cs="Times New Roman"/>
          <w:sz w:val="22"/>
          <w:szCs w:val="22"/>
        </w:rPr>
        <w:t>Interviews with PSD, Risk Management, Finance, and Legal departments, as well as BMC authorities and partners.</w:t>
      </w:r>
    </w:p>
    <w:p w14:paraId="4C18058D" w14:textId="77777777" w:rsidR="0047790E" w:rsidRPr="00C420AB" w:rsidRDefault="0047790E"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Comparative Benchmarking</w:t>
      </w:r>
    </w:p>
    <w:p w14:paraId="4A399CD1" w14:textId="77777777" w:rsidR="00FE65FC" w:rsidRPr="00C420AB" w:rsidRDefault="00FE65FC" w:rsidP="00837029">
      <w:pPr>
        <w:numPr>
          <w:ilvl w:val="0"/>
          <w:numId w:val="31"/>
        </w:numPr>
        <w:jc w:val="both"/>
        <w:rPr>
          <w:rFonts w:ascii="Times New Roman" w:hAnsi="Times New Roman" w:cs="Times New Roman"/>
          <w:sz w:val="22"/>
          <w:szCs w:val="22"/>
        </w:rPr>
      </w:pPr>
      <w:r w:rsidRPr="00C420AB">
        <w:rPr>
          <w:rFonts w:ascii="Times New Roman" w:hAnsi="Times New Roman" w:cs="Times New Roman"/>
          <w:sz w:val="22"/>
          <w:szCs w:val="22"/>
        </w:rPr>
        <w:t>Comparative benchmarking against peer multilateral development banks (MDBs) regarding risk governance, capital allocation, and pricing frameworks.</w:t>
      </w:r>
    </w:p>
    <w:p w14:paraId="0F6148A6" w14:textId="77777777" w:rsidR="002E250D" w:rsidRPr="00C420AB" w:rsidRDefault="002E250D"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c. Synthesis and Reporting Phase</w:t>
      </w:r>
    </w:p>
    <w:p w14:paraId="27126366" w14:textId="77777777" w:rsidR="006B457E" w:rsidRPr="00C420AB" w:rsidRDefault="006B457E"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This </w:t>
      </w:r>
      <w:proofErr w:type="gramStart"/>
      <w:r w:rsidRPr="00C420AB">
        <w:rPr>
          <w:rFonts w:ascii="Times New Roman" w:hAnsi="Times New Roman" w:cs="Times New Roman"/>
          <w:sz w:val="22"/>
          <w:szCs w:val="22"/>
        </w:rPr>
        <w:t>phase</w:t>
      </w:r>
      <w:proofErr w:type="gramEnd"/>
      <w:r w:rsidRPr="00C420AB">
        <w:rPr>
          <w:rFonts w:ascii="Times New Roman" w:hAnsi="Times New Roman" w:cs="Times New Roman"/>
          <w:sz w:val="22"/>
          <w:szCs w:val="22"/>
        </w:rPr>
        <w:t xml:space="preserve"> will:</w:t>
      </w:r>
    </w:p>
    <w:p w14:paraId="077BF808" w14:textId="77777777" w:rsidR="006B457E" w:rsidRPr="00C420AB" w:rsidRDefault="006B457E" w:rsidP="00837029">
      <w:pPr>
        <w:numPr>
          <w:ilvl w:val="0"/>
          <w:numId w:val="32"/>
        </w:numPr>
        <w:jc w:val="both"/>
        <w:rPr>
          <w:rFonts w:ascii="Times New Roman" w:hAnsi="Times New Roman" w:cs="Times New Roman"/>
          <w:sz w:val="22"/>
          <w:szCs w:val="22"/>
        </w:rPr>
      </w:pPr>
      <w:r w:rsidRPr="00C420AB">
        <w:rPr>
          <w:rFonts w:ascii="Times New Roman" w:hAnsi="Times New Roman" w:cs="Times New Roman"/>
          <w:sz w:val="22"/>
          <w:szCs w:val="22"/>
        </w:rPr>
        <w:t xml:space="preserve">Triangulate evidence across portfolio analysis, case studies, interviews, </w:t>
      </w:r>
      <w:proofErr w:type="gramStart"/>
      <w:r w:rsidRPr="00C420AB">
        <w:rPr>
          <w:rFonts w:ascii="Times New Roman" w:hAnsi="Times New Roman" w:cs="Times New Roman"/>
          <w:sz w:val="22"/>
          <w:szCs w:val="22"/>
        </w:rPr>
        <w:t>benchmarking;</w:t>
      </w:r>
      <w:proofErr w:type="gramEnd"/>
    </w:p>
    <w:p w14:paraId="39E6F252" w14:textId="77777777" w:rsidR="006B457E" w:rsidRPr="00C420AB" w:rsidRDefault="006B457E" w:rsidP="00837029">
      <w:pPr>
        <w:numPr>
          <w:ilvl w:val="0"/>
          <w:numId w:val="32"/>
        </w:numPr>
        <w:jc w:val="both"/>
        <w:rPr>
          <w:rFonts w:ascii="Times New Roman" w:hAnsi="Times New Roman" w:cs="Times New Roman"/>
          <w:sz w:val="22"/>
          <w:szCs w:val="22"/>
        </w:rPr>
      </w:pPr>
      <w:r w:rsidRPr="00C420AB">
        <w:rPr>
          <w:rFonts w:ascii="Times New Roman" w:hAnsi="Times New Roman" w:cs="Times New Roman"/>
          <w:sz w:val="22"/>
          <w:szCs w:val="22"/>
        </w:rPr>
        <w:t xml:space="preserve">Identify systemic lessons and forward-looking </w:t>
      </w:r>
      <w:proofErr w:type="gramStart"/>
      <w:r w:rsidRPr="00C420AB">
        <w:rPr>
          <w:rFonts w:ascii="Times New Roman" w:hAnsi="Times New Roman" w:cs="Times New Roman"/>
          <w:sz w:val="22"/>
          <w:szCs w:val="22"/>
        </w:rPr>
        <w:t>implications;</w:t>
      </w:r>
      <w:proofErr w:type="gramEnd"/>
    </w:p>
    <w:p w14:paraId="6BEAFC18" w14:textId="77777777" w:rsidR="006B457E" w:rsidRPr="00C420AB" w:rsidRDefault="006B457E" w:rsidP="00837029">
      <w:pPr>
        <w:numPr>
          <w:ilvl w:val="0"/>
          <w:numId w:val="32"/>
        </w:numPr>
        <w:jc w:val="both"/>
        <w:rPr>
          <w:rFonts w:ascii="Times New Roman" w:hAnsi="Times New Roman" w:cs="Times New Roman"/>
          <w:sz w:val="22"/>
          <w:szCs w:val="22"/>
        </w:rPr>
      </w:pPr>
      <w:r w:rsidRPr="00C420AB">
        <w:rPr>
          <w:rFonts w:ascii="Times New Roman" w:hAnsi="Times New Roman" w:cs="Times New Roman"/>
          <w:sz w:val="22"/>
          <w:szCs w:val="22"/>
        </w:rPr>
        <w:t xml:space="preserve">Validate findings with Management through a structured </w:t>
      </w:r>
      <w:proofErr w:type="gramStart"/>
      <w:r w:rsidRPr="00C420AB">
        <w:rPr>
          <w:rFonts w:ascii="Times New Roman" w:hAnsi="Times New Roman" w:cs="Times New Roman"/>
          <w:sz w:val="22"/>
          <w:szCs w:val="22"/>
        </w:rPr>
        <w:t>workshop;</w:t>
      </w:r>
      <w:proofErr w:type="gramEnd"/>
    </w:p>
    <w:p w14:paraId="729CF8A8" w14:textId="4BCBB394" w:rsidR="002E250D" w:rsidRPr="00C420AB" w:rsidRDefault="002E250D" w:rsidP="00837029">
      <w:pPr>
        <w:numPr>
          <w:ilvl w:val="0"/>
          <w:numId w:val="9"/>
        </w:numPr>
        <w:jc w:val="both"/>
        <w:rPr>
          <w:rFonts w:ascii="Times New Roman" w:hAnsi="Times New Roman" w:cs="Times New Roman"/>
          <w:sz w:val="22"/>
          <w:szCs w:val="22"/>
        </w:rPr>
      </w:pPr>
      <w:r w:rsidRPr="00C420AB">
        <w:rPr>
          <w:rFonts w:ascii="Times New Roman" w:hAnsi="Times New Roman" w:cs="Times New Roman"/>
          <w:sz w:val="22"/>
          <w:szCs w:val="22"/>
        </w:rPr>
        <w:t xml:space="preserve">Deliver </w:t>
      </w:r>
      <w:r w:rsidR="006B457E" w:rsidRPr="00C420AB">
        <w:rPr>
          <w:rFonts w:ascii="Times New Roman" w:hAnsi="Times New Roman" w:cs="Times New Roman"/>
          <w:sz w:val="22"/>
          <w:szCs w:val="22"/>
        </w:rPr>
        <w:t>draft and</w:t>
      </w:r>
      <w:r w:rsidRPr="00C420AB">
        <w:rPr>
          <w:rFonts w:ascii="Times New Roman" w:hAnsi="Times New Roman" w:cs="Times New Roman"/>
          <w:sz w:val="22"/>
          <w:szCs w:val="22"/>
        </w:rPr>
        <w:t xml:space="preserve"> </w:t>
      </w:r>
      <w:r w:rsidR="006B457E" w:rsidRPr="00C420AB">
        <w:rPr>
          <w:rFonts w:ascii="Times New Roman" w:hAnsi="Times New Roman" w:cs="Times New Roman"/>
          <w:sz w:val="22"/>
          <w:szCs w:val="22"/>
        </w:rPr>
        <w:t>f</w:t>
      </w:r>
      <w:r w:rsidRPr="00C420AB">
        <w:rPr>
          <w:rFonts w:ascii="Times New Roman" w:hAnsi="Times New Roman" w:cs="Times New Roman"/>
          <w:sz w:val="22"/>
          <w:szCs w:val="22"/>
        </w:rPr>
        <w:t>inal Evaluation Report</w:t>
      </w:r>
      <w:r w:rsidR="006B457E" w:rsidRPr="00C420AB">
        <w:rPr>
          <w:rFonts w:ascii="Times New Roman" w:hAnsi="Times New Roman" w:cs="Times New Roman"/>
          <w:sz w:val="22"/>
          <w:szCs w:val="22"/>
        </w:rPr>
        <w:t>s</w:t>
      </w:r>
      <w:r w:rsidRPr="00C420AB">
        <w:rPr>
          <w:rFonts w:ascii="Times New Roman" w:hAnsi="Times New Roman" w:cs="Times New Roman"/>
          <w:sz w:val="22"/>
          <w:szCs w:val="22"/>
        </w:rPr>
        <w:t>, an Executive Summary, and presentation materials.</w:t>
      </w:r>
    </w:p>
    <w:p w14:paraId="1F3A6582" w14:textId="77777777" w:rsidR="00FE65FC" w:rsidRPr="00C420AB" w:rsidRDefault="00FE65FC" w:rsidP="00837029">
      <w:pPr>
        <w:jc w:val="both"/>
        <w:rPr>
          <w:rFonts w:ascii="Times New Roman" w:hAnsi="Times New Roman" w:cs="Times New Roman"/>
          <w:sz w:val="22"/>
          <w:szCs w:val="22"/>
        </w:rPr>
      </w:pPr>
    </w:p>
    <w:p w14:paraId="7F3A1CEC" w14:textId="77777777" w:rsidR="00866CDF" w:rsidRPr="00C420AB" w:rsidRDefault="00866CDF" w:rsidP="00837029">
      <w:pPr>
        <w:jc w:val="both"/>
        <w:rPr>
          <w:rFonts w:ascii="Times New Roman" w:hAnsi="Times New Roman" w:cs="Times New Roman"/>
          <w:sz w:val="22"/>
          <w:szCs w:val="22"/>
        </w:rPr>
      </w:pPr>
    </w:p>
    <w:p w14:paraId="4444699E" w14:textId="0A062002" w:rsidR="00E8230D" w:rsidRPr="00C420AB" w:rsidRDefault="00E8230D" w:rsidP="00837029">
      <w:pPr>
        <w:pStyle w:val="Heading3"/>
        <w:jc w:val="both"/>
        <w:rPr>
          <w:rFonts w:ascii="Times New Roman" w:hAnsi="Times New Roman" w:cs="Times New Roman"/>
          <w:b/>
          <w:bCs/>
          <w:sz w:val="24"/>
          <w:szCs w:val="24"/>
        </w:rPr>
      </w:pPr>
      <w:r w:rsidRPr="00C420AB">
        <w:rPr>
          <w:rFonts w:ascii="Times New Roman" w:hAnsi="Times New Roman" w:cs="Times New Roman"/>
          <w:b/>
          <w:bCs/>
          <w:sz w:val="24"/>
          <w:szCs w:val="24"/>
        </w:rPr>
        <w:lastRenderedPageBreak/>
        <w:t xml:space="preserve">5. Deliverables </w:t>
      </w:r>
    </w:p>
    <w:tbl>
      <w:tblPr>
        <w:tblStyle w:val="ListTable4-Accent4"/>
        <w:tblW w:w="9470" w:type="dxa"/>
        <w:tblLook w:val="04A0" w:firstRow="1" w:lastRow="0" w:firstColumn="1" w:lastColumn="0" w:noHBand="0" w:noVBand="1"/>
      </w:tblPr>
      <w:tblGrid>
        <w:gridCol w:w="7320"/>
        <w:gridCol w:w="2150"/>
      </w:tblGrid>
      <w:tr w:rsidR="00EE1160" w:rsidRPr="00C420AB" w14:paraId="0D749207" w14:textId="77777777" w:rsidTr="7B1FC46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20" w:type="dxa"/>
            <w:hideMark/>
          </w:tcPr>
          <w:p w14:paraId="717F8779" w14:textId="3021DAD0" w:rsidR="00EE1160" w:rsidRPr="00C420AB" w:rsidRDefault="00EE1160" w:rsidP="00837029">
            <w:pPr>
              <w:spacing w:after="160" w:line="278" w:lineRule="auto"/>
              <w:jc w:val="both"/>
              <w:rPr>
                <w:rFonts w:ascii="Times New Roman" w:hAnsi="Times New Roman" w:cs="Times New Roman"/>
                <w:sz w:val="22"/>
                <w:szCs w:val="22"/>
              </w:rPr>
            </w:pPr>
            <w:r w:rsidRPr="00C420AB">
              <w:rPr>
                <w:rFonts w:ascii="Times New Roman" w:hAnsi="Times New Roman" w:cs="Times New Roman"/>
                <w:sz w:val="22"/>
                <w:szCs w:val="22"/>
              </w:rPr>
              <w:t>Deliverable</w:t>
            </w:r>
            <w:r w:rsidR="291B7EF0" w:rsidRPr="00C420AB">
              <w:rPr>
                <w:rFonts w:ascii="Times New Roman" w:hAnsi="Times New Roman" w:cs="Times New Roman"/>
                <w:sz w:val="22"/>
                <w:szCs w:val="22"/>
              </w:rPr>
              <w:t>s</w:t>
            </w:r>
          </w:p>
        </w:tc>
        <w:tc>
          <w:tcPr>
            <w:tcW w:w="2150" w:type="dxa"/>
            <w:hideMark/>
          </w:tcPr>
          <w:p w14:paraId="447D13FC" w14:textId="77777777" w:rsidR="00EE1160" w:rsidRPr="00C420AB" w:rsidRDefault="00EE1160" w:rsidP="00837029">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Due Date</w:t>
            </w:r>
          </w:p>
        </w:tc>
      </w:tr>
      <w:tr w:rsidR="00EE1160" w:rsidRPr="00C420AB" w14:paraId="3ABB2E70" w14:textId="77777777" w:rsidTr="7B1FC4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20" w:type="dxa"/>
            <w:hideMark/>
          </w:tcPr>
          <w:p w14:paraId="4C12C419" w14:textId="55BE028B" w:rsidR="00EE1160" w:rsidRPr="00C420AB" w:rsidRDefault="00EE1160" w:rsidP="00837029">
            <w:pPr>
              <w:spacing w:after="160" w:line="278" w:lineRule="auto"/>
              <w:jc w:val="both"/>
              <w:rPr>
                <w:rFonts w:ascii="Times New Roman" w:hAnsi="Times New Roman" w:cs="Times New Roman"/>
                <w:sz w:val="22"/>
                <w:szCs w:val="22"/>
              </w:rPr>
            </w:pPr>
            <w:r w:rsidRPr="00C420AB">
              <w:rPr>
                <w:rFonts w:ascii="Times New Roman" w:hAnsi="Times New Roman" w:cs="Times New Roman"/>
                <w:sz w:val="22"/>
                <w:szCs w:val="22"/>
              </w:rPr>
              <w:t>Inception Report</w:t>
            </w:r>
            <w:r w:rsidR="401F94AB" w:rsidRPr="00C420AB">
              <w:rPr>
                <w:rFonts w:ascii="Times New Roman" w:hAnsi="Times New Roman" w:cs="Times New Roman"/>
                <w:sz w:val="22"/>
                <w:szCs w:val="22"/>
              </w:rPr>
              <w:t xml:space="preserve"> </w:t>
            </w:r>
            <w:r w:rsidR="00336A63" w:rsidRPr="00C420AB">
              <w:rPr>
                <w:rFonts w:ascii="Times New Roman" w:hAnsi="Times New Roman" w:cs="Times New Roman"/>
                <w:sz w:val="22"/>
                <w:szCs w:val="22"/>
              </w:rPr>
              <w:t>with final methodology and Evaluation Matrix</w:t>
            </w:r>
          </w:p>
        </w:tc>
        <w:tc>
          <w:tcPr>
            <w:tcW w:w="2150" w:type="dxa"/>
            <w:hideMark/>
          </w:tcPr>
          <w:p w14:paraId="06F9DDB5" w14:textId="64ED70B5" w:rsidR="00EE1160" w:rsidRPr="00C420AB" w:rsidRDefault="007C47AA" w:rsidP="0083702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420AB">
              <w:rPr>
                <w:rFonts w:ascii="Times New Roman" w:hAnsi="Times New Roman" w:cs="Times New Roman"/>
                <w:b/>
                <w:bCs/>
                <w:sz w:val="22"/>
                <w:szCs w:val="22"/>
              </w:rPr>
              <w:t>Late May 2026</w:t>
            </w:r>
          </w:p>
        </w:tc>
      </w:tr>
      <w:tr w:rsidR="00D724D3" w:rsidRPr="00C420AB" w14:paraId="76813BFA" w14:textId="77777777" w:rsidTr="7B1FC463">
        <w:trPr>
          <w:trHeight w:val="300"/>
        </w:trPr>
        <w:tc>
          <w:tcPr>
            <w:cnfStyle w:val="001000000000" w:firstRow="0" w:lastRow="0" w:firstColumn="1" w:lastColumn="0" w:oddVBand="0" w:evenVBand="0" w:oddHBand="0" w:evenHBand="0" w:firstRowFirstColumn="0" w:firstRowLastColumn="0" w:lastRowFirstColumn="0" w:lastRowLastColumn="0"/>
            <w:tcW w:w="7320" w:type="dxa"/>
            <w:hideMark/>
          </w:tcPr>
          <w:p w14:paraId="725915C4" w14:textId="5B9202C4" w:rsidR="00D724D3" w:rsidRPr="00C420AB" w:rsidRDefault="00D724D3" w:rsidP="00837029">
            <w:pPr>
              <w:spacing w:after="160" w:line="278" w:lineRule="auto"/>
              <w:jc w:val="both"/>
              <w:rPr>
                <w:rFonts w:ascii="Times New Roman" w:hAnsi="Times New Roman" w:cs="Times New Roman"/>
                <w:sz w:val="22"/>
                <w:szCs w:val="22"/>
              </w:rPr>
            </w:pPr>
            <w:r w:rsidRPr="00C420AB">
              <w:rPr>
                <w:rFonts w:ascii="Times New Roman" w:hAnsi="Times New Roman" w:cs="Times New Roman"/>
                <w:sz w:val="22"/>
                <w:szCs w:val="22"/>
              </w:rPr>
              <w:t>Draft Evaluation Report</w:t>
            </w:r>
            <w:r w:rsidR="62269F1A" w:rsidRPr="00C420AB">
              <w:rPr>
                <w:rFonts w:ascii="Times New Roman" w:hAnsi="Times New Roman" w:cs="Times New Roman"/>
                <w:sz w:val="22"/>
                <w:szCs w:val="22"/>
              </w:rPr>
              <w:t xml:space="preserve"> </w:t>
            </w:r>
            <w:r w:rsidR="00F14205" w:rsidRPr="00C420AB">
              <w:rPr>
                <w:rFonts w:ascii="Times New Roman" w:hAnsi="Times New Roman" w:cs="Times New Roman"/>
                <w:sz w:val="22"/>
                <w:szCs w:val="22"/>
              </w:rPr>
              <w:t>and 3-4 Case Studies</w:t>
            </w:r>
          </w:p>
        </w:tc>
        <w:tc>
          <w:tcPr>
            <w:tcW w:w="2150" w:type="dxa"/>
            <w:hideMark/>
          </w:tcPr>
          <w:p w14:paraId="5EA4E20F" w14:textId="7C5320BE" w:rsidR="00D724D3" w:rsidRPr="00C420AB" w:rsidRDefault="0012728B" w:rsidP="0083702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420AB">
              <w:rPr>
                <w:rFonts w:ascii="Times New Roman" w:hAnsi="Times New Roman" w:cs="Times New Roman"/>
                <w:b/>
                <w:bCs/>
                <w:sz w:val="22"/>
                <w:szCs w:val="22"/>
              </w:rPr>
              <w:t>August 2026</w:t>
            </w:r>
          </w:p>
        </w:tc>
      </w:tr>
      <w:tr w:rsidR="00D724D3" w:rsidRPr="00C420AB" w14:paraId="535D234F" w14:textId="77777777" w:rsidTr="7B1FC4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20" w:type="dxa"/>
            <w:hideMark/>
          </w:tcPr>
          <w:p w14:paraId="56E6E08D" w14:textId="77777777" w:rsidR="00D724D3" w:rsidRPr="00C420AB" w:rsidRDefault="00D724D3" w:rsidP="00837029">
            <w:pPr>
              <w:spacing w:after="160" w:line="278" w:lineRule="auto"/>
              <w:jc w:val="both"/>
              <w:rPr>
                <w:rFonts w:ascii="Times New Roman" w:hAnsi="Times New Roman" w:cs="Times New Roman"/>
                <w:sz w:val="22"/>
                <w:szCs w:val="22"/>
              </w:rPr>
            </w:pPr>
            <w:r w:rsidRPr="00C420AB">
              <w:rPr>
                <w:rFonts w:ascii="Times New Roman" w:hAnsi="Times New Roman" w:cs="Times New Roman"/>
                <w:sz w:val="22"/>
                <w:szCs w:val="22"/>
              </w:rPr>
              <w:t>Co-Creation Workshop Summary</w:t>
            </w:r>
          </w:p>
        </w:tc>
        <w:tc>
          <w:tcPr>
            <w:tcW w:w="2150" w:type="dxa"/>
            <w:hideMark/>
          </w:tcPr>
          <w:p w14:paraId="72416F70" w14:textId="67BA07C6" w:rsidR="00D724D3" w:rsidRPr="00C420AB" w:rsidRDefault="002910AB" w:rsidP="0083702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420AB">
              <w:rPr>
                <w:rFonts w:ascii="Times New Roman" w:hAnsi="Times New Roman" w:cs="Times New Roman"/>
                <w:b/>
                <w:bCs/>
                <w:sz w:val="22"/>
                <w:szCs w:val="22"/>
              </w:rPr>
              <w:t>September 2026</w:t>
            </w:r>
          </w:p>
        </w:tc>
      </w:tr>
      <w:tr w:rsidR="00D724D3" w:rsidRPr="00C420AB" w14:paraId="04C4BEEA" w14:textId="77777777" w:rsidTr="7B1FC463">
        <w:trPr>
          <w:trHeight w:val="300"/>
        </w:trPr>
        <w:tc>
          <w:tcPr>
            <w:cnfStyle w:val="001000000000" w:firstRow="0" w:lastRow="0" w:firstColumn="1" w:lastColumn="0" w:oddVBand="0" w:evenVBand="0" w:oddHBand="0" w:evenHBand="0" w:firstRowFirstColumn="0" w:firstRowLastColumn="0" w:lastRowFirstColumn="0" w:lastRowLastColumn="0"/>
            <w:tcW w:w="7320" w:type="dxa"/>
            <w:hideMark/>
          </w:tcPr>
          <w:p w14:paraId="37205ED9" w14:textId="27B01B24" w:rsidR="00D724D3" w:rsidRPr="00C420AB" w:rsidRDefault="00D724D3" w:rsidP="00837029">
            <w:pPr>
              <w:spacing w:after="160" w:line="278" w:lineRule="auto"/>
              <w:jc w:val="both"/>
              <w:rPr>
                <w:rFonts w:ascii="Times New Roman" w:hAnsi="Times New Roman" w:cs="Times New Roman"/>
                <w:sz w:val="22"/>
                <w:szCs w:val="22"/>
              </w:rPr>
            </w:pPr>
            <w:r w:rsidRPr="00C420AB">
              <w:rPr>
                <w:rFonts w:ascii="Times New Roman" w:hAnsi="Times New Roman" w:cs="Times New Roman"/>
                <w:sz w:val="22"/>
                <w:szCs w:val="22"/>
              </w:rPr>
              <w:t>Final Evaluation Report</w:t>
            </w:r>
            <w:r w:rsidR="00A6050C" w:rsidRPr="00C420AB">
              <w:rPr>
                <w:rFonts w:ascii="Times New Roman" w:hAnsi="Times New Roman" w:cs="Times New Roman"/>
                <w:sz w:val="22"/>
                <w:szCs w:val="22"/>
              </w:rPr>
              <w:t xml:space="preserve"> and Executive Summary</w:t>
            </w:r>
            <w:r w:rsidR="00D41564" w:rsidRPr="00C420AB">
              <w:rPr>
                <w:rFonts w:ascii="Times New Roman" w:hAnsi="Times New Roman" w:cs="Times New Roman"/>
                <w:sz w:val="22"/>
                <w:szCs w:val="22"/>
              </w:rPr>
              <w:t xml:space="preserve"> </w:t>
            </w:r>
          </w:p>
        </w:tc>
        <w:tc>
          <w:tcPr>
            <w:tcW w:w="2150" w:type="dxa"/>
            <w:hideMark/>
          </w:tcPr>
          <w:p w14:paraId="6FE379CE" w14:textId="4861B9C1" w:rsidR="00D724D3" w:rsidRPr="00C420AB" w:rsidRDefault="00D724D3" w:rsidP="00837029">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420AB">
              <w:rPr>
                <w:rFonts w:ascii="Times New Roman" w:hAnsi="Times New Roman" w:cs="Times New Roman"/>
                <w:b/>
                <w:bCs/>
                <w:sz w:val="22"/>
                <w:szCs w:val="22"/>
              </w:rPr>
              <w:t>End October 202</w:t>
            </w:r>
            <w:r w:rsidR="002910AB" w:rsidRPr="00C420AB">
              <w:rPr>
                <w:rFonts w:ascii="Times New Roman" w:hAnsi="Times New Roman" w:cs="Times New Roman"/>
                <w:b/>
                <w:bCs/>
                <w:sz w:val="22"/>
                <w:szCs w:val="22"/>
              </w:rPr>
              <w:t>6</w:t>
            </w:r>
          </w:p>
        </w:tc>
      </w:tr>
      <w:tr w:rsidR="00D724D3" w:rsidRPr="00C420AB" w14:paraId="3C214082" w14:textId="77777777" w:rsidTr="7B1FC46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20" w:type="dxa"/>
            <w:hideMark/>
          </w:tcPr>
          <w:p w14:paraId="0ADCB9DA" w14:textId="3BEFB1A8" w:rsidR="00D724D3" w:rsidRPr="00C420AB" w:rsidRDefault="00D724D3" w:rsidP="00837029">
            <w:pPr>
              <w:spacing w:after="160" w:line="278" w:lineRule="auto"/>
              <w:jc w:val="both"/>
              <w:rPr>
                <w:rFonts w:ascii="Times New Roman" w:hAnsi="Times New Roman" w:cs="Times New Roman"/>
                <w:sz w:val="22"/>
                <w:szCs w:val="22"/>
              </w:rPr>
            </w:pPr>
            <w:r w:rsidRPr="00C420AB">
              <w:rPr>
                <w:rFonts w:ascii="Times New Roman" w:hAnsi="Times New Roman" w:cs="Times New Roman"/>
                <w:sz w:val="22"/>
                <w:szCs w:val="22"/>
              </w:rPr>
              <w:t>Dissemination Products (slide</w:t>
            </w:r>
            <w:r w:rsidR="00A6050C" w:rsidRPr="00C420AB">
              <w:rPr>
                <w:rFonts w:ascii="Times New Roman" w:hAnsi="Times New Roman" w:cs="Times New Roman"/>
                <w:sz w:val="22"/>
                <w:szCs w:val="22"/>
              </w:rPr>
              <w:t xml:space="preserve"> deck</w:t>
            </w:r>
            <w:r w:rsidRPr="00C420AB">
              <w:rPr>
                <w:rFonts w:ascii="Times New Roman" w:hAnsi="Times New Roman" w:cs="Times New Roman"/>
                <w:sz w:val="22"/>
                <w:szCs w:val="22"/>
              </w:rPr>
              <w:t>, briefs)</w:t>
            </w:r>
          </w:p>
        </w:tc>
        <w:tc>
          <w:tcPr>
            <w:tcW w:w="2150" w:type="dxa"/>
            <w:hideMark/>
          </w:tcPr>
          <w:p w14:paraId="50D2A56E" w14:textId="67E27F45" w:rsidR="00D724D3" w:rsidRPr="00C420AB" w:rsidRDefault="00E11357" w:rsidP="00837029">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420AB">
              <w:rPr>
                <w:rFonts w:ascii="Times New Roman" w:hAnsi="Times New Roman" w:cs="Times New Roman"/>
                <w:b/>
                <w:bCs/>
                <w:sz w:val="22"/>
                <w:szCs w:val="22"/>
              </w:rPr>
              <w:t>November 2026</w:t>
            </w:r>
            <w:r w:rsidR="00D724D3" w:rsidRPr="00C420AB">
              <w:rPr>
                <w:rFonts w:ascii="Times New Roman" w:hAnsi="Times New Roman" w:cs="Times New Roman"/>
                <w:b/>
                <w:bCs/>
                <w:sz w:val="22"/>
                <w:szCs w:val="22"/>
              </w:rPr>
              <w:t xml:space="preserve"> </w:t>
            </w:r>
          </w:p>
        </w:tc>
      </w:tr>
    </w:tbl>
    <w:p w14:paraId="5A1DF0CD" w14:textId="77777777" w:rsidR="00EE1160" w:rsidRPr="00C420AB" w:rsidRDefault="00EE1160" w:rsidP="00837029">
      <w:pPr>
        <w:jc w:val="both"/>
        <w:rPr>
          <w:rFonts w:ascii="Times New Roman" w:hAnsi="Times New Roman" w:cs="Times New Roman"/>
          <w:b/>
          <w:bCs/>
          <w:sz w:val="22"/>
          <w:szCs w:val="22"/>
        </w:rPr>
      </w:pPr>
    </w:p>
    <w:p w14:paraId="22F1801C" w14:textId="6FD6D68F" w:rsidR="00644F0D" w:rsidRPr="00C420AB" w:rsidRDefault="00644F0D" w:rsidP="00837029">
      <w:pPr>
        <w:pStyle w:val="Heading3"/>
        <w:jc w:val="both"/>
        <w:rPr>
          <w:rFonts w:ascii="Times New Roman" w:hAnsi="Times New Roman" w:cs="Times New Roman"/>
          <w:b/>
          <w:bCs/>
          <w:sz w:val="24"/>
          <w:szCs w:val="24"/>
        </w:rPr>
      </w:pPr>
      <w:r w:rsidRPr="00C420AB">
        <w:rPr>
          <w:rFonts w:ascii="Times New Roman" w:hAnsi="Times New Roman" w:cs="Times New Roman"/>
          <w:b/>
          <w:bCs/>
          <w:sz w:val="24"/>
          <w:szCs w:val="24"/>
        </w:rPr>
        <w:t>6. Team Composition and Expertise</w:t>
      </w:r>
    </w:p>
    <w:p w14:paraId="506AEBFD" w14:textId="54D5C00A" w:rsidR="007056F7" w:rsidRPr="00C420AB" w:rsidRDefault="007056F7" w:rsidP="00837029">
      <w:pPr>
        <w:jc w:val="both"/>
        <w:rPr>
          <w:rFonts w:ascii="Times New Roman" w:hAnsi="Times New Roman" w:cs="Times New Roman"/>
          <w:sz w:val="22"/>
          <w:szCs w:val="22"/>
        </w:rPr>
      </w:pPr>
      <w:r w:rsidRPr="00C420AB">
        <w:rPr>
          <w:rFonts w:ascii="Times New Roman" w:hAnsi="Times New Roman" w:cs="Times New Roman"/>
          <w:sz w:val="22"/>
          <w:szCs w:val="22"/>
        </w:rPr>
        <w:t>The firm must propose a multidisciplinary</w:t>
      </w:r>
      <w:r w:rsidR="00BE4BE1" w:rsidRPr="00C420AB">
        <w:rPr>
          <w:rFonts w:ascii="Times New Roman" w:hAnsi="Times New Roman" w:cs="Times New Roman"/>
          <w:sz w:val="22"/>
          <w:szCs w:val="22"/>
        </w:rPr>
        <w:t xml:space="preserve"> and </w:t>
      </w:r>
      <w:r w:rsidR="003F3B61" w:rsidRPr="00C420AB">
        <w:rPr>
          <w:rFonts w:ascii="Times New Roman" w:hAnsi="Times New Roman" w:cs="Times New Roman"/>
          <w:sz w:val="22"/>
          <w:szCs w:val="22"/>
        </w:rPr>
        <w:t>mixed-method</w:t>
      </w:r>
      <w:r w:rsidRPr="00C420AB">
        <w:rPr>
          <w:rFonts w:ascii="Times New Roman" w:hAnsi="Times New Roman" w:cs="Times New Roman"/>
          <w:sz w:val="22"/>
          <w:szCs w:val="22"/>
        </w:rPr>
        <w:t xml:space="preserve"> team with expertise in evaluation, </w:t>
      </w:r>
      <w:r w:rsidR="00BE1881" w:rsidRPr="00C420AB">
        <w:rPr>
          <w:rFonts w:ascii="Times New Roman" w:hAnsi="Times New Roman" w:cs="Times New Roman"/>
          <w:sz w:val="22"/>
          <w:szCs w:val="22"/>
        </w:rPr>
        <w:t>private sector development, finance, policy reform, macroeconomic policy, regional development and governance</w:t>
      </w:r>
      <w:r w:rsidRPr="00C420AB">
        <w:rPr>
          <w:rFonts w:ascii="Times New Roman" w:hAnsi="Times New Roman" w:cs="Times New Roman"/>
          <w:sz w:val="22"/>
          <w:szCs w:val="22"/>
        </w:rPr>
        <w:t xml:space="preserve">. Evaluation team qualifications will be </w:t>
      </w:r>
      <w:r w:rsidR="00BE1881" w:rsidRPr="00C420AB">
        <w:rPr>
          <w:rFonts w:ascii="Times New Roman" w:hAnsi="Times New Roman" w:cs="Times New Roman"/>
          <w:sz w:val="22"/>
          <w:szCs w:val="22"/>
        </w:rPr>
        <w:t>a</w:t>
      </w:r>
      <w:r w:rsidRPr="00C420AB">
        <w:rPr>
          <w:rFonts w:ascii="Times New Roman" w:hAnsi="Times New Roman" w:cs="Times New Roman"/>
          <w:sz w:val="22"/>
          <w:szCs w:val="22"/>
        </w:rPr>
        <w:t>ssessed as follows:</w:t>
      </w:r>
    </w:p>
    <w:p w14:paraId="30EC3243" w14:textId="77777777" w:rsidR="007056F7" w:rsidRPr="00C420AB" w:rsidRDefault="007056F7"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Firm’s Evaluation Experience</w:t>
      </w:r>
    </w:p>
    <w:p w14:paraId="613259AD" w14:textId="77777777" w:rsidR="0045022C" w:rsidRPr="00C420AB" w:rsidRDefault="0045022C"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 xml:space="preserve">Proven track record in </w:t>
      </w:r>
      <w:proofErr w:type="spellStart"/>
      <w:r w:rsidRPr="00C420AB">
        <w:rPr>
          <w:rFonts w:ascii="Times New Roman" w:hAnsi="Times New Roman" w:cs="Times New Roman"/>
          <w:sz w:val="22"/>
          <w:szCs w:val="22"/>
        </w:rPr>
        <w:t>programme</w:t>
      </w:r>
      <w:proofErr w:type="spellEnd"/>
      <w:r w:rsidRPr="00C420AB">
        <w:rPr>
          <w:rFonts w:ascii="Times New Roman" w:hAnsi="Times New Roman" w:cs="Times New Roman"/>
          <w:sz w:val="22"/>
          <w:szCs w:val="22"/>
        </w:rPr>
        <w:t xml:space="preserve"> and strategy evaluations, particularly in private sector development (PSD), investment climate reform, and enterprise development.</w:t>
      </w:r>
    </w:p>
    <w:p w14:paraId="346F91FD" w14:textId="77777777" w:rsidR="0045022C" w:rsidRPr="00C420AB" w:rsidRDefault="0045022C"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 xml:space="preserve">Demonstrated experience evaluating financial sector interventions, including credit lines, blended finance, and SME support </w:t>
      </w:r>
      <w:proofErr w:type="spellStart"/>
      <w:r w:rsidRPr="00C420AB">
        <w:rPr>
          <w:rFonts w:ascii="Times New Roman" w:hAnsi="Times New Roman" w:cs="Times New Roman"/>
          <w:sz w:val="22"/>
          <w:szCs w:val="22"/>
        </w:rPr>
        <w:t>programmes</w:t>
      </w:r>
      <w:proofErr w:type="spellEnd"/>
      <w:r w:rsidRPr="00C420AB">
        <w:rPr>
          <w:rFonts w:ascii="Times New Roman" w:hAnsi="Times New Roman" w:cs="Times New Roman"/>
          <w:sz w:val="22"/>
          <w:szCs w:val="22"/>
        </w:rPr>
        <w:t>.</w:t>
      </w:r>
    </w:p>
    <w:p w14:paraId="7DA89735" w14:textId="77777777" w:rsidR="0045022C" w:rsidRPr="00C420AB" w:rsidRDefault="0045022C"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Experience conducting evaluations for multilateral development banks (MDBs) or development finance institutions is highly desirable.</w:t>
      </w:r>
    </w:p>
    <w:p w14:paraId="14E4C353" w14:textId="7E58B447" w:rsidR="007056F7" w:rsidRPr="00C420AB" w:rsidRDefault="007056F7"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Team Leader Qualifications</w:t>
      </w:r>
    </w:p>
    <w:p w14:paraId="12F0DB3C" w14:textId="281497C2" w:rsidR="00B81A2F" w:rsidRPr="00C420AB" w:rsidRDefault="00B81A2F"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Minimum 10 years of experience in international development evaluation, including strategy and policy-level assessments.</w:t>
      </w:r>
    </w:p>
    <w:p w14:paraId="3D175734" w14:textId="4C78099A" w:rsidR="00B81A2F" w:rsidRPr="00C420AB" w:rsidRDefault="008D340C"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 xml:space="preserve"> A minimum of 8 years of p</w:t>
      </w:r>
      <w:r w:rsidR="00B81A2F" w:rsidRPr="00C420AB">
        <w:rPr>
          <w:rFonts w:ascii="Times New Roman" w:hAnsi="Times New Roman" w:cs="Times New Roman"/>
          <w:sz w:val="22"/>
          <w:szCs w:val="22"/>
        </w:rPr>
        <w:t>roven experience leading complex, multi-country or multi-sector evaluations, ideally within MDB or PSD contexts.</w:t>
      </w:r>
    </w:p>
    <w:p w14:paraId="43792787" w14:textId="061B4A73" w:rsidR="00B81A2F" w:rsidRPr="00C420AB" w:rsidRDefault="00B81A2F"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Strong expertise in private sector development, development finance, or economic policy.</w:t>
      </w:r>
    </w:p>
    <w:p w14:paraId="19EE4461" w14:textId="6FC73E94" w:rsidR="00B81A2F" w:rsidRPr="00C420AB" w:rsidRDefault="00B81A2F"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Postgraduate degree in economics, finance, public policy, development studies, or a related field</w:t>
      </w:r>
      <w:r w:rsidR="008D340C" w:rsidRPr="00C420AB">
        <w:rPr>
          <w:rFonts w:ascii="Times New Roman" w:hAnsi="Times New Roman" w:cs="Times New Roman"/>
          <w:sz w:val="22"/>
          <w:szCs w:val="22"/>
        </w:rPr>
        <w:t xml:space="preserve"> (e.g. business administration, finance, accounting, corporate finance, investment analysis, international business, development economics, or private sector development)</w:t>
      </w:r>
      <w:r w:rsidRPr="00C420AB">
        <w:rPr>
          <w:rFonts w:ascii="Times New Roman" w:hAnsi="Times New Roman" w:cs="Times New Roman"/>
          <w:sz w:val="22"/>
          <w:szCs w:val="22"/>
        </w:rPr>
        <w:t>.</w:t>
      </w:r>
    </w:p>
    <w:p w14:paraId="11016A85" w14:textId="62CF42CC" w:rsidR="007056F7" w:rsidRPr="00C420AB" w:rsidRDefault="007056F7" w:rsidP="00837029">
      <w:pPr>
        <w:ind w:left="360"/>
        <w:jc w:val="both"/>
        <w:rPr>
          <w:rFonts w:ascii="Times New Roman" w:hAnsi="Times New Roman" w:cs="Times New Roman"/>
          <w:b/>
          <w:bCs/>
          <w:sz w:val="22"/>
          <w:szCs w:val="22"/>
        </w:rPr>
      </w:pPr>
      <w:r w:rsidRPr="00C420AB">
        <w:rPr>
          <w:rFonts w:ascii="Times New Roman" w:hAnsi="Times New Roman" w:cs="Times New Roman"/>
          <w:b/>
          <w:bCs/>
          <w:sz w:val="22"/>
          <w:szCs w:val="22"/>
        </w:rPr>
        <w:t>Team Expertise</w:t>
      </w:r>
    </w:p>
    <w:p w14:paraId="771968D2" w14:textId="791FDF35" w:rsidR="00C32F6D" w:rsidRPr="00C420AB" w:rsidRDefault="00C32F6D"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At least 7 years of experience across private sector development, financial sector development, governance reform, or institutional development.</w:t>
      </w:r>
    </w:p>
    <w:p w14:paraId="24D7479D" w14:textId="10935965" w:rsidR="00C32F6D" w:rsidRPr="00C420AB" w:rsidRDefault="00C32F6D"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Expertise in investment climate reform, MSME development, and access to finance.</w:t>
      </w:r>
    </w:p>
    <w:p w14:paraId="71E3074E" w14:textId="1C3815F3" w:rsidR="00C32F6D" w:rsidRPr="00C420AB" w:rsidRDefault="00C32F6D"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lastRenderedPageBreak/>
        <w:t>Experience with theory-based evaluation approaches and mixed-methods design.</w:t>
      </w:r>
    </w:p>
    <w:p w14:paraId="2D9C4129" w14:textId="008B2748" w:rsidR="00C32F6D" w:rsidRPr="00C420AB" w:rsidRDefault="00C32F6D"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Strong analytical capacity in portfolio evaluation, results frameworks, and development effectiveness.</w:t>
      </w:r>
    </w:p>
    <w:p w14:paraId="705AC729" w14:textId="77777777" w:rsidR="00C32F6D" w:rsidRPr="00C420AB" w:rsidRDefault="00C32F6D" w:rsidP="00837029">
      <w:pPr>
        <w:numPr>
          <w:ilvl w:val="0"/>
          <w:numId w:val="20"/>
        </w:numPr>
        <w:jc w:val="both"/>
        <w:rPr>
          <w:rFonts w:ascii="Times New Roman" w:hAnsi="Times New Roman" w:cs="Times New Roman"/>
          <w:b/>
          <w:bCs/>
          <w:sz w:val="22"/>
          <w:szCs w:val="22"/>
        </w:rPr>
      </w:pPr>
      <w:r w:rsidRPr="00C420AB">
        <w:rPr>
          <w:rFonts w:ascii="Times New Roman" w:hAnsi="Times New Roman" w:cs="Times New Roman"/>
          <w:sz w:val="22"/>
          <w:szCs w:val="22"/>
        </w:rPr>
        <w:t>Regional experience in the Caribbean or comparable SIDS contexts is highly desirable.</w:t>
      </w:r>
    </w:p>
    <w:p w14:paraId="255FD44B" w14:textId="296705EB" w:rsidR="007056F7" w:rsidRPr="00C420AB" w:rsidRDefault="007056F7" w:rsidP="00837029">
      <w:pPr>
        <w:ind w:left="360"/>
        <w:jc w:val="both"/>
        <w:rPr>
          <w:rFonts w:ascii="Times New Roman" w:hAnsi="Times New Roman" w:cs="Times New Roman"/>
          <w:b/>
          <w:bCs/>
          <w:sz w:val="22"/>
          <w:szCs w:val="22"/>
        </w:rPr>
      </w:pPr>
      <w:r w:rsidRPr="00C420AB">
        <w:rPr>
          <w:rFonts w:ascii="Times New Roman" w:hAnsi="Times New Roman" w:cs="Times New Roman"/>
          <w:b/>
          <w:bCs/>
          <w:sz w:val="22"/>
          <w:szCs w:val="22"/>
        </w:rPr>
        <w:t>Technical Knowledge (team-wide)</w:t>
      </w:r>
    </w:p>
    <w:p w14:paraId="5F8F5FDE" w14:textId="5F85AE84" w:rsidR="00A67F96" w:rsidRPr="00C420AB" w:rsidRDefault="00A67F96"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Private sector development instruments (e.g., credit lines, equity, technical assistance)</w:t>
      </w:r>
    </w:p>
    <w:p w14:paraId="1A5D9E31" w14:textId="01B29751" w:rsidR="00A67F96" w:rsidRPr="00C420AB" w:rsidRDefault="00A67F96"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Financial intermediation and development finance frameworks</w:t>
      </w:r>
    </w:p>
    <w:p w14:paraId="22BA6DD5" w14:textId="46FE8B87" w:rsidR="00A67F96" w:rsidRPr="00C420AB" w:rsidRDefault="00A67F96"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Governance, institutional capacity, and regulatory frameworks</w:t>
      </w:r>
    </w:p>
    <w:p w14:paraId="6514421E" w14:textId="40EC9C85" w:rsidR="00A67F96" w:rsidRPr="00C420AB" w:rsidRDefault="00A67F96" w:rsidP="00837029">
      <w:pPr>
        <w:numPr>
          <w:ilvl w:val="0"/>
          <w:numId w:val="20"/>
        </w:numPr>
        <w:jc w:val="both"/>
        <w:rPr>
          <w:rFonts w:ascii="Times New Roman" w:hAnsi="Times New Roman" w:cs="Times New Roman"/>
          <w:sz w:val="22"/>
          <w:szCs w:val="22"/>
        </w:rPr>
      </w:pPr>
      <w:r w:rsidRPr="00C420AB">
        <w:rPr>
          <w:rFonts w:ascii="Times New Roman" w:hAnsi="Times New Roman" w:cs="Times New Roman"/>
          <w:sz w:val="22"/>
          <w:szCs w:val="22"/>
        </w:rPr>
        <w:t>Macroeconomic context and constraints affecting private sector growth</w:t>
      </w:r>
    </w:p>
    <w:p w14:paraId="3A54B85B" w14:textId="68813CD0" w:rsidR="00A67F96" w:rsidRPr="00C420AB" w:rsidRDefault="00A67F96" w:rsidP="00837029">
      <w:pPr>
        <w:numPr>
          <w:ilvl w:val="0"/>
          <w:numId w:val="20"/>
        </w:numPr>
        <w:jc w:val="both"/>
        <w:rPr>
          <w:rFonts w:ascii="Times New Roman" w:hAnsi="Times New Roman" w:cs="Times New Roman"/>
          <w:b/>
          <w:bCs/>
          <w:sz w:val="22"/>
          <w:szCs w:val="22"/>
        </w:rPr>
      </w:pPr>
      <w:r w:rsidRPr="00C420AB">
        <w:rPr>
          <w:rFonts w:ascii="Times New Roman" w:hAnsi="Times New Roman" w:cs="Times New Roman"/>
          <w:sz w:val="22"/>
          <w:szCs w:val="22"/>
        </w:rPr>
        <w:t>Gender equality, inclusion, and social dimensions of PSD (desirable)</w:t>
      </w:r>
    </w:p>
    <w:p w14:paraId="0DC985C5" w14:textId="1AF81545" w:rsidR="007056F7" w:rsidRPr="00C420AB" w:rsidRDefault="007056F7"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Regional Representation</w:t>
      </w:r>
    </w:p>
    <w:p w14:paraId="071D9164" w14:textId="0950A8DA" w:rsidR="007056F7" w:rsidRPr="00C420AB" w:rsidRDefault="007056F7" w:rsidP="00837029">
      <w:pPr>
        <w:numPr>
          <w:ilvl w:val="0"/>
          <w:numId w:val="7"/>
        </w:numPr>
        <w:jc w:val="both"/>
        <w:rPr>
          <w:rFonts w:ascii="Times New Roman" w:hAnsi="Times New Roman" w:cs="Times New Roman"/>
          <w:sz w:val="22"/>
          <w:szCs w:val="22"/>
        </w:rPr>
      </w:pPr>
      <w:r w:rsidRPr="00C420AB">
        <w:rPr>
          <w:rFonts w:ascii="Times New Roman" w:hAnsi="Times New Roman" w:cs="Times New Roman"/>
          <w:sz w:val="22"/>
          <w:szCs w:val="22"/>
        </w:rPr>
        <w:t>Inclusion of team members from the Caribbean and/or with experience in the Caribbean.</w:t>
      </w:r>
    </w:p>
    <w:p w14:paraId="145F4CFF" w14:textId="77777777" w:rsidR="007056F7" w:rsidRPr="00C420AB" w:rsidRDefault="007056F7"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Contextual Understanding and Responsiveness</w:t>
      </w:r>
    </w:p>
    <w:p w14:paraId="271997CC" w14:textId="66BE3CB2" w:rsidR="007056F7" w:rsidRPr="00C420AB" w:rsidRDefault="007056F7" w:rsidP="00837029">
      <w:pPr>
        <w:numPr>
          <w:ilvl w:val="0"/>
          <w:numId w:val="24"/>
        </w:numPr>
        <w:jc w:val="both"/>
        <w:rPr>
          <w:rFonts w:ascii="Times New Roman" w:hAnsi="Times New Roman" w:cs="Times New Roman"/>
          <w:sz w:val="22"/>
          <w:szCs w:val="22"/>
        </w:rPr>
      </w:pPr>
      <w:r w:rsidRPr="00C420AB">
        <w:rPr>
          <w:rFonts w:ascii="Times New Roman" w:hAnsi="Times New Roman" w:cs="Times New Roman"/>
          <w:sz w:val="22"/>
          <w:szCs w:val="22"/>
        </w:rPr>
        <w:t>Evidence of prior engagement with CDB.</w:t>
      </w:r>
    </w:p>
    <w:p w14:paraId="1BE139B0" w14:textId="77777777" w:rsidR="007056F7" w:rsidRPr="00C420AB" w:rsidRDefault="007056F7"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Methodological Innovation</w:t>
      </w:r>
    </w:p>
    <w:p w14:paraId="2A6EE0D7" w14:textId="77777777" w:rsidR="007056F7" w:rsidRPr="00C420AB" w:rsidRDefault="007056F7" w:rsidP="00837029">
      <w:pPr>
        <w:numPr>
          <w:ilvl w:val="0"/>
          <w:numId w:val="15"/>
        </w:numPr>
        <w:jc w:val="both"/>
        <w:rPr>
          <w:rFonts w:ascii="Times New Roman" w:hAnsi="Times New Roman" w:cs="Times New Roman"/>
          <w:sz w:val="22"/>
          <w:szCs w:val="22"/>
        </w:rPr>
      </w:pPr>
      <w:r w:rsidRPr="00C420AB">
        <w:rPr>
          <w:rFonts w:ascii="Times New Roman" w:hAnsi="Times New Roman" w:cs="Times New Roman"/>
          <w:sz w:val="22"/>
          <w:szCs w:val="22"/>
        </w:rPr>
        <w:t>Demonstrated ability to design evaluation frameworks using contribution analysis, process tracing, and comparative learning.</w:t>
      </w:r>
    </w:p>
    <w:p w14:paraId="7AB47204" w14:textId="77777777" w:rsidR="007056F7" w:rsidRPr="00C420AB" w:rsidRDefault="007056F7"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Conflict of Interest Declaration</w:t>
      </w:r>
    </w:p>
    <w:p w14:paraId="532940C0" w14:textId="59CF2081" w:rsidR="00AE7567" w:rsidRPr="00C420AB" w:rsidRDefault="007056F7" w:rsidP="00837029">
      <w:pPr>
        <w:numPr>
          <w:ilvl w:val="0"/>
          <w:numId w:val="6"/>
        </w:numPr>
        <w:jc w:val="both"/>
        <w:rPr>
          <w:rFonts w:ascii="Times New Roman" w:hAnsi="Times New Roman" w:cs="Times New Roman"/>
          <w:sz w:val="22"/>
          <w:szCs w:val="22"/>
        </w:rPr>
      </w:pPr>
      <w:r w:rsidRPr="00C420AB">
        <w:rPr>
          <w:rFonts w:ascii="Times New Roman" w:hAnsi="Times New Roman" w:cs="Times New Roman"/>
          <w:sz w:val="22"/>
          <w:szCs w:val="22"/>
        </w:rPr>
        <w:t>All team members must confirm no conflicts of interest and independence from PBL design or implementation.</w:t>
      </w:r>
    </w:p>
    <w:p w14:paraId="5F46B690" w14:textId="77777777" w:rsidR="00644F0D" w:rsidRPr="00C420AB" w:rsidRDefault="00644F0D" w:rsidP="00837029">
      <w:pPr>
        <w:pStyle w:val="Heading3"/>
        <w:jc w:val="both"/>
        <w:rPr>
          <w:rFonts w:ascii="Times New Roman" w:hAnsi="Times New Roman" w:cs="Times New Roman"/>
          <w:b/>
          <w:bCs/>
          <w:sz w:val="24"/>
          <w:szCs w:val="24"/>
        </w:rPr>
      </w:pPr>
      <w:r w:rsidRPr="00C420AB">
        <w:rPr>
          <w:rFonts w:ascii="Times New Roman" w:hAnsi="Times New Roman" w:cs="Times New Roman"/>
          <w:b/>
          <w:bCs/>
          <w:sz w:val="24"/>
          <w:szCs w:val="24"/>
        </w:rPr>
        <w:t>7. Coordination and Reporting</w:t>
      </w:r>
    </w:p>
    <w:p w14:paraId="152F39D7" w14:textId="77777777" w:rsidR="000960B8" w:rsidRPr="00C420AB" w:rsidRDefault="000960B8" w:rsidP="00837029">
      <w:pPr>
        <w:numPr>
          <w:ilvl w:val="0"/>
          <w:numId w:val="6"/>
        </w:numPr>
        <w:jc w:val="both"/>
        <w:rPr>
          <w:rFonts w:ascii="Times New Roman" w:hAnsi="Times New Roman" w:cs="Times New Roman"/>
          <w:sz w:val="22"/>
          <w:szCs w:val="22"/>
        </w:rPr>
      </w:pPr>
      <w:r w:rsidRPr="00C420AB">
        <w:rPr>
          <w:rFonts w:ascii="Times New Roman" w:hAnsi="Times New Roman" w:cs="Times New Roman"/>
          <w:sz w:val="22"/>
          <w:szCs w:val="22"/>
        </w:rPr>
        <w:t>The evaluation firm will report to the Evaluation Manager, OIE. </w:t>
      </w:r>
    </w:p>
    <w:p w14:paraId="4FCAAD8B" w14:textId="5F23EE51" w:rsidR="000960B8" w:rsidRPr="00C420AB" w:rsidRDefault="000960B8" w:rsidP="00837029">
      <w:pPr>
        <w:numPr>
          <w:ilvl w:val="0"/>
          <w:numId w:val="6"/>
        </w:numPr>
        <w:jc w:val="both"/>
        <w:rPr>
          <w:rFonts w:ascii="Times New Roman" w:hAnsi="Times New Roman" w:cs="Times New Roman"/>
          <w:sz w:val="22"/>
          <w:szCs w:val="22"/>
        </w:rPr>
      </w:pPr>
      <w:r w:rsidRPr="00C420AB">
        <w:rPr>
          <w:rFonts w:ascii="Times New Roman" w:hAnsi="Times New Roman" w:cs="Times New Roman"/>
          <w:sz w:val="22"/>
          <w:szCs w:val="22"/>
        </w:rPr>
        <w:t xml:space="preserve">An Evaluation Reference Group (ERG) will </w:t>
      </w:r>
      <w:r w:rsidR="784D1262" w:rsidRPr="00C420AB">
        <w:rPr>
          <w:rFonts w:ascii="Times New Roman" w:hAnsi="Times New Roman" w:cs="Times New Roman"/>
          <w:sz w:val="22"/>
          <w:szCs w:val="22"/>
        </w:rPr>
        <w:t xml:space="preserve">provide input to, and </w:t>
      </w:r>
      <w:r w:rsidRPr="00C420AB">
        <w:rPr>
          <w:rFonts w:ascii="Times New Roman" w:hAnsi="Times New Roman" w:cs="Times New Roman"/>
          <w:sz w:val="22"/>
          <w:szCs w:val="22"/>
        </w:rPr>
        <w:t>review</w:t>
      </w:r>
      <w:r w:rsidR="31E37A79" w:rsidRPr="00C420AB">
        <w:rPr>
          <w:rFonts w:ascii="Times New Roman" w:hAnsi="Times New Roman" w:cs="Times New Roman"/>
          <w:sz w:val="22"/>
          <w:szCs w:val="22"/>
        </w:rPr>
        <w:t>,</w:t>
      </w:r>
      <w:r w:rsidRPr="00C420AB">
        <w:rPr>
          <w:rFonts w:ascii="Times New Roman" w:hAnsi="Times New Roman" w:cs="Times New Roman"/>
          <w:sz w:val="22"/>
          <w:szCs w:val="22"/>
        </w:rPr>
        <w:t xml:space="preserve"> </w:t>
      </w:r>
      <w:r w:rsidR="7CC567E8" w:rsidRPr="00C420AB">
        <w:rPr>
          <w:rFonts w:ascii="Times New Roman" w:hAnsi="Times New Roman" w:cs="Times New Roman"/>
          <w:sz w:val="22"/>
          <w:szCs w:val="22"/>
        </w:rPr>
        <w:t xml:space="preserve">the </w:t>
      </w:r>
      <w:r w:rsidRPr="00C420AB">
        <w:rPr>
          <w:rFonts w:ascii="Times New Roman" w:hAnsi="Times New Roman" w:cs="Times New Roman"/>
          <w:sz w:val="22"/>
          <w:szCs w:val="22"/>
        </w:rPr>
        <w:t>key deliverables. </w:t>
      </w:r>
    </w:p>
    <w:p w14:paraId="2D708F6E" w14:textId="77777777" w:rsidR="000960B8" w:rsidRPr="00C420AB" w:rsidRDefault="000960B8" w:rsidP="00837029">
      <w:pPr>
        <w:numPr>
          <w:ilvl w:val="0"/>
          <w:numId w:val="6"/>
        </w:numPr>
        <w:jc w:val="both"/>
        <w:rPr>
          <w:rFonts w:ascii="Times New Roman" w:hAnsi="Times New Roman" w:cs="Times New Roman"/>
          <w:sz w:val="22"/>
          <w:szCs w:val="22"/>
        </w:rPr>
      </w:pPr>
      <w:r w:rsidRPr="00C420AB">
        <w:rPr>
          <w:rFonts w:ascii="Times New Roman" w:hAnsi="Times New Roman" w:cs="Times New Roman"/>
          <w:sz w:val="22"/>
          <w:szCs w:val="22"/>
        </w:rPr>
        <w:t> OIE will: </w:t>
      </w:r>
    </w:p>
    <w:p w14:paraId="523B31F2" w14:textId="77777777" w:rsidR="000960B8" w:rsidRPr="00C420AB" w:rsidRDefault="000960B8" w:rsidP="00837029">
      <w:pPr>
        <w:pStyle w:val="paragraph"/>
        <w:numPr>
          <w:ilvl w:val="0"/>
          <w:numId w:val="21"/>
        </w:numPr>
        <w:spacing w:before="0" w:beforeAutospacing="0" w:after="0" w:afterAutospacing="0"/>
        <w:ind w:left="993" w:firstLine="0"/>
        <w:jc w:val="both"/>
        <w:textAlignment w:val="baseline"/>
        <w:rPr>
          <w:sz w:val="22"/>
          <w:szCs w:val="22"/>
        </w:rPr>
      </w:pPr>
      <w:r w:rsidRPr="00C420AB">
        <w:rPr>
          <w:rStyle w:val="normaltextrun"/>
          <w:rFonts w:eastAsiaTheme="majorEastAsia"/>
          <w:color w:val="000000"/>
          <w:sz w:val="22"/>
          <w:szCs w:val="22"/>
          <w:lang w:val="en-029"/>
        </w:rPr>
        <w:t>Provide strategic oversight and ensure compliance with quality standards.</w:t>
      </w:r>
      <w:r w:rsidRPr="00C420AB">
        <w:rPr>
          <w:rStyle w:val="eop"/>
          <w:rFonts w:eastAsiaTheme="majorEastAsia"/>
          <w:color w:val="000000"/>
          <w:sz w:val="22"/>
          <w:szCs w:val="22"/>
        </w:rPr>
        <w:t> </w:t>
      </w:r>
    </w:p>
    <w:p w14:paraId="43F7F997" w14:textId="77777777" w:rsidR="000960B8" w:rsidRPr="00C420AB" w:rsidRDefault="000960B8" w:rsidP="00837029">
      <w:pPr>
        <w:pStyle w:val="paragraph"/>
        <w:numPr>
          <w:ilvl w:val="0"/>
          <w:numId w:val="1"/>
        </w:numPr>
        <w:spacing w:before="0" w:beforeAutospacing="0" w:after="0" w:afterAutospacing="0"/>
        <w:ind w:left="993" w:firstLine="0"/>
        <w:jc w:val="both"/>
        <w:textAlignment w:val="baseline"/>
        <w:rPr>
          <w:sz w:val="22"/>
          <w:szCs w:val="22"/>
        </w:rPr>
      </w:pPr>
      <w:r w:rsidRPr="00C420AB">
        <w:rPr>
          <w:rStyle w:val="normaltextrun"/>
          <w:rFonts w:eastAsiaTheme="majorEastAsia"/>
          <w:color w:val="000000"/>
          <w:sz w:val="22"/>
          <w:szCs w:val="22"/>
          <w:lang w:val="en-029"/>
        </w:rPr>
        <w:t>Coordinate access to documents and stakeholders.</w:t>
      </w:r>
      <w:r w:rsidRPr="00C420AB">
        <w:rPr>
          <w:rStyle w:val="eop"/>
          <w:rFonts w:eastAsiaTheme="majorEastAsia"/>
          <w:color w:val="000000"/>
          <w:sz w:val="22"/>
          <w:szCs w:val="22"/>
        </w:rPr>
        <w:t> </w:t>
      </w:r>
    </w:p>
    <w:p w14:paraId="1B2EE62E" w14:textId="26FBC62D" w:rsidR="000960B8" w:rsidRPr="00C420AB" w:rsidRDefault="000960B8" w:rsidP="721F5949">
      <w:pPr>
        <w:pStyle w:val="paragraph"/>
        <w:numPr>
          <w:ilvl w:val="0"/>
          <w:numId w:val="19"/>
        </w:numPr>
        <w:spacing w:before="0" w:beforeAutospacing="0" w:after="0" w:afterAutospacing="0"/>
        <w:ind w:left="993" w:firstLine="0"/>
        <w:jc w:val="both"/>
        <w:textAlignment w:val="baseline"/>
        <w:rPr>
          <w:rStyle w:val="normaltextrun"/>
          <w:sz w:val="22"/>
          <w:szCs w:val="22"/>
        </w:rPr>
      </w:pPr>
      <w:r w:rsidRPr="00C420AB">
        <w:rPr>
          <w:rStyle w:val="normaltextrun"/>
          <w:rFonts w:eastAsiaTheme="majorEastAsia"/>
          <w:color w:val="000000" w:themeColor="text1"/>
          <w:sz w:val="22"/>
          <w:szCs w:val="22"/>
          <w:lang w:val="en-029"/>
        </w:rPr>
        <w:t xml:space="preserve">Organise </w:t>
      </w:r>
      <w:r w:rsidR="00C399AC" w:rsidRPr="00C420AB">
        <w:rPr>
          <w:rStyle w:val="normaltextrun"/>
          <w:rFonts w:eastAsiaTheme="majorEastAsia"/>
          <w:color w:val="000000" w:themeColor="text1"/>
          <w:sz w:val="22"/>
          <w:szCs w:val="22"/>
          <w:lang w:val="en-029"/>
        </w:rPr>
        <w:t xml:space="preserve">and manage </w:t>
      </w:r>
      <w:r w:rsidRPr="00C420AB">
        <w:rPr>
          <w:rStyle w:val="normaltextrun"/>
          <w:rFonts w:eastAsiaTheme="majorEastAsia"/>
          <w:color w:val="000000" w:themeColor="text1"/>
          <w:sz w:val="22"/>
          <w:szCs w:val="22"/>
          <w:lang w:val="en-029"/>
        </w:rPr>
        <w:t>the Evaluation Reference Group (ERG)</w:t>
      </w:r>
      <w:r w:rsidR="00626BF3" w:rsidRPr="00C420AB">
        <w:rPr>
          <w:rStyle w:val="normaltextrun"/>
          <w:rFonts w:eastAsiaTheme="majorEastAsia"/>
          <w:color w:val="000000" w:themeColor="text1"/>
          <w:sz w:val="22"/>
          <w:szCs w:val="22"/>
          <w:lang w:val="en-029"/>
        </w:rPr>
        <w:t>.</w:t>
      </w:r>
    </w:p>
    <w:p w14:paraId="3ED3FC75" w14:textId="77777777" w:rsidR="00AE7567" w:rsidRPr="00C420AB" w:rsidRDefault="00AE7567" w:rsidP="00837029">
      <w:pPr>
        <w:pStyle w:val="paragraph"/>
        <w:spacing w:before="0" w:beforeAutospacing="0" w:after="0" w:afterAutospacing="0"/>
        <w:ind w:left="993"/>
        <w:jc w:val="both"/>
        <w:textAlignment w:val="baseline"/>
        <w:rPr>
          <w:sz w:val="22"/>
          <w:szCs w:val="22"/>
        </w:rPr>
      </w:pPr>
    </w:p>
    <w:p w14:paraId="6F1F3948" w14:textId="77777777" w:rsidR="00644F0D" w:rsidRPr="00C420AB" w:rsidRDefault="00644F0D" w:rsidP="00837029">
      <w:pPr>
        <w:pStyle w:val="Heading3"/>
        <w:jc w:val="both"/>
        <w:rPr>
          <w:rFonts w:ascii="Times New Roman" w:hAnsi="Times New Roman" w:cs="Times New Roman"/>
          <w:b/>
          <w:bCs/>
          <w:sz w:val="24"/>
          <w:szCs w:val="24"/>
        </w:rPr>
      </w:pPr>
      <w:r w:rsidRPr="00C420AB">
        <w:rPr>
          <w:rFonts w:ascii="Times New Roman" w:hAnsi="Times New Roman" w:cs="Times New Roman"/>
          <w:b/>
          <w:bCs/>
          <w:sz w:val="24"/>
          <w:szCs w:val="24"/>
        </w:rPr>
        <w:t>8. Duration and Level of Effort</w:t>
      </w:r>
    </w:p>
    <w:p w14:paraId="1BE56FC7" w14:textId="0984DAC8" w:rsidR="00644F0D" w:rsidRPr="00C420AB" w:rsidRDefault="00644F0D"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The assignment is expected to run from </w:t>
      </w:r>
      <w:r w:rsidR="00786DA1" w:rsidRPr="00C420AB">
        <w:rPr>
          <w:rFonts w:ascii="Times New Roman" w:hAnsi="Times New Roman" w:cs="Times New Roman"/>
          <w:b/>
          <w:bCs/>
          <w:sz w:val="22"/>
          <w:szCs w:val="22"/>
        </w:rPr>
        <w:t>May-November 2026</w:t>
      </w:r>
      <w:r w:rsidRPr="00C420AB">
        <w:rPr>
          <w:rFonts w:ascii="Times New Roman" w:hAnsi="Times New Roman" w:cs="Times New Roman"/>
          <w:sz w:val="22"/>
          <w:szCs w:val="22"/>
        </w:rPr>
        <w:t xml:space="preserve">, requiring </w:t>
      </w:r>
      <w:r w:rsidR="20129CEC" w:rsidRPr="00C420AB">
        <w:rPr>
          <w:rFonts w:ascii="Times New Roman" w:hAnsi="Times New Roman" w:cs="Times New Roman"/>
          <w:sz w:val="22"/>
          <w:szCs w:val="22"/>
        </w:rPr>
        <w:t xml:space="preserve">up to </w:t>
      </w:r>
      <w:r w:rsidRPr="00C420AB">
        <w:rPr>
          <w:rFonts w:ascii="Times New Roman" w:hAnsi="Times New Roman" w:cs="Times New Roman"/>
          <w:b/>
          <w:bCs/>
          <w:sz w:val="22"/>
          <w:szCs w:val="22"/>
        </w:rPr>
        <w:t>1</w:t>
      </w:r>
      <w:r w:rsidR="002C5647" w:rsidRPr="00C420AB">
        <w:rPr>
          <w:rFonts w:ascii="Times New Roman" w:hAnsi="Times New Roman" w:cs="Times New Roman"/>
          <w:b/>
          <w:bCs/>
          <w:sz w:val="22"/>
          <w:szCs w:val="22"/>
        </w:rPr>
        <w:t>60-180</w:t>
      </w:r>
      <w:r w:rsidRPr="00C420AB">
        <w:rPr>
          <w:rFonts w:ascii="Times New Roman" w:hAnsi="Times New Roman" w:cs="Times New Roman"/>
          <w:b/>
          <w:bCs/>
          <w:sz w:val="22"/>
          <w:szCs w:val="22"/>
        </w:rPr>
        <w:t xml:space="preserve"> person-days</w:t>
      </w:r>
      <w:r w:rsidRPr="00C420AB">
        <w:rPr>
          <w:rFonts w:ascii="Times New Roman" w:hAnsi="Times New Roman" w:cs="Times New Roman"/>
          <w:sz w:val="22"/>
          <w:szCs w:val="22"/>
        </w:rPr>
        <w:t>.</w:t>
      </w:r>
    </w:p>
    <w:p w14:paraId="64D68EC3" w14:textId="77777777" w:rsidR="00AE7567" w:rsidRPr="00C420AB" w:rsidRDefault="00AE7567" w:rsidP="00837029">
      <w:pPr>
        <w:jc w:val="both"/>
        <w:rPr>
          <w:rFonts w:ascii="Times New Roman" w:hAnsi="Times New Roman" w:cs="Times New Roman"/>
          <w:sz w:val="22"/>
          <w:szCs w:val="22"/>
        </w:rPr>
      </w:pPr>
    </w:p>
    <w:p w14:paraId="4BFDD911" w14:textId="77777777" w:rsidR="00644F0D" w:rsidRPr="00C420AB" w:rsidRDefault="00644F0D" w:rsidP="00837029">
      <w:pPr>
        <w:pStyle w:val="Heading3"/>
        <w:jc w:val="both"/>
        <w:rPr>
          <w:rFonts w:ascii="Times New Roman" w:hAnsi="Times New Roman" w:cs="Times New Roman"/>
          <w:b/>
          <w:bCs/>
          <w:sz w:val="24"/>
          <w:szCs w:val="24"/>
        </w:rPr>
      </w:pPr>
      <w:r w:rsidRPr="00C420AB">
        <w:rPr>
          <w:rFonts w:ascii="Times New Roman" w:hAnsi="Times New Roman" w:cs="Times New Roman"/>
          <w:b/>
          <w:bCs/>
          <w:sz w:val="24"/>
          <w:szCs w:val="24"/>
        </w:rPr>
        <w:lastRenderedPageBreak/>
        <w:t>9. Ethical Considerations and Standards</w:t>
      </w:r>
    </w:p>
    <w:p w14:paraId="136F5F06" w14:textId="3C3BC21A" w:rsidR="00334739" w:rsidRPr="00C420AB" w:rsidRDefault="00334739" w:rsidP="00837029">
      <w:pPr>
        <w:jc w:val="both"/>
        <w:rPr>
          <w:rFonts w:ascii="Times New Roman" w:hAnsi="Times New Roman" w:cs="Times New Roman"/>
          <w:sz w:val="22"/>
          <w:szCs w:val="22"/>
        </w:rPr>
      </w:pPr>
      <w:r w:rsidRPr="00C420AB">
        <w:rPr>
          <w:rFonts w:ascii="Times New Roman" w:hAnsi="Times New Roman" w:cs="Times New Roman"/>
          <w:sz w:val="22"/>
          <w:szCs w:val="22"/>
        </w:rPr>
        <w:t xml:space="preserve">This evaluation will be conducted in accordance with </w:t>
      </w:r>
      <w:hyperlink r:id="rId12">
        <w:r w:rsidRPr="00C420AB">
          <w:rPr>
            <w:rStyle w:val="Hyperlink"/>
            <w:rFonts w:ascii="Times New Roman" w:hAnsi="Times New Roman" w:cs="Times New Roman"/>
            <w:sz w:val="22"/>
            <w:szCs w:val="22"/>
          </w:rPr>
          <w:t>CDB’s 2025 Evaluation Policy,</w:t>
        </w:r>
      </w:hyperlink>
      <w:r w:rsidRPr="00C420AB">
        <w:rPr>
          <w:rFonts w:ascii="Times New Roman" w:hAnsi="Times New Roman" w:cs="Times New Roman"/>
          <w:sz w:val="22"/>
          <w:szCs w:val="22"/>
        </w:rPr>
        <w:t xml:space="preserve"> as well as:</w:t>
      </w:r>
    </w:p>
    <w:p w14:paraId="329D353C" w14:textId="77777777" w:rsidR="00334739" w:rsidRPr="00C420AB" w:rsidRDefault="00334739" w:rsidP="00837029">
      <w:pPr>
        <w:numPr>
          <w:ilvl w:val="0"/>
          <w:numId w:val="10"/>
        </w:numPr>
        <w:jc w:val="both"/>
        <w:rPr>
          <w:rFonts w:ascii="Times New Roman" w:hAnsi="Times New Roman" w:cs="Times New Roman"/>
          <w:sz w:val="22"/>
          <w:szCs w:val="22"/>
        </w:rPr>
      </w:pPr>
      <w:hyperlink r:id="rId13" w:history="1">
        <w:r w:rsidRPr="00C420AB">
          <w:rPr>
            <w:rStyle w:val="Hyperlink"/>
            <w:rFonts w:ascii="Times New Roman" w:hAnsi="Times New Roman" w:cs="Times New Roman"/>
            <w:sz w:val="22"/>
            <w:szCs w:val="22"/>
          </w:rPr>
          <w:t>Evaluation Cooperation Group (ECG) Good Practice Standards</w:t>
        </w:r>
      </w:hyperlink>
      <w:r w:rsidRPr="00C420AB">
        <w:rPr>
          <w:rFonts w:ascii="Times New Roman" w:hAnsi="Times New Roman" w:cs="Times New Roman"/>
          <w:sz w:val="22"/>
          <w:szCs w:val="22"/>
        </w:rPr>
        <w:t>;</w:t>
      </w:r>
    </w:p>
    <w:p w14:paraId="54100049" w14:textId="77777777" w:rsidR="00334739" w:rsidRPr="00C420AB" w:rsidRDefault="00334739" w:rsidP="00837029">
      <w:pPr>
        <w:numPr>
          <w:ilvl w:val="0"/>
          <w:numId w:val="10"/>
        </w:numPr>
        <w:jc w:val="both"/>
        <w:rPr>
          <w:rFonts w:ascii="Times New Roman" w:hAnsi="Times New Roman" w:cs="Times New Roman"/>
          <w:sz w:val="22"/>
          <w:szCs w:val="22"/>
        </w:rPr>
      </w:pPr>
      <w:hyperlink r:id="rId14" w:history="1">
        <w:r w:rsidRPr="00C420AB">
          <w:rPr>
            <w:rStyle w:val="Hyperlink"/>
            <w:rFonts w:ascii="Times New Roman" w:hAnsi="Times New Roman" w:cs="Times New Roman"/>
            <w:sz w:val="22"/>
            <w:szCs w:val="22"/>
          </w:rPr>
          <w:t>OECD-DAC evaluation criteria</w:t>
        </w:r>
      </w:hyperlink>
      <w:r w:rsidRPr="00C420AB">
        <w:rPr>
          <w:rFonts w:ascii="Times New Roman" w:hAnsi="Times New Roman" w:cs="Times New Roman"/>
          <w:sz w:val="22"/>
          <w:szCs w:val="22"/>
        </w:rPr>
        <w:t>;</w:t>
      </w:r>
    </w:p>
    <w:p w14:paraId="04E7C0EC" w14:textId="77777777" w:rsidR="00334739" w:rsidRPr="00C420AB" w:rsidRDefault="00334739" w:rsidP="00837029">
      <w:pPr>
        <w:numPr>
          <w:ilvl w:val="0"/>
          <w:numId w:val="10"/>
        </w:numPr>
        <w:jc w:val="both"/>
        <w:rPr>
          <w:rFonts w:ascii="Times New Roman" w:hAnsi="Times New Roman" w:cs="Times New Roman"/>
          <w:sz w:val="22"/>
          <w:szCs w:val="22"/>
        </w:rPr>
      </w:pPr>
      <w:hyperlink r:id="rId15" w:history="1">
        <w:r w:rsidRPr="00C420AB">
          <w:rPr>
            <w:rStyle w:val="Hyperlink"/>
            <w:rFonts w:ascii="Times New Roman" w:hAnsi="Times New Roman" w:cs="Times New Roman"/>
            <w:sz w:val="22"/>
            <w:szCs w:val="22"/>
          </w:rPr>
          <w:t>United Nations Evaluation Group (UNEG) ethical guidelines</w:t>
        </w:r>
      </w:hyperlink>
      <w:r w:rsidRPr="00C420AB">
        <w:rPr>
          <w:rFonts w:ascii="Times New Roman" w:hAnsi="Times New Roman" w:cs="Times New Roman"/>
          <w:sz w:val="22"/>
          <w:szCs w:val="22"/>
        </w:rPr>
        <w:t>.</w:t>
      </w:r>
    </w:p>
    <w:p w14:paraId="49E0CD63" w14:textId="77777777" w:rsidR="00334739" w:rsidRPr="00C420AB" w:rsidRDefault="00334739" w:rsidP="00837029">
      <w:pPr>
        <w:jc w:val="both"/>
        <w:rPr>
          <w:rFonts w:ascii="Times New Roman" w:hAnsi="Times New Roman" w:cs="Times New Roman"/>
          <w:sz w:val="22"/>
          <w:szCs w:val="22"/>
        </w:rPr>
      </w:pPr>
      <w:r w:rsidRPr="00C420AB">
        <w:rPr>
          <w:rFonts w:ascii="Times New Roman" w:hAnsi="Times New Roman" w:cs="Times New Roman"/>
          <w:sz w:val="22"/>
          <w:szCs w:val="22"/>
        </w:rPr>
        <w:t>Evaluators will adhere to principles of independence, impartiality, confidentiality, and integrity.</w:t>
      </w:r>
    </w:p>
    <w:p w14:paraId="50343CE2" w14:textId="77777777" w:rsidR="00334739" w:rsidRPr="00C420AB" w:rsidRDefault="00334739" w:rsidP="00837029">
      <w:pPr>
        <w:jc w:val="both"/>
        <w:rPr>
          <w:rFonts w:ascii="Times New Roman" w:hAnsi="Times New Roman" w:cs="Times New Roman"/>
          <w:sz w:val="22"/>
          <w:szCs w:val="22"/>
        </w:rPr>
      </w:pPr>
      <w:r w:rsidRPr="00C420AB">
        <w:rPr>
          <w:rFonts w:ascii="Times New Roman" w:hAnsi="Times New Roman" w:cs="Times New Roman"/>
          <w:sz w:val="22"/>
          <w:szCs w:val="22"/>
        </w:rPr>
        <w:t>Sensitive information related to non-sovereign operations will be treated with strict confidentiality and reported in aggregated or anonymized form where required.</w:t>
      </w:r>
    </w:p>
    <w:p w14:paraId="7F1095D8" w14:textId="77777777" w:rsidR="00334739" w:rsidRPr="00C420AB" w:rsidRDefault="00334739" w:rsidP="00837029">
      <w:pPr>
        <w:jc w:val="both"/>
        <w:rPr>
          <w:rFonts w:ascii="Times New Roman" w:hAnsi="Times New Roman" w:cs="Times New Roman"/>
          <w:sz w:val="22"/>
          <w:szCs w:val="22"/>
        </w:rPr>
      </w:pPr>
      <w:r w:rsidRPr="00C420AB">
        <w:rPr>
          <w:rFonts w:ascii="Times New Roman" w:hAnsi="Times New Roman" w:cs="Times New Roman"/>
          <w:sz w:val="22"/>
          <w:szCs w:val="22"/>
        </w:rPr>
        <w:t>All deliverables will undergo systematic quality assurance review by OIE to ensure methodological rigor, robust evidence, credibility, and clarity of recommendations.</w:t>
      </w:r>
    </w:p>
    <w:p w14:paraId="0A1DAA61" w14:textId="77777777" w:rsidR="00A67F96" w:rsidRPr="00C420AB" w:rsidRDefault="00A67F96" w:rsidP="00837029">
      <w:pPr>
        <w:jc w:val="both"/>
        <w:rPr>
          <w:rFonts w:ascii="Times New Roman" w:hAnsi="Times New Roman" w:cs="Times New Roman"/>
          <w:sz w:val="22"/>
          <w:szCs w:val="22"/>
        </w:rPr>
      </w:pPr>
    </w:p>
    <w:p w14:paraId="627BC43B" w14:textId="0A6AF7B1" w:rsidR="00E4775B" w:rsidRPr="00C420AB" w:rsidRDefault="00E4775B" w:rsidP="00837029">
      <w:pPr>
        <w:pStyle w:val="Heading3"/>
        <w:jc w:val="both"/>
        <w:rPr>
          <w:rFonts w:ascii="Times New Roman" w:hAnsi="Times New Roman" w:cs="Times New Roman"/>
          <w:b/>
          <w:bCs/>
          <w:sz w:val="24"/>
          <w:szCs w:val="24"/>
        </w:rPr>
      </w:pPr>
      <w:r w:rsidRPr="00C420AB">
        <w:rPr>
          <w:rFonts w:ascii="Times New Roman" w:hAnsi="Times New Roman" w:cs="Times New Roman"/>
          <w:b/>
          <w:bCs/>
          <w:sz w:val="24"/>
          <w:szCs w:val="24"/>
        </w:rPr>
        <w:t>10. Proposal Requirements</w:t>
      </w:r>
    </w:p>
    <w:p w14:paraId="041A79A3" w14:textId="0207E7F2" w:rsidR="0095225B" w:rsidRPr="00C420AB" w:rsidRDefault="0095225B" w:rsidP="00837029">
      <w:pPr>
        <w:jc w:val="both"/>
        <w:rPr>
          <w:rFonts w:ascii="Times New Roman" w:hAnsi="Times New Roman" w:cs="Times New Roman"/>
          <w:sz w:val="22"/>
          <w:szCs w:val="22"/>
        </w:rPr>
      </w:pPr>
      <w:r w:rsidRPr="00C420AB">
        <w:rPr>
          <w:rFonts w:ascii="Times New Roman" w:hAnsi="Times New Roman" w:cs="Times New Roman"/>
          <w:sz w:val="22"/>
          <w:szCs w:val="22"/>
          <w:lang w:val="en-029"/>
        </w:rPr>
        <w:t>Firms that express an interest</w:t>
      </w:r>
      <w:r w:rsidR="00C71C91" w:rsidRPr="00C420AB">
        <w:rPr>
          <w:rFonts w:ascii="Times New Roman" w:hAnsi="Times New Roman" w:cs="Times New Roman"/>
          <w:sz w:val="22"/>
          <w:szCs w:val="22"/>
          <w:lang w:val="en-029"/>
        </w:rPr>
        <w:t xml:space="preserve"> by 13 April 2026</w:t>
      </w:r>
      <w:r w:rsidRPr="00C420AB">
        <w:rPr>
          <w:rFonts w:ascii="Times New Roman" w:hAnsi="Times New Roman" w:cs="Times New Roman"/>
          <w:sz w:val="22"/>
          <w:szCs w:val="22"/>
          <w:lang w:val="en-029"/>
        </w:rPr>
        <w:t xml:space="preserve"> and are selected for </w:t>
      </w:r>
      <w:r w:rsidR="003F3B61" w:rsidRPr="00C420AB">
        <w:rPr>
          <w:rFonts w:ascii="Times New Roman" w:hAnsi="Times New Roman" w:cs="Times New Roman"/>
          <w:sz w:val="22"/>
          <w:szCs w:val="22"/>
          <w:lang w:val="en-029"/>
        </w:rPr>
        <w:t xml:space="preserve">the </w:t>
      </w:r>
      <w:r w:rsidRPr="00C420AB">
        <w:rPr>
          <w:rFonts w:ascii="Times New Roman" w:hAnsi="Times New Roman" w:cs="Times New Roman"/>
          <w:sz w:val="22"/>
          <w:szCs w:val="22"/>
          <w:lang w:val="en-029"/>
        </w:rPr>
        <w:t xml:space="preserve">next step will be notified by </w:t>
      </w:r>
      <w:r w:rsidR="63B79586" w:rsidRPr="00C420AB">
        <w:rPr>
          <w:rFonts w:ascii="Times New Roman" w:hAnsi="Times New Roman" w:cs="Times New Roman"/>
          <w:sz w:val="22"/>
          <w:szCs w:val="22"/>
          <w:lang w:val="en-029"/>
        </w:rPr>
        <w:t xml:space="preserve">15 April </w:t>
      </w:r>
      <w:r w:rsidR="706F3C85" w:rsidRPr="00C420AB">
        <w:rPr>
          <w:rFonts w:ascii="Times New Roman" w:hAnsi="Times New Roman" w:cs="Times New Roman"/>
          <w:sz w:val="22"/>
          <w:szCs w:val="22"/>
          <w:lang w:val="en-029"/>
        </w:rPr>
        <w:t xml:space="preserve">2026 </w:t>
      </w:r>
      <w:r w:rsidR="004267E4" w:rsidRPr="00C420AB">
        <w:rPr>
          <w:rFonts w:ascii="Times New Roman" w:hAnsi="Times New Roman" w:cs="Times New Roman"/>
          <w:sz w:val="22"/>
          <w:szCs w:val="22"/>
          <w:lang w:val="en-029"/>
        </w:rPr>
        <w:t xml:space="preserve">and </w:t>
      </w:r>
      <w:r w:rsidRPr="00C420AB">
        <w:rPr>
          <w:rFonts w:ascii="Times New Roman" w:hAnsi="Times New Roman" w:cs="Times New Roman"/>
          <w:sz w:val="22"/>
          <w:szCs w:val="22"/>
          <w:lang w:val="en-029"/>
        </w:rPr>
        <w:t>should then be prepared to submit </w:t>
      </w:r>
      <w:r w:rsidR="15874401" w:rsidRPr="00C420AB">
        <w:rPr>
          <w:rFonts w:ascii="Times New Roman" w:hAnsi="Times New Roman" w:cs="Times New Roman"/>
          <w:sz w:val="22"/>
          <w:szCs w:val="22"/>
          <w:lang w:val="en-029"/>
        </w:rPr>
        <w:t xml:space="preserve">the full documentation </w:t>
      </w:r>
      <w:r w:rsidRPr="00C420AB">
        <w:rPr>
          <w:rFonts w:ascii="Times New Roman" w:hAnsi="Times New Roman" w:cs="Times New Roman"/>
          <w:sz w:val="22"/>
          <w:szCs w:val="22"/>
          <w:lang w:val="en-029"/>
        </w:rPr>
        <w:t xml:space="preserve">by </w:t>
      </w:r>
      <w:r w:rsidR="40EB262B" w:rsidRPr="00C420AB">
        <w:rPr>
          <w:rFonts w:ascii="Times New Roman" w:hAnsi="Times New Roman" w:cs="Times New Roman"/>
          <w:sz w:val="22"/>
          <w:szCs w:val="22"/>
          <w:lang w:val="en-029"/>
        </w:rPr>
        <w:t>5</w:t>
      </w:r>
      <w:r w:rsidR="1E12E203" w:rsidRPr="00C420AB">
        <w:rPr>
          <w:rFonts w:ascii="Times New Roman" w:hAnsi="Times New Roman" w:cs="Times New Roman"/>
          <w:sz w:val="22"/>
          <w:szCs w:val="22"/>
          <w:lang w:val="en-029"/>
        </w:rPr>
        <w:t xml:space="preserve"> </w:t>
      </w:r>
      <w:r w:rsidR="100017F0" w:rsidRPr="00C420AB">
        <w:rPr>
          <w:rFonts w:ascii="Times New Roman" w:hAnsi="Times New Roman" w:cs="Times New Roman"/>
          <w:sz w:val="22"/>
          <w:szCs w:val="22"/>
          <w:lang w:val="en-029"/>
        </w:rPr>
        <w:t xml:space="preserve">May </w:t>
      </w:r>
      <w:r w:rsidRPr="00C420AB">
        <w:rPr>
          <w:rFonts w:ascii="Times New Roman" w:hAnsi="Times New Roman" w:cs="Times New Roman"/>
          <w:sz w:val="22"/>
          <w:szCs w:val="22"/>
          <w:lang w:val="en-029"/>
        </w:rPr>
        <w:t>2026:</w:t>
      </w:r>
      <w:r w:rsidRPr="00C420AB">
        <w:rPr>
          <w:rFonts w:ascii="Times New Roman" w:hAnsi="Times New Roman" w:cs="Times New Roman"/>
          <w:sz w:val="22"/>
          <w:szCs w:val="22"/>
        </w:rPr>
        <w:t> </w:t>
      </w:r>
    </w:p>
    <w:p w14:paraId="06B925E1" w14:textId="77777777" w:rsidR="0095225B" w:rsidRPr="00C420AB" w:rsidRDefault="0095225B" w:rsidP="00837029">
      <w:pPr>
        <w:numPr>
          <w:ilvl w:val="0"/>
          <w:numId w:val="2"/>
        </w:numPr>
        <w:jc w:val="both"/>
        <w:rPr>
          <w:rFonts w:ascii="Times New Roman" w:hAnsi="Times New Roman" w:cs="Times New Roman"/>
          <w:sz w:val="22"/>
          <w:szCs w:val="22"/>
        </w:rPr>
      </w:pPr>
      <w:r w:rsidRPr="00C420AB">
        <w:rPr>
          <w:rFonts w:ascii="Times New Roman" w:hAnsi="Times New Roman" w:cs="Times New Roman"/>
          <w:sz w:val="22"/>
          <w:szCs w:val="22"/>
          <w:lang w:val="en-029"/>
        </w:rPr>
        <w:t>A technical proposal outlining methodology, team composition, and work plan.</w:t>
      </w:r>
      <w:r w:rsidRPr="00C420AB">
        <w:rPr>
          <w:rFonts w:ascii="Times New Roman" w:hAnsi="Times New Roman" w:cs="Times New Roman"/>
          <w:sz w:val="22"/>
          <w:szCs w:val="22"/>
        </w:rPr>
        <w:t> </w:t>
      </w:r>
    </w:p>
    <w:p w14:paraId="07EEDD0B" w14:textId="77777777" w:rsidR="0095225B" w:rsidRPr="00C420AB" w:rsidRDefault="0095225B" w:rsidP="00837029">
      <w:pPr>
        <w:numPr>
          <w:ilvl w:val="0"/>
          <w:numId w:val="4"/>
        </w:numPr>
        <w:jc w:val="both"/>
        <w:rPr>
          <w:rFonts w:ascii="Times New Roman" w:hAnsi="Times New Roman" w:cs="Times New Roman"/>
          <w:sz w:val="22"/>
          <w:szCs w:val="22"/>
        </w:rPr>
      </w:pPr>
      <w:r w:rsidRPr="00C420AB">
        <w:rPr>
          <w:rFonts w:ascii="Times New Roman" w:hAnsi="Times New Roman" w:cs="Times New Roman"/>
          <w:sz w:val="22"/>
          <w:szCs w:val="22"/>
          <w:lang w:val="en-029"/>
        </w:rPr>
        <w:t>A financial proposal.</w:t>
      </w:r>
      <w:r w:rsidRPr="00C420AB">
        <w:rPr>
          <w:rFonts w:ascii="Times New Roman" w:hAnsi="Times New Roman" w:cs="Times New Roman"/>
          <w:sz w:val="22"/>
          <w:szCs w:val="22"/>
        </w:rPr>
        <w:t> </w:t>
      </w:r>
    </w:p>
    <w:p w14:paraId="71A29A3A" w14:textId="77777777" w:rsidR="0095225B" w:rsidRPr="00C420AB" w:rsidRDefault="0095225B" w:rsidP="00837029">
      <w:pPr>
        <w:numPr>
          <w:ilvl w:val="0"/>
          <w:numId w:val="27"/>
        </w:numPr>
        <w:jc w:val="both"/>
        <w:rPr>
          <w:rFonts w:ascii="Times New Roman" w:hAnsi="Times New Roman" w:cs="Times New Roman"/>
          <w:sz w:val="22"/>
          <w:szCs w:val="22"/>
        </w:rPr>
      </w:pPr>
      <w:r w:rsidRPr="00C420AB">
        <w:rPr>
          <w:rFonts w:ascii="Times New Roman" w:hAnsi="Times New Roman" w:cs="Times New Roman"/>
          <w:sz w:val="22"/>
          <w:szCs w:val="22"/>
          <w:lang w:val="en-029"/>
        </w:rPr>
        <w:t>CVs of proposed team members.</w:t>
      </w:r>
      <w:r w:rsidRPr="00C420AB">
        <w:rPr>
          <w:rFonts w:ascii="Times New Roman" w:hAnsi="Times New Roman" w:cs="Times New Roman"/>
          <w:sz w:val="22"/>
          <w:szCs w:val="22"/>
        </w:rPr>
        <w:t> </w:t>
      </w:r>
    </w:p>
    <w:p w14:paraId="06039BDC" w14:textId="77777777" w:rsidR="0095225B" w:rsidRPr="00C420AB" w:rsidRDefault="0095225B" w:rsidP="00837029">
      <w:pPr>
        <w:numPr>
          <w:ilvl w:val="0"/>
          <w:numId w:val="5"/>
        </w:numPr>
        <w:jc w:val="both"/>
        <w:rPr>
          <w:rFonts w:ascii="Times New Roman" w:hAnsi="Times New Roman" w:cs="Times New Roman"/>
          <w:sz w:val="22"/>
          <w:szCs w:val="22"/>
        </w:rPr>
      </w:pPr>
      <w:r w:rsidRPr="00C420AB">
        <w:rPr>
          <w:rFonts w:ascii="Times New Roman" w:hAnsi="Times New Roman" w:cs="Times New Roman"/>
          <w:sz w:val="22"/>
          <w:szCs w:val="22"/>
          <w:lang w:val="en-029"/>
        </w:rPr>
        <w:t>References from at least three similar evaluations conducted in the last five years.</w:t>
      </w:r>
      <w:r w:rsidRPr="00C420AB">
        <w:rPr>
          <w:rFonts w:ascii="Times New Roman" w:hAnsi="Times New Roman" w:cs="Times New Roman"/>
          <w:sz w:val="22"/>
          <w:szCs w:val="22"/>
        </w:rPr>
        <w:t> </w:t>
      </w:r>
    </w:p>
    <w:p w14:paraId="5ECC4AD5" w14:textId="55E181A6" w:rsidR="721F5949" w:rsidRPr="00C420AB" w:rsidRDefault="721F5949" w:rsidP="721F5949">
      <w:pPr>
        <w:jc w:val="both"/>
        <w:rPr>
          <w:rFonts w:ascii="Times New Roman" w:hAnsi="Times New Roman" w:cs="Times New Roman"/>
          <w:sz w:val="22"/>
          <w:szCs w:val="22"/>
        </w:rPr>
      </w:pPr>
    </w:p>
    <w:p w14:paraId="20D3431D" w14:textId="38183D86" w:rsidR="00C73E1B" w:rsidRPr="00C420AB" w:rsidRDefault="00C73E1B" w:rsidP="00837029">
      <w:pPr>
        <w:pStyle w:val="Heading3"/>
        <w:jc w:val="both"/>
        <w:rPr>
          <w:rFonts w:ascii="Times New Roman" w:hAnsi="Times New Roman" w:cs="Times New Roman"/>
          <w:b/>
          <w:bCs/>
          <w:sz w:val="24"/>
          <w:szCs w:val="24"/>
        </w:rPr>
      </w:pPr>
      <w:r w:rsidRPr="00C420AB">
        <w:rPr>
          <w:rFonts w:ascii="Times New Roman" w:hAnsi="Times New Roman" w:cs="Times New Roman"/>
          <w:b/>
          <w:bCs/>
          <w:sz w:val="24"/>
          <w:szCs w:val="24"/>
        </w:rPr>
        <w:t>Annex 1 – Evaluation</w:t>
      </w:r>
      <w:r w:rsidR="00814BFF" w:rsidRPr="00C420AB">
        <w:rPr>
          <w:rFonts w:ascii="Times New Roman" w:hAnsi="Times New Roman" w:cs="Times New Roman"/>
          <w:b/>
          <w:bCs/>
          <w:sz w:val="24"/>
          <w:szCs w:val="24"/>
        </w:rPr>
        <w:t xml:space="preserve"> Criteria</w:t>
      </w:r>
      <w:r w:rsidRPr="00C420AB">
        <w:rPr>
          <w:rFonts w:ascii="Times New Roman" w:hAnsi="Times New Roman" w:cs="Times New Roman"/>
          <w:b/>
          <w:bCs/>
          <w:sz w:val="24"/>
          <w:szCs w:val="24"/>
        </w:rPr>
        <w:t xml:space="preserve"> Questions</w:t>
      </w:r>
    </w:p>
    <w:p w14:paraId="6B28AB11" w14:textId="613ADB81" w:rsidR="00155872" w:rsidRPr="00C420AB" w:rsidRDefault="00155872" w:rsidP="00837029">
      <w:pPr>
        <w:jc w:val="both"/>
        <w:rPr>
          <w:rFonts w:ascii="Times New Roman" w:hAnsi="Times New Roman" w:cs="Times New Roman"/>
          <w:sz w:val="22"/>
          <w:szCs w:val="22"/>
        </w:rPr>
      </w:pPr>
      <w:r w:rsidRPr="00C420AB">
        <w:rPr>
          <w:rFonts w:ascii="Times New Roman" w:hAnsi="Times New Roman" w:cs="Times New Roman"/>
          <w:sz w:val="22"/>
          <w:szCs w:val="22"/>
        </w:rPr>
        <w:t>The evaluation is structured around five analytical dimensions consistent with OECD-DAC criteria and MDB private sector evaluation practice.</w:t>
      </w:r>
    </w:p>
    <w:p w14:paraId="123799EC"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Overarching Question</w:t>
      </w:r>
    </w:p>
    <w:p w14:paraId="7A18B831" w14:textId="787AC9E5"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i/>
          <w:iCs/>
          <w:sz w:val="22"/>
          <w:szCs w:val="22"/>
        </w:rPr>
        <w:t xml:space="preserve">To what extent has CDB’s evolving private sector model contributed to or positioned to contribute to strengthening entrepreneurial ecosystems, </w:t>
      </w:r>
      <w:proofErr w:type="spellStart"/>
      <w:r w:rsidRPr="00C420AB">
        <w:rPr>
          <w:rFonts w:ascii="Times New Roman" w:hAnsi="Times New Roman" w:cs="Times New Roman"/>
          <w:i/>
          <w:iCs/>
          <w:sz w:val="22"/>
          <w:szCs w:val="22"/>
        </w:rPr>
        <w:t>mobilise</w:t>
      </w:r>
      <w:proofErr w:type="spellEnd"/>
      <w:r w:rsidRPr="00C420AB">
        <w:rPr>
          <w:rFonts w:ascii="Times New Roman" w:hAnsi="Times New Roman" w:cs="Times New Roman"/>
          <w:i/>
          <w:iCs/>
          <w:sz w:val="22"/>
          <w:szCs w:val="22"/>
        </w:rPr>
        <w:t xml:space="preserve"> private capital, and enhance economic resilience in Borrowing Member Countries</w:t>
      </w:r>
      <w:r w:rsidR="0011608A" w:rsidRPr="00C420AB">
        <w:rPr>
          <w:rFonts w:ascii="Times New Roman" w:hAnsi="Times New Roman" w:cs="Times New Roman"/>
          <w:i/>
          <w:iCs/>
          <w:sz w:val="22"/>
          <w:szCs w:val="22"/>
        </w:rPr>
        <w:t xml:space="preserve"> (BMCs)</w:t>
      </w:r>
      <w:r w:rsidRPr="00C420AB">
        <w:rPr>
          <w:rFonts w:ascii="Times New Roman" w:hAnsi="Times New Roman" w:cs="Times New Roman"/>
          <w:i/>
          <w:iCs/>
          <w:sz w:val="22"/>
          <w:szCs w:val="22"/>
        </w:rPr>
        <w:t>?</w:t>
      </w:r>
    </w:p>
    <w:p w14:paraId="215F1841"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1. Strategic Relevance and Coherence</w:t>
      </w:r>
    </w:p>
    <w:p w14:paraId="5832312E"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EQ1. How well do CDB’s private sector operations align with BMC needs, market gaps, and the Bank’s broader institutional strategies?</w:t>
      </w:r>
    </w:p>
    <w:p w14:paraId="18959B10" w14:textId="77777777" w:rsidR="00155872" w:rsidRPr="00C420AB" w:rsidRDefault="00155872" w:rsidP="00837029">
      <w:pPr>
        <w:numPr>
          <w:ilvl w:val="0"/>
          <w:numId w:val="13"/>
        </w:numPr>
        <w:jc w:val="both"/>
        <w:rPr>
          <w:rFonts w:ascii="Times New Roman" w:hAnsi="Times New Roman" w:cs="Times New Roman"/>
          <w:sz w:val="22"/>
          <w:szCs w:val="22"/>
        </w:rPr>
      </w:pPr>
      <w:r w:rsidRPr="00C420AB">
        <w:rPr>
          <w:rFonts w:ascii="Times New Roman" w:hAnsi="Times New Roman" w:cs="Times New Roman"/>
          <w:sz w:val="22"/>
          <w:szCs w:val="22"/>
        </w:rPr>
        <w:t>This includes assessing the coherence between non-sovereign operations, sovereign lending, and technical assistance to ensure a "One-Bank" approach to private sector development.</w:t>
      </w:r>
    </w:p>
    <w:p w14:paraId="3E6A7720" w14:textId="77777777" w:rsidR="00155872" w:rsidRPr="00C420AB" w:rsidRDefault="00155872" w:rsidP="00837029">
      <w:pPr>
        <w:numPr>
          <w:ilvl w:val="0"/>
          <w:numId w:val="13"/>
        </w:numPr>
        <w:jc w:val="both"/>
        <w:rPr>
          <w:rFonts w:ascii="Times New Roman" w:hAnsi="Times New Roman" w:cs="Times New Roman"/>
          <w:sz w:val="22"/>
          <w:szCs w:val="22"/>
        </w:rPr>
      </w:pPr>
      <w:r w:rsidRPr="00C420AB">
        <w:rPr>
          <w:rFonts w:ascii="Times New Roman" w:hAnsi="Times New Roman" w:cs="Times New Roman"/>
          <w:sz w:val="22"/>
          <w:szCs w:val="22"/>
        </w:rPr>
        <w:lastRenderedPageBreak/>
        <w:t>Assessment of the portfolio’s credit quality evolution, risk-adjusted returns, and impact on capital ratios to ensure growth is strategically sustainable.</w:t>
      </w:r>
    </w:p>
    <w:p w14:paraId="1568D6F3"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2. Effectiveness and Development Results</w:t>
      </w:r>
    </w:p>
    <w:p w14:paraId="720AF753"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EQ2. To what extent has the Bank achieved intended development outcomes across the two strategy periods?</w:t>
      </w:r>
    </w:p>
    <w:p w14:paraId="29BF1D32" w14:textId="77777777" w:rsidR="00155872" w:rsidRPr="00C420AB" w:rsidRDefault="00155872" w:rsidP="00837029">
      <w:pPr>
        <w:numPr>
          <w:ilvl w:val="0"/>
          <w:numId w:val="12"/>
        </w:numPr>
        <w:jc w:val="both"/>
        <w:rPr>
          <w:rFonts w:ascii="Times New Roman" w:hAnsi="Times New Roman" w:cs="Times New Roman"/>
          <w:sz w:val="22"/>
          <w:szCs w:val="22"/>
        </w:rPr>
      </w:pPr>
      <w:r w:rsidRPr="00C420AB">
        <w:rPr>
          <w:rFonts w:ascii="Times New Roman" w:hAnsi="Times New Roman" w:cs="Times New Roman"/>
          <w:sz w:val="22"/>
          <w:szCs w:val="22"/>
        </w:rPr>
        <w:t>Phase I (2017–2022): What were the realized development results under the intermediary-led model?</w:t>
      </w:r>
    </w:p>
    <w:p w14:paraId="23CFCC53" w14:textId="77777777" w:rsidR="00155872" w:rsidRPr="00C420AB" w:rsidRDefault="00155872" w:rsidP="00837029">
      <w:pPr>
        <w:numPr>
          <w:ilvl w:val="0"/>
          <w:numId w:val="12"/>
        </w:numPr>
        <w:jc w:val="both"/>
        <w:rPr>
          <w:rFonts w:ascii="Times New Roman" w:hAnsi="Times New Roman" w:cs="Times New Roman"/>
          <w:sz w:val="22"/>
          <w:szCs w:val="22"/>
        </w:rPr>
      </w:pPr>
      <w:r w:rsidRPr="00C420AB">
        <w:rPr>
          <w:rFonts w:ascii="Times New Roman" w:hAnsi="Times New Roman" w:cs="Times New Roman"/>
          <w:sz w:val="22"/>
          <w:szCs w:val="22"/>
        </w:rPr>
        <w:t>Phase II (2023–2025): What are the early signs of effectiveness for the expanded instruments, and are the current results frameworks adequate for capturing future outcomes?</w:t>
      </w:r>
    </w:p>
    <w:p w14:paraId="75DE58BA"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3. Additionality and Catalytic Impact</w:t>
      </w:r>
    </w:p>
    <w:p w14:paraId="6DFEC9D5"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EQ3. What evidence exists of CDB’s financial and non-financial additionality in its private sector engagements?</w:t>
      </w:r>
    </w:p>
    <w:p w14:paraId="6291F0BB" w14:textId="77777777" w:rsidR="00155872" w:rsidRPr="00C420AB" w:rsidRDefault="00155872" w:rsidP="00837029">
      <w:pPr>
        <w:numPr>
          <w:ilvl w:val="0"/>
          <w:numId w:val="16"/>
        </w:numPr>
        <w:jc w:val="both"/>
        <w:rPr>
          <w:rFonts w:ascii="Times New Roman" w:hAnsi="Times New Roman" w:cs="Times New Roman"/>
          <w:sz w:val="22"/>
          <w:szCs w:val="22"/>
        </w:rPr>
      </w:pPr>
      <w:r w:rsidRPr="00C420AB">
        <w:rPr>
          <w:rFonts w:ascii="Times New Roman" w:hAnsi="Times New Roman" w:cs="Times New Roman"/>
          <w:sz w:val="22"/>
          <w:szCs w:val="22"/>
        </w:rPr>
        <w:t>Evaluation of the risk-additionality nexus: Has the Bank demonstrated a unique value proposition (e.g., tenure extension, policy dialogue, ESG standards) that catalyzed or "crowded-in" private capital into underserved markets?</w:t>
      </w:r>
    </w:p>
    <w:p w14:paraId="13CD159F"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4. Mobilization and Capital Efficiency</w:t>
      </w:r>
    </w:p>
    <w:p w14:paraId="3DC32684"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EQ4. How effectively has the Bank utilized its balance sheet to mobilize private capital?</w:t>
      </w:r>
    </w:p>
    <w:p w14:paraId="02A960D0" w14:textId="77777777" w:rsidR="00155872" w:rsidRPr="00C420AB" w:rsidRDefault="00155872" w:rsidP="00837029">
      <w:pPr>
        <w:numPr>
          <w:ilvl w:val="0"/>
          <w:numId w:val="26"/>
        </w:numPr>
        <w:jc w:val="both"/>
        <w:rPr>
          <w:rFonts w:ascii="Times New Roman" w:hAnsi="Times New Roman" w:cs="Times New Roman"/>
          <w:sz w:val="22"/>
          <w:szCs w:val="22"/>
        </w:rPr>
      </w:pPr>
      <w:r w:rsidRPr="00C420AB">
        <w:rPr>
          <w:rFonts w:ascii="Times New Roman" w:hAnsi="Times New Roman" w:cs="Times New Roman"/>
          <w:sz w:val="22"/>
          <w:szCs w:val="22"/>
        </w:rPr>
        <w:t>Analysis of mobilization and leverage ratios relative to strategic targets.</w:t>
      </w:r>
    </w:p>
    <w:p w14:paraId="4AF811BF" w14:textId="24828226" w:rsidR="00B97BB2" w:rsidRPr="00C420AB" w:rsidRDefault="00155872" w:rsidP="00837029">
      <w:pPr>
        <w:numPr>
          <w:ilvl w:val="0"/>
          <w:numId w:val="26"/>
        </w:numPr>
        <w:jc w:val="both"/>
        <w:rPr>
          <w:rFonts w:ascii="Times New Roman" w:hAnsi="Times New Roman" w:cs="Times New Roman"/>
          <w:sz w:val="22"/>
          <w:szCs w:val="22"/>
        </w:rPr>
      </w:pPr>
      <w:r w:rsidRPr="00C420AB">
        <w:rPr>
          <w:rFonts w:ascii="Times New Roman" w:hAnsi="Times New Roman" w:cs="Times New Roman"/>
          <w:sz w:val="22"/>
          <w:szCs w:val="22"/>
        </w:rPr>
        <w:t>Assessment of how the shifting instrument mix affects capital allocation, exposure concentration, and overall balance sheet efficiency.</w:t>
      </w:r>
    </w:p>
    <w:p w14:paraId="3CD87821"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5. Institutional Readiness and Sustainability</w:t>
      </w:r>
    </w:p>
    <w:p w14:paraId="57857103" w14:textId="77777777" w:rsidR="00155872" w:rsidRPr="00C420AB" w:rsidRDefault="00155872" w:rsidP="00837029">
      <w:pPr>
        <w:jc w:val="both"/>
        <w:rPr>
          <w:rFonts w:ascii="Times New Roman" w:hAnsi="Times New Roman" w:cs="Times New Roman"/>
          <w:b/>
          <w:bCs/>
          <w:sz w:val="22"/>
          <w:szCs w:val="22"/>
        </w:rPr>
      </w:pPr>
      <w:r w:rsidRPr="00C420AB">
        <w:rPr>
          <w:rFonts w:ascii="Times New Roman" w:hAnsi="Times New Roman" w:cs="Times New Roman"/>
          <w:b/>
          <w:bCs/>
          <w:sz w:val="22"/>
          <w:szCs w:val="22"/>
        </w:rPr>
        <w:t>EQ5. Is the Bank’s institutional architecture commensurate with its ambition for private sector scale-up?</w:t>
      </w:r>
    </w:p>
    <w:p w14:paraId="354D76ED" w14:textId="77777777" w:rsidR="00155872" w:rsidRPr="00C420AB" w:rsidRDefault="00155872" w:rsidP="00837029">
      <w:pPr>
        <w:numPr>
          <w:ilvl w:val="0"/>
          <w:numId w:val="29"/>
        </w:numPr>
        <w:jc w:val="both"/>
        <w:rPr>
          <w:rFonts w:ascii="Times New Roman" w:hAnsi="Times New Roman" w:cs="Times New Roman"/>
          <w:sz w:val="22"/>
          <w:szCs w:val="22"/>
        </w:rPr>
      </w:pPr>
      <w:r w:rsidRPr="00C420AB">
        <w:rPr>
          <w:rFonts w:ascii="Times New Roman" w:hAnsi="Times New Roman" w:cs="Times New Roman"/>
          <w:sz w:val="22"/>
          <w:szCs w:val="22"/>
        </w:rPr>
        <w:t>Assessment of whether governance structures, risk management systems (including early warning), staffing capacity, and operational processes are adequate to support sustainable and scalable growth within capital constraints.</w:t>
      </w:r>
    </w:p>
    <w:p w14:paraId="36CEEFD5" w14:textId="1429EE61" w:rsidR="00D84EF0" w:rsidRPr="00C420AB" w:rsidRDefault="00D84EF0">
      <w:pPr>
        <w:rPr>
          <w:rFonts w:ascii="Times New Roman" w:hAnsi="Times New Roman" w:cs="Times New Roman"/>
          <w:sz w:val="22"/>
          <w:szCs w:val="22"/>
        </w:rPr>
      </w:pPr>
      <w:r w:rsidRPr="00C420AB">
        <w:rPr>
          <w:rFonts w:ascii="Times New Roman" w:hAnsi="Times New Roman" w:cs="Times New Roman"/>
          <w:sz w:val="22"/>
          <w:szCs w:val="22"/>
        </w:rPr>
        <w:br w:type="page"/>
      </w:r>
    </w:p>
    <w:p w14:paraId="3E0E9AD8" w14:textId="3D9A9AE5" w:rsidR="00624049" w:rsidRPr="00C420AB" w:rsidRDefault="0029299D" w:rsidP="00D84EF0">
      <w:pPr>
        <w:pStyle w:val="Heading3"/>
        <w:rPr>
          <w:rFonts w:ascii="Times New Roman" w:eastAsiaTheme="minorHAnsi" w:hAnsi="Times New Roman" w:cs="Times New Roman"/>
          <w:b/>
          <w:bCs/>
          <w:color w:val="FFFFFF" w:themeColor="background1"/>
          <w:sz w:val="22"/>
          <w:szCs w:val="22"/>
        </w:rPr>
      </w:pPr>
      <w:r w:rsidRPr="00C420AB">
        <w:rPr>
          <w:rFonts w:ascii="Times New Roman" w:hAnsi="Times New Roman" w:cs="Times New Roman"/>
          <w:b/>
          <w:bCs/>
          <w:sz w:val="24"/>
          <w:szCs w:val="24"/>
        </w:rPr>
        <w:lastRenderedPageBreak/>
        <w:t>Annex 2 – Proposed Evaluation Timeline</w:t>
      </w:r>
      <w:r w:rsidR="008410F5" w:rsidRPr="00C420AB">
        <w:rPr>
          <w:rFonts w:ascii="Times New Roman" w:eastAsiaTheme="minorHAnsi" w:hAnsi="Times New Roman" w:cs="Times New Roman"/>
          <w:b/>
          <w:bCs/>
          <w:color w:val="FFFFFF" w:themeColor="background1"/>
          <w:sz w:val="22"/>
          <w:szCs w:val="22"/>
        </w:rPr>
        <w:br/>
      </w:r>
    </w:p>
    <w:tbl>
      <w:tblPr>
        <w:tblStyle w:val="GridTable2-Accent1"/>
        <w:tblW w:w="10349" w:type="dxa"/>
        <w:tblInd w:w="-426" w:type="dxa"/>
        <w:tblLook w:val="04A0" w:firstRow="1" w:lastRow="0" w:firstColumn="1" w:lastColumn="0" w:noHBand="0" w:noVBand="1"/>
      </w:tblPr>
      <w:tblGrid>
        <w:gridCol w:w="1986"/>
        <w:gridCol w:w="6662"/>
        <w:gridCol w:w="1701"/>
      </w:tblGrid>
      <w:tr w:rsidR="00624049" w:rsidRPr="00C420AB" w14:paraId="6ABD8DFC" w14:textId="77777777" w:rsidTr="3E563A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shd w:val="clear" w:color="auto" w:fill="0F9ED5" w:themeFill="accent4"/>
            <w:hideMark/>
          </w:tcPr>
          <w:p w14:paraId="690EB811" w14:textId="77777777" w:rsidR="00624049" w:rsidRPr="00C420AB" w:rsidRDefault="00624049" w:rsidP="00837029">
            <w:pPr>
              <w:spacing w:after="120" w:line="278" w:lineRule="auto"/>
              <w:jc w:val="both"/>
              <w:rPr>
                <w:rFonts w:ascii="Times New Roman" w:hAnsi="Times New Roman" w:cs="Times New Roman"/>
                <w:color w:val="FFFFFF" w:themeColor="background1"/>
                <w:sz w:val="22"/>
                <w:szCs w:val="22"/>
              </w:rPr>
            </w:pPr>
            <w:r w:rsidRPr="00C420AB">
              <w:rPr>
                <w:rFonts w:ascii="Times New Roman" w:hAnsi="Times New Roman" w:cs="Times New Roman"/>
                <w:color w:val="FFFFFF" w:themeColor="background1"/>
                <w:sz w:val="22"/>
                <w:szCs w:val="22"/>
              </w:rPr>
              <w:t>Phase</w:t>
            </w:r>
          </w:p>
        </w:tc>
        <w:tc>
          <w:tcPr>
            <w:tcW w:w="6662" w:type="dxa"/>
            <w:shd w:val="clear" w:color="auto" w:fill="0F9ED5" w:themeFill="accent4"/>
            <w:hideMark/>
          </w:tcPr>
          <w:p w14:paraId="74B847AD" w14:textId="77777777" w:rsidR="00624049" w:rsidRPr="00C420AB" w:rsidRDefault="00624049" w:rsidP="00837029">
            <w:pPr>
              <w:spacing w:after="12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2"/>
                <w:szCs w:val="22"/>
              </w:rPr>
            </w:pPr>
            <w:r w:rsidRPr="00C420AB">
              <w:rPr>
                <w:rFonts w:ascii="Times New Roman" w:hAnsi="Times New Roman" w:cs="Times New Roman"/>
                <w:color w:val="FFFFFF" w:themeColor="background1"/>
                <w:sz w:val="22"/>
                <w:szCs w:val="22"/>
              </w:rPr>
              <w:t>Key Activities</w:t>
            </w:r>
          </w:p>
        </w:tc>
        <w:tc>
          <w:tcPr>
            <w:tcW w:w="1701" w:type="dxa"/>
            <w:shd w:val="clear" w:color="auto" w:fill="0F9ED5" w:themeFill="accent4"/>
            <w:hideMark/>
          </w:tcPr>
          <w:p w14:paraId="5CA2C071" w14:textId="77777777" w:rsidR="00624049" w:rsidRPr="00C420AB" w:rsidRDefault="00624049" w:rsidP="00837029">
            <w:pPr>
              <w:spacing w:after="120" w:line="278"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2"/>
                <w:szCs w:val="22"/>
              </w:rPr>
            </w:pPr>
            <w:r w:rsidRPr="00C420AB">
              <w:rPr>
                <w:rFonts w:ascii="Times New Roman" w:hAnsi="Times New Roman" w:cs="Times New Roman"/>
                <w:color w:val="FFFFFF" w:themeColor="background1"/>
                <w:sz w:val="22"/>
                <w:szCs w:val="22"/>
              </w:rPr>
              <w:t>Timeline (2026)</w:t>
            </w:r>
          </w:p>
        </w:tc>
      </w:tr>
      <w:tr w:rsidR="00624049" w:rsidRPr="00C420AB" w14:paraId="7EE4B2E0" w14:textId="77777777" w:rsidTr="3E563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04FCDBB6"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Scoping &amp; Preparation</w:t>
            </w:r>
          </w:p>
        </w:tc>
        <w:tc>
          <w:tcPr>
            <w:tcW w:w="6662" w:type="dxa"/>
            <w:hideMark/>
          </w:tcPr>
          <w:p w14:paraId="40DD4B8D" w14:textId="73FB1E67" w:rsidR="00624049" w:rsidRPr="00C420AB" w:rsidRDefault="30228F6F" w:rsidP="1ACFBAF2">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 xml:space="preserve">Sharing of Approach Paper with the ERG </w:t>
            </w:r>
          </w:p>
          <w:p w14:paraId="73857C74" w14:textId="7CB48315" w:rsidR="00624049" w:rsidRPr="00C420AB" w:rsidRDefault="2A5144C6"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 xml:space="preserve">Finalization of Approach Paper and </w:t>
            </w:r>
            <w:proofErr w:type="spellStart"/>
            <w:r w:rsidRPr="00C420AB">
              <w:rPr>
                <w:rFonts w:ascii="Times New Roman" w:hAnsi="Times New Roman" w:cs="Times New Roman"/>
                <w:sz w:val="22"/>
                <w:szCs w:val="22"/>
              </w:rPr>
              <w:t>ToR</w:t>
            </w:r>
            <w:proofErr w:type="spellEnd"/>
          </w:p>
          <w:p w14:paraId="385E01EE" w14:textId="77777777" w:rsidR="00624049" w:rsidRPr="00C420AB" w:rsidRDefault="00624049"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Procurement of evaluation firm, and hiring of firm</w:t>
            </w:r>
          </w:p>
        </w:tc>
        <w:tc>
          <w:tcPr>
            <w:tcW w:w="1701" w:type="dxa"/>
            <w:hideMark/>
          </w:tcPr>
          <w:p w14:paraId="097CE5B9" w14:textId="4A015C2B" w:rsidR="00624049" w:rsidRPr="00C420AB" w:rsidRDefault="0157C77F"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 xml:space="preserve">Early </w:t>
            </w:r>
            <w:r w:rsidR="00624049" w:rsidRPr="00C420AB">
              <w:rPr>
                <w:rFonts w:ascii="Times New Roman" w:hAnsi="Times New Roman" w:cs="Times New Roman"/>
                <w:sz w:val="22"/>
                <w:szCs w:val="22"/>
              </w:rPr>
              <w:t>March</w:t>
            </w:r>
          </w:p>
          <w:p w14:paraId="513D0766" w14:textId="535807FD" w:rsidR="518D3E7C" w:rsidRPr="00C420AB" w:rsidRDefault="518D3E7C" w:rsidP="55D7979E">
            <w:pPr>
              <w:spacing w:after="120" w:line="278" w:lineRule="auto"/>
              <w:cnfStyle w:val="000000100000" w:firstRow="0" w:lastRow="0" w:firstColumn="0" w:lastColumn="0" w:oddVBand="0" w:evenVBand="0" w:oddHBand="1" w:evenHBand="0" w:firstRowFirstColumn="0" w:firstRowLastColumn="0" w:lastRowFirstColumn="0" w:lastRowLastColumn="0"/>
            </w:pPr>
            <w:r w:rsidRPr="00C420AB">
              <w:rPr>
                <w:rFonts w:ascii="Times New Roman" w:hAnsi="Times New Roman" w:cs="Times New Roman"/>
                <w:sz w:val="22"/>
                <w:szCs w:val="22"/>
              </w:rPr>
              <w:t>Late March</w:t>
            </w:r>
          </w:p>
          <w:p w14:paraId="1785B104" w14:textId="0D78E82F" w:rsidR="008410F5" w:rsidRPr="00C420AB" w:rsidRDefault="518D3E7C"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April-</w:t>
            </w:r>
            <w:r w:rsidR="008410F5" w:rsidRPr="00C420AB">
              <w:rPr>
                <w:rFonts w:ascii="Times New Roman" w:hAnsi="Times New Roman" w:cs="Times New Roman"/>
                <w:sz w:val="22"/>
                <w:szCs w:val="22"/>
              </w:rPr>
              <w:t>May</w:t>
            </w:r>
          </w:p>
        </w:tc>
      </w:tr>
      <w:tr w:rsidR="00624049" w:rsidRPr="00C420AB" w14:paraId="45234BC5" w14:textId="77777777" w:rsidTr="3E563A3B">
        <w:tc>
          <w:tcPr>
            <w:cnfStyle w:val="001000000000" w:firstRow="0" w:lastRow="0" w:firstColumn="1" w:lastColumn="0" w:oddVBand="0" w:evenVBand="0" w:oddHBand="0" w:evenHBand="0" w:firstRowFirstColumn="0" w:firstRowLastColumn="0" w:lastRowFirstColumn="0" w:lastRowLastColumn="0"/>
            <w:tcW w:w="1986" w:type="dxa"/>
            <w:hideMark/>
          </w:tcPr>
          <w:p w14:paraId="26AF4612"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Inception Phase</w:t>
            </w:r>
          </w:p>
        </w:tc>
        <w:tc>
          <w:tcPr>
            <w:tcW w:w="6662" w:type="dxa"/>
            <w:hideMark/>
          </w:tcPr>
          <w:p w14:paraId="2D1FDC69" w14:textId="77777777" w:rsidR="00624049" w:rsidRPr="00C420AB" w:rsidRDefault="00624049" w:rsidP="00D84EF0">
            <w:pPr>
              <w:spacing w:after="12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C420AB">
              <w:rPr>
                <w:rFonts w:ascii="Times New Roman" w:hAnsi="Times New Roman" w:cs="Times New Roman"/>
                <w:sz w:val="22"/>
                <w:szCs w:val="22"/>
              </w:rPr>
              <w:t>ToC</w:t>
            </w:r>
            <w:proofErr w:type="spellEnd"/>
            <w:r w:rsidRPr="00C420AB">
              <w:rPr>
                <w:rFonts w:ascii="Times New Roman" w:hAnsi="Times New Roman" w:cs="Times New Roman"/>
                <w:sz w:val="22"/>
                <w:szCs w:val="22"/>
              </w:rPr>
              <w:t xml:space="preserve"> reconstruction; portfolio mapping; validation workshop; finalization of Evaluation Matrix</w:t>
            </w:r>
          </w:p>
        </w:tc>
        <w:tc>
          <w:tcPr>
            <w:tcW w:w="1701" w:type="dxa"/>
            <w:hideMark/>
          </w:tcPr>
          <w:p w14:paraId="3A5760A4" w14:textId="77777777" w:rsidR="00624049" w:rsidRPr="00C420AB" w:rsidRDefault="00624049" w:rsidP="00D84EF0">
            <w:pPr>
              <w:spacing w:after="12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Mid-May</w:t>
            </w:r>
          </w:p>
        </w:tc>
      </w:tr>
      <w:tr w:rsidR="00624049" w:rsidRPr="00C420AB" w14:paraId="1F5CEDCF" w14:textId="77777777" w:rsidTr="3E563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761E9663"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Inception Report</w:t>
            </w:r>
          </w:p>
        </w:tc>
        <w:tc>
          <w:tcPr>
            <w:tcW w:w="6662" w:type="dxa"/>
            <w:hideMark/>
          </w:tcPr>
          <w:p w14:paraId="0E7C3B4B" w14:textId="77777777" w:rsidR="00624049" w:rsidRPr="00C420AB" w:rsidRDefault="00624049"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Submission and approval, start of data collection</w:t>
            </w:r>
          </w:p>
        </w:tc>
        <w:tc>
          <w:tcPr>
            <w:tcW w:w="1701" w:type="dxa"/>
            <w:hideMark/>
          </w:tcPr>
          <w:p w14:paraId="4EFB724E" w14:textId="1DD504ED" w:rsidR="00624049" w:rsidRPr="00C420AB" w:rsidRDefault="2A5144C6"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Mid-</w:t>
            </w:r>
            <w:proofErr w:type="gramStart"/>
            <w:r w:rsidRPr="00C420AB">
              <w:rPr>
                <w:rFonts w:ascii="Times New Roman" w:hAnsi="Times New Roman" w:cs="Times New Roman"/>
                <w:sz w:val="22"/>
                <w:szCs w:val="22"/>
              </w:rPr>
              <w:t xml:space="preserve">May </w:t>
            </w:r>
            <w:r w:rsidR="00D84EF0" w:rsidRPr="00C420AB">
              <w:rPr>
                <w:rFonts w:ascii="Times New Roman" w:hAnsi="Times New Roman" w:cs="Times New Roman"/>
                <w:sz w:val="22"/>
                <w:szCs w:val="22"/>
              </w:rPr>
              <w:t>to</w:t>
            </w:r>
            <w:proofErr w:type="gramEnd"/>
            <w:r w:rsidR="00D84EF0" w:rsidRPr="00C420AB">
              <w:rPr>
                <w:rFonts w:ascii="Times New Roman" w:hAnsi="Times New Roman" w:cs="Times New Roman"/>
                <w:sz w:val="22"/>
                <w:szCs w:val="22"/>
              </w:rPr>
              <w:t xml:space="preserve"> </w:t>
            </w:r>
            <w:r w:rsidRPr="00C420AB">
              <w:rPr>
                <w:rFonts w:ascii="Times New Roman" w:hAnsi="Times New Roman" w:cs="Times New Roman"/>
                <w:sz w:val="22"/>
                <w:szCs w:val="22"/>
              </w:rPr>
              <w:t>15 June</w:t>
            </w:r>
          </w:p>
        </w:tc>
      </w:tr>
      <w:tr w:rsidR="00624049" w:rsidRPr="00C420AB" w14:paraId="422E4012" w14:textId="77777777" w:rsidTr="3E563A3B">
        <w:tc>
          <w:tcPr>
            <w:cnfStyle w:val="001000000000" w:firstRow="0" w:lastRow="0" w:firstColumn="1" w:lastColumn="0" w:oddVBand="0" w:evenVBand="0" w:oddHBand="0" w:evenHBand="0" w:firstRowFirstColumn="0" w:firstRowLastColumn="0" w:lastRowFirstColumn="0" w:lastRowLastColumn="0"/>
            <w:tcW w:w="1986" w:type="dxa"/>
            <w:hideMark/>
          </w:tcPr>
          <w:p w14:paraId="4B1BDF03"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Data Collection</w:t>
            </w:r>
          </w:p>
        </w:tc>
        <w:tc>
          <w:tcPr>
            <w:tcW w:w="6662" w:type="dxa"/>
            <w:hideMark/>
          </w:tcPr>
          <w:p w14:paraId="07475481" w14:textId="77777777" w:rsidR="00624049" w:rsidRPr="00C420AB" w:rsidRDefault="00624049" w:rsidP="00D84EF0">
            <w:pPr>
              <w:spacing w:after="12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Document review; portfolio analysis; interviews; case studies</w:t>
            </w:r>
          </w:p>
        </w:tc>
        <w:tc>
          <w:tcPr>
            <w:tcW w:w="1701" w:type="dxa"/>
            <w:hideMark/>
          </w:tcPr>
          <w:p w14:paraId="5681873E" w14:textId="77777777" w:rsidR="00624049" w:rsidRPr="00C420AB" w:rsidRDefault="00624049" w:rsidP="00D84EF0">
            <w:pPr>
              <w:spacing w:after="12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June-July</w:t>
            </w:r>
          </w:p>
        </w:tc>
      </w:tr>
      <w:tr w:rsidR="00624049" w:rsidRPr="00C420AB" w14:paraId="5552FFE9" w14:textId="77777777" w:rsidTr="3E563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035CD79F"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Synthesis Phase</w:t>
            </w:r>
          </w:p>
        </w:tc>
        <w:tc>
          <w:tcPr>
            <w:tcW w:w="6662" w:type="dxa"/>
            <w:hideMark/>
          </w:tcPr>
          <w:p w14:paraId="1BC8A384" w14:textId="77777777" w:rsidR="00624049" w:rsidRPr="00C420AB" w:rsidRDefault="00624049"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Triangulation; drafting findings; preparation of recommendations</w:t>
            </w:r>
          </w:p>
        </w:tc>
        <w:tc>
          <w:tcPr>
            <w:tcW w:w="1701" w:type="dxa"/>
            <w:hideMark/>
          </w:tcPr>
          <w:p w14:paraId="7B35ADA1" w14:textId="77777777" w:rsidR="00624049" w:rsidRPr="00C420AB" w:rsidRDefault="00624049"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July-August</w:t>
            </w:r>
          </w:p>
        </w:tc>
      </w:tr>
      <w:tr w:rsidR="00624049" w:rsidRPr="00C420AB" w14:paraId="7EEC92F9" w14:textId="77777777" w:rsidTr="3E563A3B">
        <w:tc>
          <w:tcPr>
            <w:cnfStyle w:val="001000000000" w:firstRow="0" w:lastRow="0" w:firstColumn="1" w:lastColumn="0" w:oddVBand="0" w:evenVBand="0" w:oddHBand="0" w:evenHBand="0" w:firstRowFirstColumn="0" w:firstRowLastColumn="0" w:lastRowFirstColumn="0" w:lastRowLastColumn="0"/>
            <w:tcW w:w="1986" w:type="dxa"/>
            <w:hideMark/>
          </w:tcPr>
          <w:p w14:paraId="6C306263"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Draft Report Submission</w:t>
            </w:r>
          </w:p>
        </w:tc>
        <w:tc>
          <w:tcPr>
            <w:tcW w:w="6662" w:type="dxa"/>
            <w:hideMark/>
          </w:tcPr>
          <w:p w14:paraId="173B5A84" w14:textId="77777777" w:rsidR="00624049" w:rsidRPr="00C420AB" w:rsidRDefault="00624049" w:rsidP="00D84EF0">
            <w:pPr>
              <w:spacing w:after="12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Circulation for comments</w:t>
            </w:r>
          </w:p>
        </w:tc>
        <w:tc>
          <w:tcPr>
            <w:tcW w:w="1701" w:type="dxa"/>
            <w:hideMark/>
          </w:tcPr>
          <w:p w14:paraId="5B0C38D1" w14:textId="77777777" w:rsidR="00624049" w:rsidRPr="00C420AB" w:rsidRDefault="00624049" w:rsidP="00D84EF0">
            <w:pPr>
              <w:spacing w:after="12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August</w:t>
            </w:r>
          </w:p>
        </w:tc>
      </w:tr>
      <w:tr w:rsidR="00624049" w:rsidRPr="00C420AB" w14:paraId="52C0EF82" w14:textId="77777777" w:rsidTr="3E563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54CF4D9F"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Validation Workshop</w:t>
            </w:r>
          </w:p>
        </w:tc>
        <w:tc>
          <w:tcPr>
            <w:tcW w:w="6662" w:type="dxa"/>
            <w:hideMark/>
          </w:tcPr>
          <w:p w14:paraId="2FE1ADA5" w14:textId="77777777" w:rsidR="00624049" w:rsidRPr="00C420AB" w:rsidRDefault="00624049"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Co-creation of recommendations</w:t>
            </w:r>
          </w:p>
        </w:tc>
        <w:tc>
          <w:tcPr>
            <w:tcW w:w="1701" w:type="dxa"/>
            <w:hideMark/>
          </w:tcPr>
          <w:p w14:paraId="7FCF6775" w14:textId="77777777" w:rsidR="00624049" w:rsidRPr="00C420AB" w:rsidRDefault="00624049"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September</w:t>
            </w:r>
          </w:p>
        </w:tc>
      </w:tr>
      <w:tr w:rsidR="00624049" w:rsidRPr="00C420AB" w14:paraId="2B264C02" w14:textId="77777777" w:rsidTr="3E563A3B">
        <w:tc>
          <w:tcPr>
            <w:cnfStyle w:val="001000000000" w:firstRow="0" w:lastRow="0" w:firstColumn="1" w:lastColumn="0" w:oddVBand="0" w:evenVBand="0" w:oddHBand="0" w:evenHBand="0" w:firstRowFirstColumn="0" w:firstRowLastColumn="0" w:lastRowFirstColumn="0" w:lastRowLastColumn="0"/>
            <w:tcW w:w="1986" w:type="dxa"/>
            <w:hideMark/>
          </w:tcPr>
          <w:p w14:paraId="4EB13FBE"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Final Report Submission</w:t>
            </w:r>
          </w:p>
        </w:tc>
        <w:tc>
          <w:tcPr>
            <w:tcW w:w="6662" w:type="dxa"/>
            <w:hideMark/>
          </w:tcPr>
          <w:p w14:paraId="00E73CFC" w14:textId="77777777" w:rsidR="00624049" w:rsidRPr="00C420AB" w:rsidRDefault="00624049" w:rsidP="00D84EF0">
            <w:pPr>
              <w:spacing w:after="12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Incorporation of comments; QA review</w:t>
            </w:r>
          </w:p>
        </w:tc>
        <w:tc>
          <w:tcPr>
            <w:tcW w:w="1701" w:type="dxa"/>
            <w:hideMark/>
          </w:tcPr>
          <w:p w14:paraId="421B44AC" w14:textId="77777777" w:rsidR="00624049" w:rsidRPr="00C420AB" w:rsidRDefault="00624049" w:rsidP="00D84EF0">
            <w:pPr>
              <w:spacing w:after="12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September-October</w:t>
            </w:r>
          </w:p>
        </w:tc>
      </w:tr>
      <w:tr w:rsidR="00624049" w:rsidRPr="003E0093" w14:paraId="5B4DF865" w14:textId="77777777" w:rsidTr="3E563A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773EBFA4" w14:textId="77777777" w:rsidR="00624049" w:rsidRPr="00C420AB" w:rsidRDefault="00624049" w:rsidP="00D84EF0">
            <w:pPr>
              <w:spacing w:after="120" w:line="278" w:lineRule="auto"/>
              <w:rPr>
                <w:rFonts w:ascii="Times New Roman" w:hAnsi="Times New Roman" w:cs="Times New Roman"/>
                <w:sz w:val="22"/>
                <w:szCs w:val="22"/>
              </w:rPr>
            </w:pPr>
            <w:r w:rsidRPr="00C420AB">
              <w:rPr>
                <w:rFonts w:ascii="Times New Roman" w:hAnsi="Times New Roman" w:cs="Times New Roman"/>
                <w:sz w:val="22"/>
                <w:szCs w:val="22"/>
              </w:rPr>
              <w:t>Board Presentation &amp; Dissemination</w:t>
            </w:r>
          </w:p>
        </w:tc>
        <w:tc>
          <w:tcPr>
            <w:tcW w:w="6662" w:type="dxa"/>
            <w:hideMark/>
          </w:tcPr>
          <w:p w14:paraId="3D4AEB64" w14:textId="77777777" w:rsidR="00624049" w:rsidRPr="00C420AB" w:rsidRDefault="00624049"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Presentation and learning products</w:t>
            </w:r>
          </w:p>
        </w:tc>
        <w:tc>
          <w:tcPr>
            <w:tcW w:w="1701" w:type="dxa"/>
            <w:hideMark/>
          </w:tcPr>
          <w:p w14:paraId="7E353C0F" w14:textId="00C951AF" w:rsidR="00624049" w:rsidRPr="003E0093" w:rsidRDefault="2A5144C6" w:rsidP="00D84EF0">
            <w:pPr>
              <w:spacing w:after="12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420AB">
              <w:rPr>
                <w:rFonts w:ascii="Times New Roman" w:hAnsi="Times New Roman" w:cs="Times New Roman"/>
                <w:sz w:val="22"/>
                <w:szCs w:val="22"/>
              </w:rPr>
              <w:t>October</w:t>
            </w:r>
            <w:r w:rsidR="7C4AF640" w:rsidRPr="00C420AB">
              <w:rPr>
                <w:rFonts w:ascii="Times New Roman" w:hAnsi="Times New Roman" w:cs="Times New Roman"/>
                <w:sz w:val="22"/>
                <w:szCs w:val="22"/>
              </w:rPr>
              <w:t xml:space="preserve"> </w:t>
            </w:r>
            <w:r w:rsidR="00D84EF0" w:rsidRPr="00C420AB">
              <w:rPr>
                <w:rFonts w:ascii="Times New Roman" w:hAnsi="Times New Roman" w:cs="Times New Roman"/>
                <w:sz w:val="22"/>
                <w:szCs w:val="22"/>
              </w:rPr>
              <w:t>to</w:t>
            </w:r>
            <w:r w:rsidRPr="00C420AB">
              <w:rPr>
                <w:rFonts w:ascii="Times New Roman" w:hAnsi="Times New Roman" w:cs="Times New Roman"/>
                <w:sz w:val="22"/>
                <w:szCs w:val="22"/>
              </w:rPr>
              <w:t xml:space="preserve"> </w:t>
            </w:r>
            <w:r w:rsidR="00D84EF0" w:rsidRPr="00C420AB">
              <w:rPr>
                <w:rFonts w:ascii="Times New Roman" w:hAnsi="Times New Roman" w:cs="Times New Roman"/>
                <w:sz w:val="22"/>
                <w:szCs w:val="22"/>
              </w:rPr>
              <w:t xml:space="preserve">        </w:t>
            </w:r>
            <w:r w:rsidRPr="00C420AB">
              <w:rPr>
                <w:rFonts w:ascii="Times New Roman" w:hAnsi="Times New Roman" w:cs="Times New Roman"/>
                <w:sz w:val="22"/>
                <w:szCs w:val="22"/>
              </w:rPr>
              <w:t>12 November Board Meeting</w:t>
            </w:r>
          </w:p>
        </w:tc>
      </w:tr>
    </w:tbl>
    <w:p w14:paraId="0F3AF05C" w14:textId="77777777" w:rsidR="0029299D" w:rsidRPr="003E0093" w:rsidRDefault="0029299D" w:rsidP="00837029">
      <w:pPr>
        <w:jc w:val="both"/>
        <w:rPr>
          <w:rFonts w:ascii="Times New Roman" w:hAnsi="Times New Roman" w:cs="Times New Roman"/>
          <w:sz w:val="22"/>
          <w:szCs w:val="22"/>
        </w:rPr>
      </w:pPr>
    </w:p>
    <w:p w14:paraId="2F8325B5" w14:textId="77777777" w:rsidR="00B6567E" w:rsidRPr="003E0093" w:rsidRDefault="00B6567E" w:rsidP="00837029">
      <w:pPr>
        <w:jc w:val="both"/>
        <w:rPr>
          <w:rFonts w:ascii="Times New Roman" w:hAnsi="Times New Roman" w:cs="Times New Roman"/>
          <w:sz w:val="22"/>
          <w:szCs w:val="22"/>
        </w:rPr>
      </w:pPr>
    </w:p>
    <w:p w14:paraId="1E16F260" w14:textId="1AB5B935" w:rsidR="0029299D" w:rsidRPr="003E0093" w:rsidRDefault="0029299D" w:rsidP="00837029">
      <w:pPr>
        <w:jc w:val="both"/>
        <w:rPr>
          <w:rFonts w:ascii="Times New Roman" w:hAnsi="Times New Roman" w:cs="Times New Roman"/>
          <w:sz w:val="22"/>
          <w:szCs w:val="22"/>
        </w:rPr>
      </w:pPr>
    </w:p>
    <w:sectPr w:rsidR="0029299D" w:rsidRPr="003E00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0DC83" w14:textId="77777777" w:rsidR="0030191C" w:rsidRDefault="0030191C" w:rsidP="007056F7">
      <w:pPr>
        <w:spacing w:after="0" w:line="240" w:lineRule="auto"/>
      </w:pPr>
      <w:r>
        <w:separator/>
      </w:r>
    </w:p>
  </w:endnote>
  <w:endnote w:type="continuationSeparator" w:id="0">
    <w:p w14:paraId="6DCD7D9A" w14:textId="77777777" w:rsidR="0030191C" w:rsidRDefault="0030191C" w:rsidP="007056F7">
      <w:pPr>
        <w:spacing w:after="0" w:line="240" w:lineRule="auto"/>
      </w:pPr>
      <w:r>
        <w:continuationSeparator/>
      </w:r>
    </w:p>
  </w:endnote>
  <w:endnote w:type="continuationNotice" w:id="1">
    <w:p w14:paraId="7E1CAB46" w14:textId="77777777" w:rsidR="0030191C" w:rsidRDefault="00301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82A4" w14:textId="77777777" w:rsidR="0030191C" w:rsidRDefault="0030191C" w:rsidP="007056F7">
      <w:pPr>
        <w:spacing w:after="0" w:line="240" w:lineRule="auto"/>
      </w:pPr>
      <w:r>
        <w:separator/>
      </w:r>
    </w:p>
  </w:footnote>
  <w:footnote w:type="continuationSeparator" w:id="0">
    <w:p w14:paraId="65DF6168" w14:textId="77777777" w:rsidR="0030191C" w:rsidRDefault="0030191C" w:rsidP="007056F7">
      <w:pPr>
        <w:spacing w:after="0" w:line="240" w:lineRule="auto"/>
      </w:pPr>
      <w:r>
        <w:continuationSeparator/>
      </w:r>
    </w:p>
  </w:footnote>
  <w:footnote w:type="continuationNotice" w:id="1">
    <w:p w14:paraId="737D1B39" w14:textId="77777777" w:rsidR="0030191C" w:rsidRDefault="003019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79C"/>
    <w:multiLevelType w:val="multilevel"/>
    <w:tmpl w:val="AB0A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65D0"/>
    <w:multiLevelType w:val="multilevel"/>
    <w:tmpl w:val="681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F6EDC"/>
    <w:multiLevelType w:val="multilevel"/>
    <w:tmpl w:val="797A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D24CE"/>
    <w:multiLevelType w:val="multilevel"/>
    <w:tmpl w:val="57B4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F61F8"/>
    <w:multiLevelType w:val="multilevel"/>
    <w:tmpl w:val="8992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82BE2"/>
    <w:multiLevelType w:val="multilevel"/>
    <w:tmpl w:val="651E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EF7675"/>
    <w:multiLevelType w:val="multilevel"/>
    <w:tmpl w:val="6254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0529F"/>
    <w:multiLevelType w:val="multilevel"/>
    <w:tmpl w:val="DE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4536CB"/>
    <w:multiLevelType w:val="multilevel"/>
    <w:tmpl w:val="8FD8D9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718B9"/>
    <w:multiLevelType w:val="multilevel"/>
    <w:tmpl w:val="6036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91691"/>
    <w:multiLevelType w:val="multilevel"/>
    <w:tmpl w:val="B4FA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A319E9"/>
    <w:multiLevelType w:val="multilevel"/>
    <w:tmpl w:val="6870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00704"/>
    <w:multiLevelType w:val="multilevel"/>
    <w:tmpl w:val="99DC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27FB7"/>
    <w:multiLevelType w:val="multilevel"/>
    <w:tmpl w:val="CB52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986178"/>
    <w:multiLevelType w:val="multilevel"/>
    <w:tmpl w:val="1012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B0054"/>
    <w:multiLevelType w:val="hybridMultilevel"/>
    <w:tmpl w:val="88CA414E"/>
    <w:lvl w:ilvl="0" w:tplc="D1DC9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B0086"/>
    <w:multiLevelType w:val="multilevel"/>
    <w:tmpl w:val="A018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4D17D0"/>
    <w:multiLevelType w:val="multilevel"/>
    <w:tmpl w:val="7DD6F1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3F50662"/>
    <w:multiLevelType w:val="hybridMultilevel"/>
    <w:tmpl w:val="34286400"/>
    <w:lvl w:ilvl="0" w:tplc="D1DC9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B0C4A"/>
    <w:multiLevelType w:val="multilevel"/>
    <w:tmpl w:val="35D6CB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8195110"/>
    <w:multiLevelType w:val="multilevel"/>
    <w:tmpl w:val="2E4C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A53DB0"/>
    <w:multiLevelType w:val="multilevel"/>
    <w:tmpl w:val="ADAC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82779"/>
    <w:multiLevelType w:val="multilevel"/>
    <w:tmpl w:val="2F48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E30DDD"/>
    <w:multiLevelType w:val="multilevel"/>
    <w:tmpl w:val="1CD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BC07BF"/>
    <w:multiLevelType w:val="multilevel"/>
    <w:tmpl w:val="BE8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F65F2"/>
    <w:multiLevelType w:val="multilevel"/>
    <w:tmpl w:val="9708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668B0"/>
    <w:multiLevelType w:val="multilevel"/>
    <w:tmpl w:val="C634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DA15D7"/>
    <w:multiLevelType w:val="multilevel"/>
    <w:tmpl w:val="0FD49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E5798"/>
    <w:multiLevelType w:val="multilevel"/>
    <w:tmpl w:val="6348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897185"/>
    <w:multiLevelType w:val="multilevel"/>
    <w:tmpl w:val="82C8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C04C9E"/>
    <w:multiLevelType w:val="multilevel"/>
    <w:tmpl w:val="31E0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F5608"/>
    <w:multiLevelType w:val="multilevel"/>
    <w:tmpl w:val="8F10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235576">
    <w:abstractNumId w:val="8"/>
  </w:num>
  <w:num w:numId="2" w16cid:durableId="1245609322">
    <w:abstractNumId w:val="6"/>
  </w:num>
  <w:num w:numId="3" w16cid:durableId="1272474843">
    <w:abstractNumId w:val="28"/>
  </w:num>
  <w:num w:numId="4" w16cid:durableId="1334408651">
    <w:abstractNumId w:val="9"/>
  </w:num>
  <w:num w:numId="5" w16cid:durableId="1343314145">
    <w:abstractNumId w:val="13"/>
  </w:num>
  <w:num w:numId="6" w16cid:durableId="1424455397">
    <w:abstractNumId w:val="29"/>
  </w:num>
  <w:num w:numId="7" w16cid:durableId="1554267713">
    <w:abstractNumId w:val="22"/>
  </w:num>
  <w:num w:numId="8" w16cid:durableId="1581672617">
    <w:abstractNumId w:val="5"/>
  </w:num>
  <w:num w:numId="9" w16cid:durableId="1598058447">
    <w:abstractNumId w:val="21"/>
  </w:num>
  <w:num w:numId="10" w16cid:durableId="1660814634">
    <w:abstractNumId w:val="15"/>
  </w:num>
  <w:num w:numId="11" w16cid:durableId="1662465111">
    <w:abstractNumId w:val="11"/>
  </w:num>
  <w:num w:numId="12" w16cid:durableId="1694260807">
    <w:abstractNumId w:val="14"/>
  </w:num>
  <w:num w:numId="13" w16cid:durableId="1807235614">
    <w:abstractNumId w:val="12"/>
  </w:num>
  <w:num w:numId="14" w16cid:durableId="1812211773">
    <w:abstractNumId w:val="23"/>
  </w:num>
  <w:num w:numId="15" w16cid:durableId="1888058729">
    <w:abstractNumId w:val="25"/>
  </w:num>
  <w:num w:numId="16" w16cid:durableId="1895895260">
    <w:abstractNumId w:val="4"/>
  </w:num>
  <w:num w:numId="17" w16cid:durableId="1902597592">
    <w:abstractNumId w:val="16"/>
  </w:num>
  <w:num w:numId="18" w16cid:durableId="1940750296">
    <w:abstractNumId w:val="3"/>
  </w:num>
  <w:num w:numId="19" w16cid:durableId="1967656933">
    <w:abstractNumId w:val="17"/>
  </w:num>
  <w:num w:numId="20" w16cid:durableId="2102024595">
    <w:abstractNumId w:val="24"/>
  </w:num>
  <w:num w:numId="21" w16cid:durableId="2138864038">
    <w:abstractNumId w:val="19"/>
  </w:num>
  <w:num w:numId="22" w16cid:durableId="245724103">
    <w:abstractNumId w:val="2"/>
  </w:num>
  <w:num w:numId="23" w16cid:durableId="385569236">
    <w:abstractNumId w:val="30"/>
  </w:num>
  <w:num w:numId="24" w16cid:durableId="447161936">
    <w:abstractNumId w:val="1"/>
  </w:num>
  <w:num w:numId="25" w16cid:durableId="463932938">
    <w:abstractNumId w:val="7"/>
  </w:num>
  <w:num w:numId="26" w16cid:durableId="500239343">
    <w:abstractNumId w:val="0"/>
  </w:num>
  <w:num w:numId="27" w16cid:durableId="511919153">
    <w:abstractNumId w:val="10"/>
  </w:num>
  <w:num w:numId="28" w16cid:durableId="544023748">
    <w:abstractNumId w:val="20"/>
  </w:num>
  <w:num w:numId="29" w16cid:durableId="595289891">
    <w:abstractNumId w:val="31"/>
  </w:num>
  <w:num w:numId="30" w16cid:durableId="708379957">
    <w:abstractNumId w:val="26"/>
  </w:num>
  <w:num w:numId="31" w16cid:durableId="834222025">
    <w:abstractNumId w:val="27"/>
  </w:num>
  <w:num w:numId="32" w16cid:durableId="89356385">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0D"/>
    <w:rsid w:val="00006E5E"/>
    <w:rsid w:val="0002548E"/>
    <w:rsid w:val="00043890"/>
    <w:rsid w:val="00045CE6"/>
    <w:rsid w:val="000506D4"/>
    <w:rsid w:val="0005340B"/>
    <w:rsid w:val="00057C2B"/>
    <w:rsid w:val="00063482"/>
    <w:rsid w:val="00076481"/>
    <w:rsid w:val="000960B8"/>
    <w:rsid w:val="000B787F"/>
    <w:rsid w:val="000C049D"/>
    <w:rsid w:val="000E6680"/>
    <w:rsid w:val="000F25FB"/>
    <w:rsid w:val="000F47EB"/>
    <w:rsid w:val="0011608A"/>
    <w:rsid w:val="00125E1F"/>
    <w:rsid w:val="0012728B"/>
    <w:rsid w:val="00145990"/>
    <w:rsid w:val="00152FBB"/>
    <w:rsid w:val="001538D9"/>
    <w:rsid w:val="00155872"/>
    <w:rsid w:val="00162E6D"/>
    <w:rsid w:val="00170F3B"/>
    <w:rsid w:val="001A0FD3"/>
    <w:rsid w:val="001C4C04"/>
    <w:rsid w:val="001C6F14"/>
    <w:rsid w:val="00202E91"/>
    <w:rsid w:val="00227B86"/>
    <w:rsid w:val="00234F99"/>
    <w:rsid w:val="002910AB"/>
    <w:rsid w:val="0029299D"/>
    <w:rsid w:val="00293818"/>
    <w:rsid w:val="00294D13"/>
    <w:rsid w:val="002A3F99"/>
    <w:rsid w:val="002C5647"/>
    <w:rsid w:val="002E250D"/>
    <w:rsid w:val="002F784A"/>
    <w:rsid w:val="00300FB1"/>
    <w:rsid w:val="0030191C"/>
    <w:rsid w:val="00311224"/>
    <w:rsid w:val="00331C3A"/>
    <w:rsid w:val="00334739"/>
    <w:rsid w:val="00336A63"/>
    <w:rsid w:val="00351A34"/>
    <w:rsid w:val="00355813"/>
    <w:rsid w:val="00363844"/>
    <w:rsid w:val="003A61C0"/>
    <w:rsid w:val="003B2A03"/>
    <w:rsid w:val="003D375C"/>
    <w:rsid w:val="003E0093"/>
    <w:rsid w:val="003F2B51"/>
    <w:rsid w:val="003F3B61"/>
    <w:rsid w:val="0040593F"/>
    <w:rsid w:val="004267E4"/>
    <w:rsid w:val="0045022C"/>
    <w:rsid w:val="00470AD4"/>
    <w:rsid w:val="00473B3E"/>
    <w:rsid w:val="0047790E"/>
    <w:rsid w:val="00497B77"/>
    <w:rsid w:val="004B7D82"/>
    <w:rsid w:val="004C5240"/>
    <w:rsid w:val="004C6AA3"/>
    <w:rsid w:val="004D25D9"/>
    <w:rsid w:val="004D6230"/>
    <w:rsid w:val="004E0128"/>
    <w:rsid w:val="004F6480"/>
    <w:rsid w:val="00516548"/>
    <w:rsid w:val="005237C1"/>
    <w:rsid w:val="00530138"/>
    <w:rsid w:val="00576A13"/>
    <w:rsid w:val="005971F5"/>
    <w:rsid w:val="005A34AF"/>
    <w:rsid w:val="005B2E63"/>
    <w:rsid w:val="005C069A"/>
    <w:rsid w:val="005D3481"/>
    <w:rsid w:val="005F2E19"/>
    <w:rsid w:val="00604595"/>
    <w:rsid w:val="00624049"/>
    <w:rsid w:val="00626BF3"/>
    <w:rsid w:val="0064419E"/>
    <w:rsid w:val="00644F0D"/>
    <w:rsid w:val="00661456"/>
    <w:rsid w:val="00674879"/>
    <w:rsid w:val="00682F1D"/>
    <w:rsid w:val="00685AD7"/>
    <w:rsid w:val="006B0B4D"/>
    <w:rsid w:val="006B457E"/>
    <w:rsid w:val="006D6D79"/>
    <w:rsid w:val="006F110B"/>
    <w:rsid w:val="007056F7"/>
    <w:rsid w:val="007127E7"/>
    <w:rsid w:val="00717400"/>
    <w:rsid w:val="00720A36"/>
    <w:rsid w:val="00743D53"/>
    <w:rsid w:val="007835D1"/>
    <w:rsid w:val="00786DA1"/>
    <w:rsid w:val="007C47AA"/>
    <w:rsid w:val="007C666E"/>
    <w:rsid w:val="007D3782"/>
    <w:rsid w:val="007F7D13"/>
    <w:rsid w:val="00812CF3"/>
    <w:rsid w:val="00814BFF"/>
    <w:rsid w:val="00824C9F"/>
    <w:rsid w:val="00834A8A"/>
    <w:rsid w:val="00837029"/>
    <w:rsid w:val="0084099A"/>
    <w:rsid w:val="008410F5"/>
    <w:rsid w:val="00841DF8"/>
    <w:rsid w:val="00851871"/>
    <w:rsid w:val="00857884"/>
    <w:rsid w:val="00865593"/>
    <w:rsid w:val="00866CDF"/>
    <w:rsid w:val="00887AB8"/>
    <w:rsid w:val="008C677D"/>
    <w:rsid w:val="008D2F32"/>
    <w:rsid w:val="008D340C"/>
    <w:rsid w:val="008D7E86"/>
    <w:rsid w:val="008F6C82"/>
    <w:rsid w:val="009036A5"/>
    <w:rsid w:val="00910BA8"/>
    <w:rsid w:val="009121EE"/>
    <w:rsid w:val="00912445"/>
    <w:rsid w:val="0091337A"/>
    <w:rsid w:val="00913B6D"/>
    <w:rsid w:val="00927431"/>
    <w:rsid w:val="00931725"/>
    <w:rsid w:val="00950E4C"/>
    <w:rsid w:val="0095225B"/>
    <w:rsid w:val="009522F2"/>
    <w:rsid w:val="009573B3"/>
    <w:rsid w:val="00960784"/>
    <w:rsid w:val="00962DE3"/>
    <w:rsid w:val="0096635C"/>
    <w:rsid w:val="00973F46"/>
    <w:rsid w:val="009A69C5"/>
    <w:rsid w:val="009B1F8D"/>
    <w:rsid w:val="009B70C3"/>
    <w:rsid w:val="00A262B7"/>
    <w:rsid w:val="00A44D96"/>
    <w:rsid w:val="00A47267"/>
    <w:rsid w:val="00A50E4C"/>
    <w:rsid w:val="00A6050C"/>
    <w:rsid w:val="00A67F96"/>
    <w:rsid w:val="00A74055"/>
    <w:rsid w:val="00AB79DF"/>
    <w:rsid w:val="00AE7567"/>
    <w:rsid w:val="00B10A53"/>
    <w:rsid w:val="00B277E7"/>
    <w:rsid w:val="00B526B3"/>
    <w:rsid w:val="00B5726C"/>
    <w:rsid w:val="00B6567E"/>
    <w:rsid w:val="00B744AD"/>
    <w:rsid w:val="00B808D4"/>
    <w:rsid w:val="00B81A2F"/>
    <w:rsid w:val="00B93761"/>
    <w:rsid w:val="00B953C6"/>
    <w:rsid w:val="00B95905"/>
    <w:rsid w:val="00B97BB2"/>
    <w:rsid w:val="00BA3EBE"/>
    <w:rsid w:val="00BE0EAC"/>
    <w:rsid w:val="00BE1881"/>
    <w:rsid w:val="00BE256D"/>
    <w:rsid w:val="00BE4BE1"/>
    <w:rsid w:val="00C0B111"/>
    <w:rsid w:val="00C1085C"/>
    <w:rsid w:val="00C222C0"/>
    <w:rsid w:val="00C32F6D"/>
    <w:rsid w:val="00C399AC"/>
    <w:rsid w:val="00C420AB"/>
    <w:rsid w:val="00C6137E"/>
    <w:rsid w:val="00C65207"/>
    <w:rsid w:val="00C667E9"/>
    <w:rsid w:val="00C70ED7"/>
    <w:rsid w:val="00C71C91"/>
    <w:rsid w:val="00C73E1B"/>
    <w:rsid w:val="00C84957"/>
    <w:rsid w:val="00C96D38"/>
    <w:rsid w:val="00CA00C2"/>
    <w:rsid w:val="00CA212A"/>
    <w:rsid w:val="00CB7BAC"/>
    <w:rsid w:val="00CC22E8"/>
    <w:rsid w:val="00CC7982"/>
    <w:rsid w:val="00CE3A7E"/>
    <w:rsid w:val="00D0142E"/>
    <w:rsid w:val="00D07CDD"/>
    <w:rsid w:val="00D17A69"/>
    <w:rsid w:val="00D3694F"/>
    <w:rsid w:val="00D41564"/>
    <w:rsid w:val="00D44424"/>
    <w:rsid w:val="00D50CB4"/>
    <w:rsid w:val="00D5401E"/>
    <w:rsid w:val="00D65782"/>
    <w:rsid w:val="00D724D3"/>
    <w:rsid w:val="00D84EF0"/>
    <w:rsid w:val="00D9430B"/>
    <w:rsid w:val="00DC46C9"/>
    <w:rsid w:val="00DE1CD6"/>
    <w:rsid w:val="00DF3B1D"/>
    <w:rsid w:val="00E11357"/>
    <w:rsid w:val="00E277B4"/>
    <w:rsid w:val="00E27959"/>
    <w:rsid w:val="00E32382"/>
    <w:rsid w:val="00E4775B"/>
    <w:rsid w:val="00E8230D"/>
    <w:rsid w:val="00E96F12"/>
    <w:rsid w:val="00EA28A7"/>
    <w:rsid w:val="00EA3AC4"/>
    <w:rsid w:val="00EC2C99"/>
    <w:rsid w:val="00EE1160"/>
    <w:rsid w:val="00EF6680"/>
    <w:rsid w:val="00F05C35"/>
    <w:rsid w:val="00F07E7A"/>
    <w:rsid w:val="00F14205"/>
    <w:rsid w:val="00F16CD3"/>
    <w:rsid w:val="00F407B9"/>
    <w:rsid w:val="00F408A2"/>
    <w:rsid w:val="00F47493"/>
    <w:rsid w:val="00F67CB6"/>
    <w:rsid w:val="00F70EAB"/>
    <w:rsid w:val="00F93FE1"/>
    <w:rsid w:val="00FC004D"/>
    <w:rsid w:val="00FC52C8"/>
    <w:rsid w:val="00FD74AC"/>
    <w:rsid w:val="00FE2C08"/>
    <w:rsid w:val="00FE65FC"/>
    <w:rsid w:val="00FF650A"/>
    <w:rsid w:val="0157C77F"/>
    <w:rsid w:val="01587FE3"/>
    <w:rsid w:val="02880B56"/>
    <w:rsid w:val="03474849"/>
    <w:rsid w:val="0375D094"/>
    <w:rsid w:val="03F80EA6"/>
    <w:rsid w:val="053D1D7A"/>
    <w:rsid w:val="0579398F"/>
    <w:rsid w:val="06AFF875"/>
    <w:rsid w:val="087E1756"/>
    <w:rsid w:val="096877FD"/>
    <w:rsid w:val="09D7F357"/>
    <w:rsid w:val="0E512259"/>
    <w:rsid w:val="0EA3CF9A"/>
    <w:rsid w:val="100017F0"/>
    <w:rsid w:val="1113D2C3"/>
    <w:rsid w:val="13D2A2AB"/>
    <w:rsid w:val="14E01C42"/>
    <w:rsid w:val="15874401"/>
    <w:rsid w:val="16916420"/>
    <w:rsid w:val="16D040D0"/>
    <w:rsid w:val="17DE19DF"/>
    <w:rsid w:val="193EC91F"/>
    <w:rsid w:val="199898F7"/>
    <w:rsid w:val="1ACFBAF2"/>
    <w:rsid w:val="1C385976"/>
    <w:rsid w:val="1CD7FC5E"/>
    <w:rsid w:val="1DAC09CB"/>
    <w:rsid w:val="1E12E203"/>
    <w:rsid w:val="1F10BFA5"/>
    <w:rsid w:val="200F51C8"/>
    <w:rsid w:val="20129CEC"/>
    <w:rsid w:val="229C2727"/>
    <w:rsid w:val="2403626A"/>
    <w:rsid w:val="291B7EF0"/>
    <w:rsid w:val="2A5144C6"/>
    <w:rsid w:val="2C87ED7D"/>
    <w:rsid w:val="2D7193AA"/>
    <w:rsid w:val="2DA6135B"/>
    <w:rsid w:val="30228F6F"/>
    <w:rsid w:val="30835305"/>
    <w:rsid w:val="30E69B73"/>
    <w:rsid w:val="31B54EC7"/>
    <w:rsid w:val="31E37A79"/>
    <w:rsid w:val="350244A7"/>
    <w:rsid w:val="35D28EFE"/>
    <w:rsid w:val="360C0738"/>
    <w:rsid w:val="39925252"/>
    <w:rsid w:val="3A9A42FB"/>
    <w:rsid w:val="3C3FD005"/>
    <w:rsid w:val="3CDC366A"/>
    <w:rsid w:val="3D6D964F"/>
    <w:rsid w:val="3E563A3B"/>
    <w:rsid w:val="3E94259F"/>
    <w:rsid w:val="401F94AB"/>
    <w:rsid w:val="40EB262B"/>
    <w:rsid w:val="4403FA1B"/>
    <w:rsid w:val="4523EF4A"/>
    <w:rsid w:val="457A63A7"/>
    <w:rsid w:val="46E8CBA9"/>
    <w:rsid w:val="4C2FAC31"/>
    <w:rsid w:val="5086E91E"/>
    <w:rsid w:val="50D1C775"/>
    <w:rsid w:val="5167EC34"/>
    <w:rsid w:val="518D3E7C"/>
    <w:rsid w:val="5231B64C"/>
    <w:rsid w:val="5469D100"/>
    <w:rsid w:val="55D7979E"/>
    <w:rsid w:val="57166299"/>
    <w:rsid w:val="5862A257"/>
    <w:rsid w:val="58A76380"/>
    <w:rsid w:val="58D1B57F"/>
    <w:rsid w:val="5A7FCC58"/>
    <w:rsid w:val="5DAEF1A6"/>
    <w:rsid w:val="5EAAABBF"/>
    <w:rsid w:val="6058FE4C"/>
    <w:rsid w:val="613A77B1"/>
    <w:rsid w:val="62269F1A"/>
    <w:rsid w:val="63B79586"/>
    <w:rsid w:val="6486A8B7"/>
    <w:rsid w:val="64AF1314"/>
    <w:rsid w:val="65EA9AD3"/>
    <w:rsid w:val="666F6E50"/>
    <w:rsid w:val="6790C18E"/>
    <w:rsid w:val="679E7186"/>
    <w:rsid w:val="67B4862C"/>
    <w:rsid w:val="67B72919"/>
    <w:rsid w:val="69343293"/>
    <w:rsid w:val="6B10AEA6"/>
    <w:rsid w:val="6E73DA88"/>
    <w:rsid w:val="706F3C85"/>
    <w:rsid w:val="71AF1EF3"/>
    <w:rsid w:val="721F5949"/>
    <w:rsid w:val="73E96AD4"/>
    <w:rsid w:val="7849D8BF"/>
    <w:rsid w:val="784D1262"/>
    <w:rsid w:val="78CC8C52"/>
    <w:rsid w:val="7B1FC463"/>
    <w:rsid w:val="7B30E9EB"/>
    <w:rsid w:val="7B3D37C1"/>
    <w:rsid w:val="7B62A408"/>
    <w:rsid w:val="7BE57018"/>
    <w:rsid w:val="7C4AF640"/>
    <w:rsid w:val="7C4E700C"/>
    <w:rsid w:val="7CC567E8"/>
    <w:rsid w:val="7E1E936C"/>
    <w:rsid w:val="7F136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C9E3"/>
  <w15:chartTrackingRefBased/>
  <w15:docId w15:val="{E64119A0-B79C-4F86-8F1B-5595E174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4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4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4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4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F0D"/>
    <w:rPr>
      <w:rFonts w:eastAsiaTheme="majorEastAsia" w:cstheme="majorBidi"/>
      <w:color w:val="272727" w:themeColor="text1" w:themeTint="D8"/>
    </w:rPr>
  </w:style>
  <w:style w:type="paragraph" w:styleId="Title">
    <w:name w:val="Title"/>
    <w:basedOn w:val="Normal"/>
    <w:next w:val="Normal"/>
    <w:link w:val="TitleChar"/>
    <w:uiPriority w:val="10"/>
    <w:qFormat/>
    <w:rsid w:val="00644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F0D"/>
    <w:pPr>
      <w:spacing w:before="160"/>
      <w:jc w:val="center"/>
    </w:pPr>
    <w:rPr>
      <w:i/>
      <w:iCs/>
      <w:color w:val="404040" w:themeColor="text1" w:themeTint="BF"/>
    </w:rPr>
  </w:style>
  <w:style w:type="character" w:customStyle="1" w:styleId="QuoteChar">
    <w:name w:val="Quote Char"/>
    <w:basedOn w:val="DefaultParagraphFont"/>
    <w:link w:val="Quote"/>
    <w:uiPriority w:val="29"/>
    <w:rsid w:val="00644F0D"/>
    <w:rPr>
      <w:i/>
      <w:iCs/>
      <w:color w:val="404040" w:themeColor="text1" w:themeTint="BF"/>
    </w:rPr>
  </w:style>
  <w:style w:type="paragraph" w:styleId="ListParagraph">
    <w:name w:val="List Paragraph"/>
    <w:basedOn w:val="Normal"/>
    <w:uiPriority w:val="34"/>
    <w:qFormat/>
    <w:rsid w:val="00644F0D"/>
    <w:pPr>
      <w:ind w:left="720"/>
      <w:contextualSpacing/>
    </w:pPr>
  </w:style>
  <w:style w:type="character" w:styleId="IntenseEmphasis">
    <w:name w:val="Intense Emphasis"/>
    <w:basedOn w:val="DefaultParagraphFont"/>
    <w:uiPriority w:val="21"/>
    <w:qFormat/>
    <w:rsid w:val="00644F0D"/>
    <w:rPr>
      <w:i/>
      <w:iCs/>
      <w:color w:val="0F4761" w:themeColor="accent1" w:themeShade="BF"/>
    </w:rPr>
  </w:style>
  <w:style w:type="paragraph" w:styleId="IntenseQuote">
    <w:name w:val="Intense Quote"/>
    <w:basedOn w:val="Normal"/>
    <w:next w:val="Normal"/>
    <w:link w:val="IntenseQuoteChar"/>
    <w:uiPriority w:val="30"/>
    <w:qFormat/>
    <w:rsid w:val="00644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F0D"/>
    <w:rPr>
      <w:i/>
      <w:iCs/>
      <w:color w:val="0F4761" w:themeColor="accent1" w:themeShade="BF"/>
    </w:rPr>
  </w:style>
  <w:style w:type="character" w:styleId="IntenseReference">
    <w:name w:val="Intense Reference"/>
    <w:basedOn w:val="DefaultParagraphFont"/>
    <w:uiPriority w:val="32"/>
    <w:qFormat/>
    <w:rsid w:val="00644F0D"/>
    <w:rPr>
      <w:b/>
      <w:bCs/>
      <w:smallCaps/>
      <w:color w:val="0F4761" w:themeColor="accent1" w:themeShade="BF"/>
      <w:spacing w:val="5"/>
    </w:rPr>
  </w:style>
  <w:style w:type="table" w:styleId="GridTable4-Accent1">
    <w:name w:val="Grid Table 4 Accent 1"/>
    <w:basedOn w:val="TableNormal"/>
    <w:uiPriority w:val="49"/>
    <w:rsid w:val="00BE256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Strong">
    <w:name w:val="Strong"/>
    <w:basedOn w:val="DefaultParagraphFont"/>
    <w:uiPriority w:val="22"/>
    <w:qFormat/>
    <w:rsid w:val="00B5726C"/>
    <w:rPr>
      <w:b/>
      <w:bCs/>
    </w:rPr>
  </w:style>
  <w:style w:type="table" w:styleId="GridTable4-Accent4">
    <w:name w:val="Grid Table 4 Accent 4"/>
    <w:basedOn w:val="TableNormal"/>
    <w:uiPriority w:val="49"/>
    <w:rsid w:val="00EE116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4">
    <w:name w:val="List Table 4 Accent 4"/>
    <w:basedOn w:val="TableNormal"/>
    <w:uiPriority w:val="49"/>
    <w:rsid w:val="00EE116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FootnoteText">
    <w:name w:val="footnote text"/>
    <w:basedOn w:val="Normal"/>
    <w:link w:val="FootnoteTextChar"/>
    <w:uiPriority w:val="99"/>
    <w:semiHidden/>
    <w:unhideWhenUsed/>
    <w:rsid w:val="007056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6F7"/>
    <w:rPr>
      <w:sz w:val="20"/>
      <w:szCs w:val="20"/>
    </w:rPr>
  </w:style>
  <w:style w:type="character" w:styleId="FootnoteReference">
    <w:name w:val="footnote reference"/>
    <w:basedOn w:val="DefaultParagraphFont"/>
    <w:uiPriority w:val="99"/>
    <w:semiHidden/>
    <w:unhideWhenUsed/>
    <w:rsid w:val="007056F7"/>
    <w:rPr>
      <w:vertAlign w:val="superscript"/>
    </w:rPr>
  </w:style>
  <w:style w:type="character" w:styleId="Hyperlink">
    <w:name w:val="Hyperlink"/>
    <w:basedOn w:val="DefaultParagraphFont"/>
    <w:uiPriority w:val="99"/>
    <w:unhideWhenUsed/>
    <w:rsid w:val="007056F7"/>
    <w:rPr>
      <w:color w:val="467886" w:themeColor="hyperlink"/>
      <w:u w:val="single"/>
    </w:rPr>
  </w:style>
  <w:style w:type="character" w:styleId="UnresolvedMention">
    <w:name w:val="Unresolved Mention"/>
    <w:basedOn w:val="DefaultParagraphFont"/>
    <w:uiPriority w:val="99"/>
    <w:semiHidden/>
    <w:unhideWhenUsed/>
    <w:rsid w:val="007056F7"/>
    <w:rPr>
      <w:color w:val="605E5C"/>
      <w:shd w:val="clear" w:color="auto" w:fill="E1DFDD"/>
    </w:rPr>
  </w:style>
  <w:style w:type="paragraph" w:styleId="NormalWeb">
    <w:name w:val="Normal (Web)"/>
    <w:basedOn w:val="Normal"/>
    <w:uiPriority w:val="99"/>
    <w:unhideWhenUsed/>
    <w:rsid w:val="007056F7"/>
    <w:pPr>
      <w:spacing w:before="100" w:beforeAutospacing="1" w:after="100" w:afterAutospacing="1" w:line="240" w:lineRule="auto"/>
    </w:pPr>
    <w:rPr>
      <w:rFonts w:ascii="Times New Roman" w:eastAsia="Times New Roman" w:hAnsi="Times New Roman" w:cs="Times New Roman"/>
      <w:kern w:val="0"/>
      <w:lang w:val="en-CA"/>
      <w14:ligatures w14:val="none"/>
    </w:rPr>
  </w:style>
  <w:style w:type="character" w:customStyle="1" w:styleId="contentpasted4">
    <w:name w:val="contentpasted4"/>
    <w:basedOn w:val="DefaultParagraphFont"/>
    <w:rsid w:val="007056F7"/>
  </w:style>
  <w:style w:type="paragraph" w:customStyle="1" w:styleId="BODY">
    <w:name w:val="BODY"/>
    <w:basedOn w:val="Normal"/>
    <w:link w:val="BODYChar"/>
    <w:uiPriority w:val="1"/>
    <w:qFormat/>
    <w:rsid w:val="053D1D7A"/>
    <w:pPr>
      <w:spacing w:before="120" w:after="240" w:line="280" w:lineRule="atLeast"/>
      <w:jc w:val="both"/>
    </w:pPr>
    <w:rPr>
      <w:rFonts w:ascii="Times New Roman" w:eastAsia="Times New Roman" w:hAnsi="Times New Roman" w:cs="Times New Roman"/>
      <w:sz w:val="22"/>
      <w:szCs w:val="22"/>
    </w:rPr>
  </w:style>
  <w:style w:type="character" w:customStyle="1" w:styleId="BODYChar">
    <w:name w:val="BODY Char"/>
    <w:basedOn w:val="DefaultParagraphFont"/>
    <w:link w:val="BODY"/>
    <w:uiPriority w:val="1"/>
    <w:rsid w:val="053D1D7A"/>
    <w:rPr>
      <w:rFonts w:ascii="Times New Roman" w:eastAsia="Times New Roman" w:hAnsi="Times New Roman" w:cs="Times New Roman"/>
      <w:sz w:val="22"/>
      <w:szCs w:val="22"/>
      <w:lang w:val="en-US" w:eastAsia="en-US"/>
    </w:rPr>
  </w:style>
  <w:style w:type="paragraph" w:styleId="Revision">
    <w:name w:val="Revision"/>
    <w:hidden/>
    <w:uiPriority w:val="99"/>
    <w:semiHidden/>
    <w:rsid w:val="00F93FE1"/>
    <w:pPr>
      <w:spacing w:after="0" w:line="240" w:lineRule="auto"/>
    </w:pPr>
  </w:style>
  <w:style w:type="paragraph" w:styleId="Header">
    <w:name w:val="header"/>
    <w:basedOn w:val="Normal"/>
    <w:link w:val="HeaderChar"/>
    <w:uiPriority w:val="99"/>
    <w:semiHidden/>
    <w:unhideWhenUsed/>
    <w:rsid w:val="00F93F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3FE1"/>
  </w:style>
  <w:style w:type="paragraph" w:styleId="Footer">
    <w:name w:val="footer"/>
    <w:basedOn w:val="Normal"/>
    <w:link w:val="FooterChar"/>
    <w:uiPriority w:val="99"/>
    <w:semiHidden/>
    <w:unhideWhenUsed/>
    <w:rsid w:val="00F93F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3FE1"/>
  </w:style>
  <w:style w:type="character" w:styleId="CommentReference">
    <w:name w:val="annotation reference"/>
    <w:basedOn w:val="DefaultParagraphFont"/>
    <w:uiPriority w:val="99"/>
    <w:semiHidden/>
    <w:unhideWhenUsed/>
    <w:rsid w:val="00C84957"/>
    <w:rPr>
      <w:sz w:val="16"/>
      <w:szCs w:val="16"/>
    </w:rPr>
  </w:style>
  <w:style w:type="paragraph" w:styleId="CommentText">
    <w:name w:val="annotation text"/>
    <w:basedOn w:val="Normal"/>
    <w:link w:val="CommentTextChar"/>
    <w:uiPriority w:val="99"/>
    <w:unhideWhenUsed/>
    <w:rsid w:val="00C84957"/>
    <w:pPr>
      <w:spacing w:line="240" w:lineRule="auto"/>
    </w:pPr>
    <w:rPr>
      <w:sz w:val="20"/>
      <w:szCs w:val="20"/>
    </w:rPr>
  </w:style>
  <w:style w:type="character" w:customStyle="1" w:styleId="CommentTextChar">
    <w:name w:val="Comment Text Char"/>
    <w:basedOn w:val="DefaultParagraphFont"/>
    <w:link w:val="CommentText"/>
    <w:uiPriority w:val="99"/>
    <w:rsid w:val="00C84957"/>
    <w:rPr>
      <w:sz w:val="20"/>
      <w:szCs w:val="20"/>
    </w:rPr>
  </w:style>
  <w:style w:type="paragraph" w:styleId="CommentSubject">
    <w:name w:val="annotation subject"/>
    <w:basedOn w:val="CommentText"/>
    <w:next w:val="CommentText"/>
    <w:link w:val="CommentSubjectChar"/>
    <w:uiPriority w:val="99"/>
    <w:semiHidden/>
    <w:unhideWhenUsed/>
    <w:rsid w:val="00C84957"/>
    <w:rPr>
      <w:b/>
      <w:bCs/>
    </w:rPr>
  </w:style>
  <w:style w:type="character" w:customStyle="1" w:styleId="CommentSubjectChar">
    <w:name w:val="Comment Subject Char"/>
    <w:basedOn w:val="CommentTextChar"/>
    <w:link w:val="CommentSubject"/>
    <w:uiPriority w:val="99"/>
    <w:semiHidden/>
    <w:rsid w:val="00C84957"/>
    <w:rPr>
      <w:b/>
      <w:bCs/>
      <w:sz w:val="20"/>
      <w:szCs w:val="20"/>
    </w:rPr>
  </w:style>
  <w:style w:type="character" w:styleId="Mention">
    <w:name w:val="Mention"/>
    <w:basedOn w:val="DefaultParagraphFont"/>
    <w:uiPriority w:val="99"/>
    <w:unhideWhenUsed/>
    <w:rsid w:val="00C84957"/>
    <w:rPr>
      <w:color w:val="2B579A"/>
      <w:shd w:val="clear" w:color="auto" w:fill="E1DFDD"/>
    </w:rPr>
  </w:style>
  <w:style w:type="paragraph" w:customStyle="1" w:styleId="paragraph">
    <w:name w:val="paragraph"/>
    <w:basedOn w:val="Normal"/>
    <w:rsid w:val="000960B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960B8"/>
  </w:style>
  <w:style w:type="character" w:customStyle="1" w:styleId="eop">
    <w:name w:val="eop"/>
    <w:basedOn w:val="DefaultParagraphFont"/>
    <w:rsid w:val="000960B8"/>
  </w:style>
  <w:style w:type="table" w:styleId="GridTable6Colorful">
    <w:name w:val="Grid Table 6 Colorful"/>
    <w:basedOn w:val="TableNormal"/>
    <w:uiPriority w:val="51"/>
    <w:rsid w:val="006240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835D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gnet.org/document/ecg-big-book-good-practice-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ibank.org/evaluations-resources/2025-cdb-evaluation-poli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evaluation.org/uneg_publications/uneg-ethical-guidelines-evalu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cd.org/en/topics/sub-issues/development-co-operation-evaluation-and-effectiveness/evaluation-criter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b1cb015a-557e-46f5-ad38-9ddd4e7e31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3E728182775468403067F6FEE0781" ma:contentTypeVersion="17" ma:contentTypeDescription="Create a new document." ma:contentTypeScope="" ma:versionID="94c8a23bd2df41ce571d69eb3249c13a">
  <xsd:schema xmlns:xsd="http://www.w3.org/2001/XMLSchema" xmlns:xs="http://www.w3.org/2001/XMLSchema" xmlns:p="http://schemas.microsoft.com/office/2006/metadata/properties" xmlns:ns2="b1cb015a-557e-46f5-ad38-9ddd4e7e3173" xmlns:ns3="d50a4fae-5348-41b4-aca3-87048e8b03f0" xmlns:ns4="7bda40a8-3df1-4ee4-b5e5-4c50c43a0126" targetNamespace="http://schemas.microsoft.com/office/2006/metadata/properties" ma:root="true" ma:fieldsID="a34a2c8e819eb8b12068d2a9894b0bb9" ns2:_="" ns3:_="" ns4:_="">
    <xsd:import namespace="b1cb015a-557e-46f5-ad38-9ddd4e7e3173"/>
    <xsd:import namespace="d50a4fae-5348-41b4-aca3-87048e8b03f0"/>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b015a-557e-46f5-ad38-9ddd4e7e3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0a4fae-5348-41b4-aca3-87048e8b03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dee49ce-ed33-41b7-a086-211e2521f43a}" ma:internalName="TaxCatchAll" ma:showField="CatchAllData" ma:web="d50a4fae-5348-41b4-aca3-87048e8b0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E87CF-E501-4913-A7DE-264790B9E145}">
  <ds:schemaRefs>
    <ds:schemaRef ds:uri="Microsoft.SharePoint.Taxonomy.ContentTypeSync"/>
  </ds:schemaRefs>
</ds:datastoreItem>
</file>

<file path=customXml/itemProps2.xml><?xml version="1.0" encoding="utf-8"?>
<ds:datastoreItem xmlns:ds="http://schemas.openxmlformats.org/officeDocument/2006/customXml" ds:itemID="{4FD5FCE4-0849-460E-8749-650F46F87FA5}">
  <ds:schemaRefs>
    <ds:schemaRef ds:uri="http://schemas.microsoft.com/office/2006/metadata/properties"/>
    <ds:schemaRef ds:uri="http://schemas.microsoft.com/office/infopath/2007/PartnerControls"/>
    <ds:schemaRef ds:uri="7bda40a8-3df1-4ee4-b5e5-4c50c43a0126"/>
    <ds:schemaRef ds:uri="b1cb015a-557e-46f5-ad38-9ddd4e7e3173"/>
  </ds:schemaRefs>
</ds:datastoreItem>
</file>

<file path=customXml/itemProps3.xml><?xml version="1.0" encoding="utf-8"?>
<ds:datastoreItem xmlns:ds="http://schemas.openxmlformats.org/officeDocument/2006/customXml" ds:itemID="{E4DCA926-4184-4E14-B0EF-97303F51609A}">
  <ds:schemaRefs>
    <ds:schemaRef ds:uri="http://schemas.microsoft.com/sharepoint/v3/contenttype/forms"/>
  </ds:schemaRefs>
</ds:datastoreItem>
</file>

<file path=customXml/itemProps4.xml><?xml version="1.0" encoding="utf-8"?>
<ds:datastoreItem xmlns:ds="http://schemas.openxmlformats.org/officeDocument/2006/customXml" ds:itemID="{88A9CB8F-D69E-4815-8ACF-A21EDE8FB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b015a-557e-46f5-ad38-9ddd4e7e3173"/>
    <ds:schemaRef ds:uri="d50a4fae-5348-41b4-aca3-87048e8b03f0"/>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1956</Words>
  <Characters>13201</Characters>
  <Application>Microsoft Office Word</Application>
  <DocSecurity>0</DocSecurity>
  <Lines>298</Lines>
  <Paragraphs>187</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Rossignoli</dc:creator>
  <cp:keywords/>
  <dc:description/>
  <cp:lastModifiedBy>Sonia Harrison</cp:lastModifiedBy>
  <cp:revision>3</cp:revision>
  <dcterms:created xsi:type="dcterms:W3CDTF">2026-04-01T13:46:00Z</dcterms:created>
  <dcterms:modified xsi:type="dcterms:W3CDTF">2026-04-01T13:46:00Z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0x010100D0A3E728182775468403067F6FEE0781</vt:lpwstr>
  </property>
  <property fmtid="{D5CDD505-2E9C-101B-9397-08002B2CF9AE}" pid="3" name="MediaServiceImageTags">
    <vt:lpwstr/>
  </property>
  <property fmtid="{D5CDD505-2E9C-101B-9397-08002B2CF9AE}" pid="4" name="GrammarlyDocumentId">
    <vt:lpwstr>dcbd4575-e76e-40bc-9b5e-9e1d9eb292b7</vt:lpwstr>
  </property>
</Properties>
</file>