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DCEBF" w14:textId="77777777" w:rsidR="00F83832" w:rsidRPr="007859B6" w:rsidRDefault="00F83832" w:rsidP="00F83832">
      <w:pPr>
        <w:widowControl w:val="0"/>
        <w:spacing w:after="0" w:line="240" w:lineRule="auto"/>
        <w:ind w:right="153"/>
        <w:jc w:val="center"/>
        <w:outlineLvl w:val="0"/>
        <w:rPr>
          <w:rFonts w:ascii="Times New Roman" w:eastAsia="Times New Roman" w:hAnsi="Times New Roman" w:cs="Times New Roman"/>
          <w:sz w:val="22"/>
          <w:szCs w:val="22"/>
          <w:lang w:eastAsia="en-US"/>
        </w:rPr>
      </w:pPr>
      <w:r w:rsidRPr="007859B6">
        <w:rPr>
          <w:rFonts w:ascii="Times New Roman" w:eastAsia="Times New Roman" w:hAnsi="Times New Roman" w:cs="Times New Roman"/>
          <w:b/>
          <w:spacing w:val="-1"/>
          <w:sz w:val="22"/>
          <w:szCs w:val="22"/>
          <w:lang w:eastAsia="en-US"/>
        </w:rPr>
        <w:t>UNIVERSITY OF THE WEST INDIES, MONA</w:t>
      </w:r>
    </w:p>
    <w:p w14:paraId="46B1286A" w14:textId="77777777" w:rsidR="00F83832" w:rsidRPr="007859B6" w:rsidRDefault="00F83832" w:rsidP="00F83832">
      <w:pPr>
        <w:widowControl w:val="0"/>
        <w:spacing w:after="0" w:line="240" w:lineRule="auto"/>
        <w:jc w:val="center"/>
        <w:rPr>
          <w:rFonts w:ascii="Times New Roman" w:eastAsia="Times New Roman" w:hAnsi="Times New Roman" w:cs="Times New Roman"/>
          <w:b/>
          <w:sz w:val="22"/>
          <w:szCs w:val="22"/>
          <w:lang w:eastAsia="en-US"/>
        </w:rPr>
      </w:pPr>
    </w:p>
    <w:p w14:paraId="156838BD" w14:textId="77777777" w:rsidR="00F83832" w:rsidRPr="007859B6" w:rsidRDefault="00F83832" w:rsidP="00F83832">
      <w:pPr>
        <w:widowControl w:val="0"/>
        <w:spacing w:after="0" w:line="240" w:lineRule="auto"/>
        <w:jc w:val="center"/>
        <w:rPr>
          <w:rFonts w:ascii="Times New Roman" w:eastAsia="Times New Roman" w:hAnsi="Times New Roman" w:cs="Times New Roman"/>
          <w:b/>
          <w:sz w:val="22"/>
          <w:szCs w:val="22"/>
          <w:lang w:eastAsia="en-US"/>
        </w:rPr>
      </w:pPr>
      <w:r w:rsidRPr="007859B6">
        <w:rPr>
          <w:rFonts w:ascii="Times New Roman" w:eastAsia="Times New Roman" w:hAnsi="Times New Roman" w:cs="Times New Roman"/>
          <w:b/>
          <w:sz w:val="22"/>
          <w:szCs w:val="22"/>
          <w:lang w:eastAsia="en-US"/>
        </w:rPr>
        <w:t>CLIMATE SYSTEMS, TECHNIQUES AND RESOURCES FOR IMPROVED DECISION-MAKING, EDUCATION AND SUSTAINABILITY PROJECT</w:t>
      </w:r>
    </w:p>
    <w:p w14:paraId="37C21942" w14:textId="77777777" w:rsidR="00F83832" w:rsidRPr="007859B6" w:rsidRDefault="00F83832" w:rsidP="00F83832">
      <w:pPr>
        <w:spacing w:after="0" w:line="240" w:lineRule="auto"/>
        <w:rPr>
          <w:rFonts w:ascii="Times New Roman" w:eastAsia="Times New Roman" w:hAnsi="Times New Roman" w:cs="Times New Roman"/>
          <w:color w:val="181717"/>
          <w:kern w:val="2"/>
          <w:sz w:val="22"/>
          <w:szCs w:val="22"/>
          <w:lang w:eastAsia="en-US"/>
          <w14:ligatures w14:val="standardContextual"/>
        </w:rPr>
      </w:pPr>
    </w:p>
    <w:p w14:paraId="2C4FD2BE" w14:textId="77777777" w:rsidR="00F83832" w:rsidRPr="007859B6" w:rsidRDefault="00F83832" w:rsidP="00F83832">
      <w:pPr>
        <w:keepNext/>
        <w:keepLines/>
        <w:spacing w:after="0" w:line="240" w:lineRule="auto"/>
        <w:ind w:right="3" w:firstLine="2"/>
        <w:jc w:val="center"/>
        <w:outlineLvl w:val="0"/>
        <w:rPr>
          <w:rFonts w:ascii="Times New Roman" w:eastAsia="Times New Roman" w:hAnsi="Times New Roman" w:cs="Times New Roman"/>
          <w:b/>
          <w:kern w:val="2"/>
          <w:sz w:val="22"/>
          <w:szCs w:val="22"/>
          <w:u w:val="single"/>
          <w:lang w:eastAsia="en-US"/>
          <w14:ligatures w14:val="standardContextual"/>
        </w:rPr>
      </w:pPr>
      <w:r w:rsidRPr="007859B6">
        <w:rPr>
          <w:rFonts w:ascii="Times New Roman" w:eastAsia="Times New Roman" w:hAnsi="Times New Roman" w:cs="Times New Roman"/>
          <w:b/>
          <w:kern w:val="2"/>
          <w:sz w:val="22"/>
          <w:szCs w:val="22"/>
          <w:u w:val="single" w:color="181717"/>
          <w:lang w:eastAsia="en-US"/>
          <w14:ligatures w14:val="standardContextual"/>
        </w:rPr>
        <w:t>CONSULTANCY SERVICES FOR A SENIOR CLIMATE CHANGE CONSULTANT</w:t>
      </w:r>
      <w:r w:rsidRPr="007859B6">
        <w:rPr>
          <w:rFonts w:ascii="Times New Roman" w:eastAsia="Times New Roman" w:hAnsi="Times New Roman" w:cs="Times New Roman"/>
          <w:b/>
          <w:kern w:val="2"/>
          <w:sz w:val="22"/>
          <w:szCs w:val="22"/>
          <w:u w:val="single"/>
          <w:lang w:eastAsia="en-US"/>
          <w14:ligatures w14:val="standardContextual"/>
        </w:rPr>
        <w:t xml:space="preserve"> </w:t>
      </w:r>
    </w:p>
    <w:p w14:paraId="34F1B539" w14:textId="77777777" w:rsidR="00F83832" w:rsidRPr="007859B6" w:rsidRDefault="00F83832" w:rsidP="00F83832">
      <w:pPr>
        <w:spacing w:after="0" w:line="240" w:lineRule="auto"/>
        <w:ind w:left="435" w:right="436" w:hanging="10"/>
        <w:jc w:val="center"/>
        <w:rPr>
          <w:rFonts w:ascii="Times New Roman" w:eastAsia="Times New Roman" w:hAnsi="Times New Roman" w:cs="Times New Roman"/>
          <w:b/>
          <w:color w:val="181717"/>
          <w:kern w:val="2"/>
          <w:sz w:val="22"/>
          <w:szCs w:val="22"/>
          <w:u w:val="single" w:color="181717"/>
          <w:lang w:eastAsia="en-US"/>
          <w14:ligatures w14:val="standardContextual"/>
        </w:rPr>
      </w:pPr>
    </w:p>
    <w:p w14:paraId="2C1F9FD6" w14:textId="041790B1" w:rsidR="00F83832" w:rsidRPr="007859B6" w:rsidRDefault="00F83832" w:rsidP="007859B6">
      <w:pPr>
        <w:spacing w:after="0" w:line="240" w:lineRule="auto"/>
        <w:jc w:val="center"/>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b/>
          <w:color w:val="181717"/>
          <w:kern w:val="2"/>
          <w:sz w:val="22"/>
          <w:szCs w:val="22"/>
          <w:u w:val="single" w:color="181717"/>
          <w:lang w:eastAsia="en-US"/>
          <w14:ligatures w14:val="standardContextual"/>
        </w:rPr>
        <w:t>TERMS OF REFERENCE</w:t>
      </w:r>
      <w:r w:rsidRPr="007859B6">
        <w:rPr>
          <w:rFonts w:ascii="Times New Roman" w:eastAsia="Times New Roman" w:hAnsi="Times New Roman" w:cs="Times New Roman"/>
          <w:b/>
          <w:color w:val="181717"/>
          <w:kern w:val="2"/>
          <w:sz w:val="22"/>
          <w:szCs w:val="22"/>
          <w:lang w:eastAsia="en-US"/>
          <w14:ligatures w14:val="standardContextual"/>
        </w:rPr>
        <w:t xml:space="preserve"> </w:t>
      </w:r>
    </w:p>
    <w:p w14:paraId="4273A87A" w14:textId="7FCDF614" w:rsidR="00F83832" w:rsidRPr="007859B6" w:rsidRDefault="00F83832" w:rsidP="00F83832">
      <w:pPr>
        <w:keepNext/>
        <w:keepLines/>
        <w:spacing w:after="0" w:line="240" w:lineRule="auto"/>
        <w:ind w:right="3" w:firstLine="2"/>
        <w:jc w:val="center"/>
        <w:outlineLvl w:val="0"/>
        <w:rPr>
          <w:rFonts w:ascii="Times New Roman" w:eastAsia="Times New Roman" w:hAnsi="Times New Roman" w:cs="Times New Roman"/>
          <w:b/>
          <w:kern w:val="2"/>
          <w:sz w:val="22"/>
          <w:szCs w:val="22"/>
          <w:u w:val="single"/>
          <w:lang w:eastAsia="en-US"/>
          <w14:ligatures w14:val="standardContextual"/>
        </w:rPr>
      </w:pPr>
    </w:p>
    <w:p w14:paraId="797C58A3" w14:textId="2810A6D8" w:rsidR="00F83832" w:rsidRPr="007859B6" w:rsidRDefault="00F83832" w:rsidP="007859B6">
      <w:pPr>
        <w:pStyle w:val="ListParagraph"/>
        <w:numPr>
          <w:ilvl w:val="0"/>
          <w:numId w:val="6"/>
        </w:numPr>
        <w:spacing w:after="3" w:line="259" w:lineRule="auto"/>
        <w:rPr>
          <w:rFonts w:ascii="Times New Roman" w:hAnsi="Times New Roman" w:cs="Times New Roman"/>
          <w:b/>
          <w:bCs/>
          <w:color w:val="000000" w:themeColor="text1"/>
          <w:sz w:val="22"/>
          <w:szCs w:val="22"/>
          <w:u w:val="single"/>
        </w:rPr>
      </w:pPr>
      <w:r w:rsidRPr="007859B6">
        <w:rPr>
          <w:rFonts w:ascii="Times New Roman" w:hAnsi="Times New Roman" w:cs="Times New Roman"/>
          <w:b/>
          <w:bCs/>
          <w:color w:val="000000" w:themeColor="text1"/>
          <w:sz w:val="22"/>
          <w:szCs w:val="22"/>
          <w:u w:val="single"/>
        </w:rPr>
        <w:t xml:space="preserve">BACKGROUND </w:t>
      </w:r>
    </w:p>
    <w:p w14:paraId="3261572F" w14:textId="77777777" w:rsidR="00F83832" w:rsidRPr="007859B6" w:rsidRDefault="00F83832" w:rsidP="00F83832">
      <w:pPr>
        <w:spacing w:after="0" w:line="259" w:lineRule="auto"/>
        <w:ind w:left="1"/>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Calibri" w:hAnsi="Times New Roman" w:cs="Times New Roman"/>
          <w:color w:val="181717"/>
          <w:kern w:val="2"/>
          <w:sz w:val="22"/>
          <w:szCs w:val="22"/>
          <w:lang w:eastAsia="en-US"/>
          <w14:ligatures w14:val="standardContextual"/>
        </w:rPr>
        <w:t xml:space="preserve"> </w:t>
      </w:r>
    </w:p>
    <w:p w14:paraId="5B5A6430" w14:textId="77777777" w:rsidR="00F83832" w:rsidRPr="007859B6" w:rsidRDefault="00F83832" w:rsidP="00F83832">
      <w:pPr>
        <w:spacing w:after="5" w:line="247"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1.01</w:t>
      </w:r>
      <w:r w:rsidRPr="007859B6">
        <w:rPr>
          <w:rFonts w:ascii="Times New Roman" w:eastAsia="Arial" w:hAnsi="Times New Roman" w:cs="Times New Roman"/>
          <w:color w:val="181717"/>
          <w:kern w:val="2"/>
          <w:sz w:val="22"/>
          <w:szCs w:val="22"/>
          <w:lang w:eastAsia="en-US"/>
          <w14:ligatures w14:val="standardContextual"/>
        </w:rPr>
        <w:t xml:space="preserve"> </w:t>
      </w:r>
      <w:r w:rsidRPr="007859B6">
        <w:rPr>
          <w:rFonts w:ascii="Times New Roman" w:eastAsia="Times New Roman" w:hAnsi="Times New Roman" w:cs="Times New Roman"/>
          <w:color w:val="181717"/>
          <w:kern w:val="2"/>
          <w:sz w:val="22"/>
          <w:szCs w:val="22"/>
          <w:lang w:eastAsia="en-US"/>
          <w14:ligatures w14:val="standardContextual"/>
        </w:rPr>
        <w:t>The Caribbean comprises nations that are diverse in terms of geographical size, population, political stability as well as economic drivers.  This diversity is however dwarfed by the common vulnerability to the impacts of climate variability and change (CVC) that each of the territories experience; and which places the Caribbean amongst the most vulnerable, across all socio-economic and livelihood sectors.  Throughout the region, shifts in duration, frequency and intensity of extreme weather and climatic events have already caused serious economic losses in climate sensitive sectors. For example, in 2017, Hurricane Maria, with Category 5 winds, caused severe destruction in the agriculture sector of Dominica and resulted in damages and losses totalling 226% of Gross Domestic Product (GDP)</w:t>
      </w:r>
      <w:r w:rsidRPr="007859B6">
        <w:rPr>
          <w:rStyle w:val="FootnoteReference"/>
          <w:rFonts w:ascii="Times New Roman" w:eastAsia="Times New Roman" w:hAnsi="Times New Roman" w:cs="Times New Roman"/>
          <w:color w:val="181717"/>
          <w:kern w:val="2"/>
          <w:sz w:val="22"/>
          <w:szCs w:val="22"/>
          <w:lang w:eastAsia="en-US"/>
          <w14:ligatures w14:val="standardContextual"/>
        </w:rPr>
        <w:footnoteReference w:id="1"/>
      </w:r>
      <w:r w:rsidRPr="007859B6">
        <w:rPr>
          <w:rFonts w:ascii="Times New Roman" w:eastAsia="Times New Roman" w:hAnsi="Times New Roman" w:cs="Times New Roman"/>
          <w:color w:val="181717"/>
          <w:kern w:val="2"/>
          <w:sz w:val="22"/>
          <w:szCs w:val="22"/>
          <w:lang w:eastAsia="en-US"/>
          <w14:ligatures w14:val="standardContextual"/>
        </w:rPr>
        <w:t>, while in 2019, Hurricane Dorian, also a Category 5 hurricane, caused damages and losses equivalent to 25% of GDP</w:t>
      </w:r>
      <w:r w:rsidRPr="007859B6">
        <w:rPr>
          <w:rStyle w:val="FootnoteReference"/>
          <w:rFonts w:ascii="Times New Roman" w:eastAsia="Times New Roman" w:hAnsi="Times New Roman" w:cs="Times New Roman"/>
          <w:color w:val="181717"/>
          <w:kern w:val="2"/>
          <w:sz w:val="22"/>
          <w:szCs w:val="22"/>
          <w:lang w:eastAsia="en-US"/>
          <w14:ligatures w14:val="standardContextual"/>
        </w:rPr>
        <w:footnoteReference w:id="2"/>
      </w:r>
      <w:r w:rsidRPr="007859B6">
        <w:rPr>
          <w:rFonts w:ascii="Times New Roman" w:eastAsia="Times New Roman" w:hAnsi="Times New Roman" w:cs="Times New Roman"/>
          <w:color w:val="181717"/>
          <w:kern w:val="2"/>
          <w:sz w:val="22"/>
          <w:szCs w:val="22"/>
          <w:lang w:eastAsia="en-US"/>
          <w14:ligatures w14:val="standardContextual"/>
        </w:rPr>
        <w:t>. In 2024, Hurricane Beryl brought devastation as a Category 5 and 4 storm to Grenada, St. Vincent and the Grenadines, Dominica, Tobago and northern Venezuela, Barbados, and the southern portion of Jamaica. More recently, in 2025, Hurricane Melissa devastated Jamaica, Haiti and Cuba, with preliminary estimates of damage in Jamaica amounting to approximately US$ 7 billion or up to 32% of GDP</w:t>
      </w:r>
      <w:r w:rsidRPr="007859B6">
        <w:rPr>
          <w:rStyle w:val="FootnoteReference"/>
          <w:rFonts w:ascii="Times New Roman" w:eastAsia="Times New Roman" w:hAnsi="Times New Roman" w:cs="Times New Roman"/>
          <w:color w:val="181717"/>
          <w:kern w:val="2"/>
          <w:sz w:val="22"/>
          <w:szCs w:val="22"/>
          <w:lang w:eastAsia="en-US"/>
          <w14:ligatures w14:val="standardContextual"/>
        </w:rPr>
        <w:footnoteReference w:id="3"/>
      </w:r>
      <w:r w:rsidRPr="007859B6">
        <w:rPr>
          <w:rFonts w:ascii="Times New Roman" w:eastAsia="Times New Roman" w:hAnsi="Times New Roman" w:cs="Times New Roman"/>
          <w:color w:val="181717"/>
          <w:kern w:val="2"/>
          <w:sz w:val="22"/>
          <w:szCs w:val="22"/>
          <w:lang w:eastAsia="en-US"/>
          <w14:ligatures w14:val="standardContextual"/>
        </w:rPr>
        <w:t xml:space="preserve">.  Continued and projected climatic changes not only place the Caribbean amongst the most vulnerable to the impacts of CVC, but threatens the region’s economy, growth and aspirations for sustainable development.  </w:t>
      </w:r>
    </w:p>
    <w:p w14:paraId="35C27588" w14:textId="77777777" w:rsidR="00F83832" w:rsidRPr="007859B6" w:rsidRDefault="00F83832" w:rsidP="00F83832">
      <w:pPr>
        <w:spacing w:after="0" w:line="259" w:lineRule="auto"/>
        <w:ind w:left="1"/>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0023B20F" w14:textId="77777777" w:rsidR="00F83832" w:rsidRPr="007859B6" w:rsidRDefault="00F83832" w:rsidP="00F83832">
      <w:pPr>
        <w:spacing w:after="5" w:line="247"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1.02</w:t>
      </w:r>
      <w:r w:rsidRPr="007859B6">
        <w:rPr>
          <w:rFonts w:ascii="Times New Roman" w:eastAsia="Arial" w:hAnsi="Times New Roman" w:cs="Times New Roman"/>
          <w:color w:val="181717"/>
          <w:kern w:val="2"/>
          <w:sz w:val="22"/>
          <w:szCs w:val="22"/>
          <w:lang w:eastAsia="en-US"/>
          <w14:ligatures w14:val="standardContextual"/>
        </w:rPr>
        <w:t xml:space="preserve"> </w:t>
      </w:r>
      <w:r w:rsidRPr="007859B6">
        <w:rPr>
          <w:rFonts w:ascii="Times New Roman" w:eastAsia="Times New Roman" w:hAnsi="Times New Roman" w:cs="Times New Roman"/>
          <w:color w:val="181717"/>
          <w:kern w:val="2"/>
          <w:sz w:val="22"/>
          <w:szCs w:val="22"/>
          <w:lang w:eastAsia="en-US"/>
          <w14:ligatures w14:val="standardContextual"/>
        </w:rPr>
        <w:t xml:space="preserve">At the start of the 21st century, there were still challenges adequately characterising and understanding the past and impending threats of CVC to the region due to a paucity of information on account of (a) the general lack of climate change studies at scales matching the geographical size of territories within the region; (b) minimal or no peer-reviewed sector-specific or related studies on the influence of climate change; and (c) the absence of continuous in-situ meteorological data.  This led Caribbean scientists and relevant stakeholders to embark on a drive to improve data availability from both in-situ meteorological stations and climate model projections as well as working towards the provision of climate change data and information at spatial and temporal scales more relevant to the region for use in decision-making, risk reduction and improving overall resilience.  This drive resulted in the production of the set of first relevant and semi-scale specific regional climate model outputs using the Intergovernmental Panel on Climate Change’s (IPCC’s) Special Report on Emission Scenarios (SRES) as well as the subsequent Representative Concentration Pathways (RCPs) scenarios. The results of these endeavours were used by the Caribbean and other Small Island Developing States in:  </w:t>
      </w:r>
    </w:p>
    <w:p w14:paraId="7472A025" w14:textId="77777777" w:rsidR="00F83832" w:rsidRPr="007859B6" w:rsidRDefault="00F83832" w:rsidP="00F83832">
      <w:pPr>
        <w:spacing w:after="0" w:line="259" w:lineRule="auto"/>
        <w:ind w:left="1"/>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6C769C35" w14:textId="77777777" w:rsidR="00F83832" w:rsidRDefault="00F83832" w:rsidP="00F83832">
      <w:pPr>
        <w:numPr>
          <w:ilvl w:val="0"/>
          <w:numId w:val="1"/>
        </w:numPr>
        <w:spacing w:after="5" w:line="247" w:lineRule="auto"/>
        <w:ind w:left="990" w:right="3" w:hanging="45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their campaign to have the end of century global warming target be limited to 1.5°C above pre-industrial </w:t>
      </w:r>
      <w:proofErr w:type="gramStart"/>
      <w:r w:rsidRPr="007859B6">
        <w:rPr>
          <w:rFonts w:ascii="Times New Roman" w:eastAsia="Times New Roman" w:hAnsi="Times New Roman" w:cs="Times New Roman"/>
          <w:color w:val="181717"/>
          <w:kern w:val="2"/>
          <w:sz w:val="22"/>
          <w:szCs w:val="22"/>
          <w:lang w:eastAsia="en-US"/>
          <w14:ligatures w14:val="standardContextual"/>
        </w:rPr>
        <w:t>levels;</w:t>
      </w:r>
      <w:proofErr w:type="gramEnd"/>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784D513E" w14:textId="77777777" w:rsidR="007859B6" w:rsidRPr="007859B6" w:rsidRDefault="007859B6" w:rsidP="007859B6">
      <w:pPr>
        <w:spacing w:after="5" w:line="247"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1D5393B8" w14:textId="77777777" w:rsidR="00F83832" w:rsidRPr="007859B6" w:rsidRDefault="00F83832" w:rsidP="00F83832">
      <w:pPr>
        <w:numPr>
          <w:ilvl w:val="0"/>
          <w:numId w:val="1"/>
        </w:numPr>
        <w:spacing w:after="5" w:line="247" w:lineRule="auto"/>
        <w:ind w:left="990" w:right="3" w:hanging="45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the production of several of the region’s national communications to the United Nations Framework Convention on Climate </w:t>
      </w:r>
      <w:proofErr w:type="gramStart"/>
      <w:r w:rsidRPr="007859B6">
        <w:rPr>
          <w:rFonts w:ascii="Times New Roman" w:eastAsia="Times New Roman" w:hAnsi="Times New Roman" w:cs="Times New Roman"/>
          <w:color w:val="181717"/>
          <w:kern w:val="2"/>
          <w:sz w:val="22"/>
          <w:szCs w:val="22"/>
          <w:lang w:eastAsia="en-US"/>
          <w14:ligatures w14:val="standardContextual"/>
        </w:rPr>
        <w:t>Change;</w:t>
      </w:r>
      <w:proofErr w:type="gramEnd"/>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2A56B411" w14:textId="77777777" w:rsidR="00F83832" w:rsidRDefault="00F83832" w:rsidP="007859B6">
      <w:pPr>
        <w:numPr>
          <w:ilvl w:val="0"/>
          <w:numId w:val="1"/>
        </w:numPr>
        <w:spacing w:after="0" w:line="240" w:lineRule="auto"/>
        <w:ind w:left="990" w:right="3" w:hanging="45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lastRenderedPageBreak/>
        <w:t xml:space="preserve">a wide array of publications on the impact of climate variability and climate change on varying sectors, such as agriculture, tourism, and </w:t>
      </w:r>
      <w:proofErr w:type="gramStart"/>
      <w:r w:rsidRPr="007859B6">
        <w:rPr>
          <w:rFonts w:ascii="Times New Roman" w:eastAsia="Times New Roman" w:hAnsi="Times New Roman" w:cs="Times New Roman"/>
          <w:color w:val="181717"/>
          <w:kern w:val="2"/>
          <w:sz w:val="22"/>
          <w:szCs w:val="22"/>
          <w:lang w:eastAsia="en-US"/>
          <w14:ligatures w14:val="standardContextual"/>
        </w:rPr>
        <w:t>water;</w:t>
      </w:r>
      <w:proofErr w:type="gramEnd"/>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39D06B8B" w14:textId="77777777" w:rsidR="007859B6" w:rsidRPr="007859B6" w:rsidRDefault="007859B6" w:rsidP="007859B6">
      <w:pPr>
        <w:spacing w:after="0" w:line="240"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5B46A8D2" w14:textId="77777777" w:rsidR="00F83832" w:rsidRDefault="00F83832" w:rsidP="007859B6">
      <w:pPr>
        <w:numPr>
          <w:ilvl w:val="0"/>
          <w:numId w:val="1"/>
        </w:numPr>
        <w:spacing w:after="0" w:line="240" w:lineRule="auto"/>
        <w:ind w:left="990" w:right="3" w:hanging="45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the development and implementation of numerous capacity building and training workshops geared at improving the climate knowledge and capacity in the region; and   </w:t>
      </w:r>
    </w:p>
    <w:p w14:paraId="39F97FF8" w14:textId="77777777" w:rsidR="007859B6" w:rsidRDefault="007859B6" w:rsidP="007859B6">
      <w:pPr>
        <w:pStyle w:val="ListParagraph"/>
        <w:spacing w:after="0" w:line="240" w:lineRule="auto"/>
        <w:rPr>
          <w:rFonts w:ascii="Times New Roman" w:eastAsia="Times New Roman" w:hAnsi="Times New Roman" w:cs="Times New Roman"/>
          <w:color w:val="181717"/>
          <w:kern w:val="2"/>
          <w:sz w:val="22"/>
          <w:szCs w:val="22"/>
          <w:lang w:eastAsia="en-US"/>
          <w14:ligatures w14:val="standardContextual"/>
        </w:rPr>
      </w:pPr>
    </w:p>
    <w:p w14:paraId="40C7666B" w14:textId="77777777" w:rsidR="00F83832" w:rsidRPr="007859B6" w:rsidRDefault="00F83832" w:rsidP="007859B6">
      <w:pPr>
        <w:numPr>
          <w:ilvl w:val="0"/>
          <w:numId w:val="1"/>
        </w:numPr>
        <w:spacing w:after="0" w:line="240" w:lineRule="auto"/>
        <w:ind w:left="990" w:right="3" w:hanging="45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the preparation of the State of the Caribbean Climate (SOCC) Report, through support from the Caribbean Development Bank (CDB) </w:t>
      </w:r>
      <w:r w:rsidRPr="007859B6">
        <w:rPr>
          <w:rFonts w:ascii="Times New Roman" w:eastAsia="Times New Roman" w:hAnsi="Times New Roman" w:cs="Times New Roman"/>
          <w:color w:val="181717"/>
          <w:kern w:val="2"/>
          <w:sz w:val="22"/>
          <w:szCs w:val="22"/>
          <w:vertAlign w:val="superscript"/>
          <w:lang w:eastAsia="en-US"/>
          <w14:ligatures w14:val="standardContextual"/>
        </w:rPr>
        <w:footnoteReference w:id="4"/>
      </w:r>
      <w:r w:rsidRPr="007859B6">
        <w:rPr>
          <w:rFonts w:ascii="Times New Roman" w:eastAsia="Times New Roman" w:hAnsi="Times New Roman" w:cs="Times New Roman"/>
          <w:color w:val="181717"/>
          <w:kern w:val="2"/>
          <w:sz w:val="22"/>
          <w:szCs w:val="22"/>
          <w:lang w:eastAsia="en-US"/>
          <w14:ligatures w14:val="standardContextual"/>
        </w:rPr>
        <w:t xml:space="preserve"> to The University of the West Indies (UWI), Mona. The report, which was published online in 2020, analysed the current and future state of the region’s climate using the best available science and data at the time.  </w:t>
      </w:r>
    </w:p>
    <w:p w14:paraId="3CB0E074" w14:textId="50064CB1" w:rsidR="00F83832" w:rsidRPr="007859B6" w:rsidRDefault="00F83832" w:rsidP="007859B6">
      <w:pPr>
        <w:spacing w:after="0" w:line="240"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689F83DA" w14:textId="77777777" w:rsidR="00F83832" w:rsidRPr="007859B6" w:rsidRDefault="00F83832" w:rsidP="007859B6">
      <w:pPr>
        <w:numPr>
          <w:ilvl w:val="1"/>
          <w:numId w:val="2"/>
        </w:numPr>
        <w:spacing w:after="0" w:line="240" w:lineRule="auto"/>
        <w:ind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The SOCC Report has been viewed as a landmark activity for the region, as it provided the most in-depth view of Caribbean States in terms of the impacts of CVC and has been a go-to resource for anyone conducting climate-related endeavours within the Caribbean.  Importantly, the report contributed to an increase in the basic knowledge and understanding of CVC of Borrowing Member Countries (BMCs) of the CDB by providing decision-makers with the best available climate science information at the time in an easily digestible document.  Notwithstanding this, the Caribbean is once again lagging the globe in terms of the scenarios used to inform climate change, adaptation and mitigation efforts as the globe has now moved away from the use of both SRES and RCP scenarios to Shared Socioeconomic Pathways (SSPs).  There is therefore urgent need for the region to close this gap, so that it strengthens its efforts to appropriately respond to the threat of climate change.   </w:t>
      </w:r>
    </w:p>
    <w:p w14:paraId="4A92277F" w14:textId="7BB09D48" w:rsidR="00F83832" w:rsidRPr="007859B6" w:rsidRDefault="00F83832" w:rsidP="00F83832">
      <w:pPr>
        <w:spacing w:after="0" w:line="259" w:lineRule="auto"/>
        <w:ind w:left="1"/>
        <w:rPr>
          <w:rFonts w:ascii="Times New Roman" w:eastAsia="Times New Roman" w:hAnsi="Times New Roman" w:cs="Times New Roman"/>
          <w:color w:val="181717"/>
          <w:kern w:val="2"/>
          <w:sz w:val="22"/>
          <w:szCs w:val="22"/>
          <w:lang w:eastAsia="en-US"/>
          <w14:ligatures w14:val="standardContextual"/>
        </w:rPr>
      </w:pPr>
    </w:p>
    <w:p w14:paraId="64022327" w14:textId="77777777" w:rsidR="00F83832" w:rsidRPr="007859B6" w:rsidRDefault="00F83832" w:rsidP="007859B6">
      <w:pPr>
        <w:numPr>
          <w:ilvl w:val="1"/>
          <w:numId w:val="2"/>
        </w:numPr>
        <w:spacing w:after="0" w:line="240" w:lineRule="auto"/>
        <w:ind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Recognising the importance of addressing the </w:t>
      </w:r>
      <w:proofErr w:type="gramStart"/>
      <w:r w:rsidRPr="007859B6">
        <w:rPr>
          <w:rFonts w:ascii="Times New Roman" w:eastAsia="Times New Roman" w:hAnsi="Times New Roman" w:cs="Times New Roman"/>
          <w:color w:val="181717"/>
          <w:kern w:val="2"/>
          <w:sz w:val="22"/>
          <w:szCs w:val="22"/>
          <w:lang w:eastAsia="en-US"/>
          <w14:ligatures w14:val="standardContextual"/>
        </w:rPr>
        <w:t>aforementioned gaps</w:t>
      </w:r>
      <w:proofErr w:type="gramEnd"/>
      <w:r w:rsidRPr="007859B6">
        <w:rPr>
          <w:rFonts w:ascii="Times New Roman" w:eastAsia="Times New Roman" w:hAnsi="Times New Roman" w:cs="Times New Roman"/>
          <w:color w:val="181717"/>
          <w:kern w:val="2"/>
          <w:sz w:val="22"/>
          <w:szCs w:val="22"/>
          <w:lang w:eastAsia="en-US"/>
          <w14:ligatures w14:val="standardContextual"/>
        </w:rPr>
        <w:t xml:space="preserve">, CDB, under the European Union-funded Caribbean Action for Resilience Enhancement Programme, has provided grant resources to the UWI, Mona to implement the “Climate Systems, Techniques, and Resources, for Improved Decision-making, Education and Sustainability (STRIDES)” project.  The Climate STRIDES project seeks to engender enhanced climate resilience in the region through the provision of systems, tools and resources that improve decision making capacity, general awareness and influence behaviour change in the face of a changing climate.  Under the Climate STRIDES project, an updated volume of the SOCC Report will be prepared and made available for stakeholder validation, training, awareness and sensitisation.  </w:t>
      </w:r>
    </w:p>
    <w:p w14:paraId="60AF1864" w14:textId="38479AD5" w:rsidR="00F83832" w:rsidRPr="007859B6" w:rsidRDefault="00F83832" w:rsidP="007859B6">
      <w:pPr>
        <w:spacing w:after="0" w:line="240" w:lineRule="auto"/>
        <w:rPr>
          <w:rFonts w:ascii="Times New Roman" w:eastAsia="Times New Roman" w:hAnsi="Times New Roman" w:cs="Times New Roman"/>
          <w:color w:val="181717"/>
          <w:kern w:val="2"/>
          <w:sz w:val="22"/>
          <w:szCs w:val="22"/>
          <w:lang w:eastAsia="en-US"/>
          <w14:ligatures w14:val="standardContextual"/>
        </w:rPr>
      </w:pPr>
    </w:p>
    <w:p w14:paraId="70F5BECC" w14:textId="5F3E0DB0" w:rsidR="00F83832" w:rsidRPr="007859B6" w:rsidRDefault="00F83832" w:rsidP="007859B6">
      <w:pPr>
        <w:pStyle w:val="ListParagraph"/>
        <w:numPr>
          <w:ilvl w:val="0"/>
          <w:numId w:val="6"/>
        </w:numPr>
        <w:spacing w:after="0" w:line="240" w:lineRule="auto"/>
        <w:ind w:left="720" w:hanging="660"/>
        <w:rPr>
          <w:rFonts w:ascii="Times New Roman" w:hAnsi="Times New Roman" w:cs="Times New Roman"/>
          <w:b/>
          <w:bCs/>
          <w:color w:val="000000" w:themeColor="text1"/>
          <w:sz w:val="22"/>
          <w:szCs w:val="22"/>
          <w:u w:val="single"/>
        </w:rPr>
      </w:pPr>
      <w:r w:rsidRPr="007859B6">
        <w:rPr>
          <w:rFonts w:ascii="Times New Roman" w:hAnsi="Times New Roman" w:cs="Times New Roman"/>
          <w:b/>
          <w:bCs/>
          <w:color w:val="000000" w:themeColor="text1"/>
          <w:sz w:val="22"/>
          <w:szCs w:val="22"/>
          <w:u w:val="single"/>
        </w:rPr>
        <w:t xml:space="preserve">OBJECTIVE </w:t>
      </w:r>
    </w:p>
    <w:p w14:paraId="1EA58881" w14:textId="76F3AD6B" w:rsidR="00F83832" w:rsidRPr="007859B6" w:rsidRDefault="00F83832" w:rsidP="007859B6">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4F728205" w14:textId="57AF116A" w:rsidR="00F83832" w:rsidRPr="007859B6" w:rsidRDefault="00F83832" w:rsidP="007859B6">
      <w:pPr>
        <w:pStyle w:val="ListParagraph"/>
        <w:numPr>
          <w:ilvl w:val="1"/>
          <w:numId w:val="6"/>
        </w:numPr>
        <w:spacing w:after="0" w:line="240" w:lineRule="auto"/>
        <w:ind w:left="0" w:firstLine="0"/>
        <w:jc w:val="both"/>
        <w:rPr>
          <w:rFonts w:ascii="Times New Roman" w:eastAsia="Times New Roman" w:hAnsi="Times New Roman" w:cs="Times New Roman"/>
          <w:color w:val="181717"/>
          <w:kern w:val="2"/>
          <w:sz w:val="22"/>
          <w:szCs w:val="22"/>
          <w:lang w:eastAsia="en-US"/>
          <w14:ligatures w14:val="standardContextual"/>
        </w:rPr>
      </w:pPr>
      <w:bookmarkStart w:id="0" w:name="_Hlk207803256"/>
      <w:r w:rsidRPr="007859B6">
        <w:rPr>
          <w:rFonts w:ascii="Times New Roman" w:eastAsia="Times New Roman" w:hAnsi="Times New Roman" w:cs="Times New Roman"/>
          <w:color w:val="181717"/>
          <w:kern w:val="2"/>
          <w:sz w:val="22"/>
          <w:szCs w:val="22"/>
          <w:lang w:eastAsia="en-US"/>
          <w14:ligatures w14:val="standardContextual"/>
        </w:rPr>
        <w:t>The objective of this consultancy is to provide high-level climate change expertise to support the implementation of the Climate STRIDES Project, particularly as it relates to the preparation of the updated State of the Caribbean Climate (SOCC) Report</w:t>
      </w:r>
      <w:bookmarkEnd w:id="0"/>
      <w:r w:rsidRPr="007859B6">
        <w:rPr>
          <w:rFonts w:ascii="Times New Roman" w:eastAsia="Times New Roman" w:hAnsi="Times New Roman" w:cs="Times New Roman"/>
          <w:color w:val="181717"/>
          <w:kern w:val="2"/>
          <w:sz w:val="22"/>
          <w:szCs w:val="22"/>
          <w:lang w:eastAsia="en-US"/>
          <w14:ligatures w14:val="standardContextual"/>
        </w:rPr>
        <w:t>, the technical content of the knowledge products associated with the SOCC as well as stakeholder engagement and capacity building activities.</w:t>
      </w:r>
    </w:p>
    <w:p w14:paraId="59EC420F" w14:textId="77777777" w:rsidR="007859B6" w:rsidRPr="007859B6" w:rsidRDefault="007859B6" w:rsidP="007859B6">
      <w:pPr>
        <w:pStyle w:val="ListParagraph"/>
        <w:spacing w:after="0" w:line="240" w:lineRule="auto"/>
        <w:ind w:left="520"/>
        <w:jc w:val="both"/>
        <w:rPr>
          <w:rFonts w:ascii="Times New Roman" w:eastAsia="Times New Roman" w:hAnsi="Times New Roman" w:cs="Times New Roman"/>
          <w:color w:val="181717"/>
          <w:kern w:val="2"/>
          <w:sz w:val="22"/>
          <w:szCs w:val="22"/>
          <w:lang w:eastAsia="en-US"/>
          <w14:ligatures w14:val="standardContextual"/>
        </w:rPr>
      </w:pPr>
    </w:p>
    <w:p w14:paraId="60719A61" w14:textId="2DAED1EA" w:rsidR="00F83832" w:rsidRPr="007859B6" w:rsidRDefault="00F83832" w:rsidP="007859B6">
      <w:pPr>
        <w:pStyle w:val="Heading1"/>
        <w:numPr>
          <w:ilvl w:val="0"/>
          <w:numId w:val="6"/>
        </w:numPr>
        <w:spacing w:before="0" w:after="0" w:line="240" w:lineRule="auto"/>
        <w:ind w:left="720" w:hanging="720"/>
        <w:rPr>
          <w:rFonts w:ascii="Times New Roman" w:hAnsi="Times New Roman" w:cs="Times New Roman"/>
          <w:b/>
          <w:bCs/>
          <w:color w:val="000000" w:themeColor="text1"/>
          <w:sz w:val="22"/>
          <w:szCs w:val="22"/>
          <w:u w:val="single"/>
        </w:rPr>
      </w:pPr>
      <w:r w:rsidRPr="007859B6">
        <w:rPr>
          <w:rFonts w:ascii="Times New Roman" w:hAnsi="Times New Roman" w:cs="Times New Roman"/>
          <w:b/>
          <w:bCs/>
          <w:color w:val="000000" w:themeColor="text1"/>
          <w:sz w:val="22"/>
          <w:szCs w:val="22"/>
          <w:u w:val="single"/>
        </w:rPr>
        <w:t xml:space="preserve">SCOPE OF WORK </w:t>
      </w:r>
    </w:p>
    <w:p w14:paraId="013C553B" w14:textId="23604A6F" w:rsidR="00F83832" w:rsidRPr="007859B6" w:rsidRDefault="00F83832" w:rsidP="007859B6">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029E71AF" w14:textId="193DB319" w:rsidR="00F83832" w:rsidRPr="007859B6" w:rsidRDefault="00F83832" w:rsidP="007859B6">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3.01</w:t>
      </w:r>
      <w:r w:rsidR="003435AD">
        <w:rPr>
          <w:rFonts w:ascii="Times New Roman" w:eastAsia="Arial" w:hAnsi="Times New Roman" w:cs="Times New Roman"/>
          <w:color w:val="181717"/>
          <w:kern w:val="2"/>
          <w:sz w:val="22"/>
          <w:szCs w:val="22"/>
          <w:lang w:eastAsia="en-US"/>
          <w14:ligatures w14:val="standardContextual"/>
        </w:rPr>
        <w:tab/>
      </w:r>
      <w:r w:rsidRPr="007859B6">
        <w:rPr>
          <w:rFonts w:ascii="Times New Roman" w:eastAsia="Times New Roman" w:hAnsi="Times New Roman" w:cs="Times New Roman"/>
          <w:color w:val="181717"/>
          <w:kern w:val="2"/>
          <w:sz w:val="22"/>
          <w:szCs w:val="22"/>
          <w:lang w:eastAsia="en-US"/>
          <w14:ligatures w14:val="standardContextual"/>
        </w:rPr>
        <w:t>The Consultant will be assigned to the Climate Studies Group Mona at the University of the West Indies. Substantive duties and responsibilities of the Consultant include:</w:t>
      </w:r>
    </w:p>
    <w:p w14:paraId="137BF15D" w14:textId="5867DB98" w:rsidR="00F83832" w:rsidRPr="007859B6" w:rsidRDefault="00F83832" w:rsidP="007859B6">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14E730E6" w14:textId="77777777" w:rsidR="00F83832" w:rsidRPr="007859B6"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bookmarkStart w:id="1" w:name="_Hlk207803187"/>
      <w:r w:rsidRPr="007859B6">
        <w:rPr>
          <w:rFonts w:ascii="Times New Roman" w:eastAsia="Times New Roman" w:hAnsi="Times New Roman" w:cs="Times New Roman"/>
          <w:color w:val="181717"/>
          <w:kern w:val="2"/>
          <w:sz w:val="22"/>
          <w:szCs w:val="22"/>
          <w:lang w:eastAsia="en-US"/>
          <w14:ligatures w14:val="standardContextual"/>
        </w:rPr>
        <w:lastRenderedPageBreak/>
        <w:t xml:space="preserve">Providing high-level direction to guide the completion of the updated SOCC Report, working closely with the technical team, contributing authors and editors to ensure coherence, scientific robustness and overall quality of the report. In support of the foregoing, the Consultant will organise, facilitate, participate in review and working meetings, as required, to support advancement and finalisation of the SOCC Report. </w:t>
      </w:r>
    </w:p>
    <w:p w14:paraId="044BA3EA" w14:textId="77777777" w:rsidR="00F83832"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Lead the preparation of dedicated chapter(s) on emerging areas of climate science relevant to Caribbean Small Island Developing States, highlighting new research, tools, and methodologies, </w:t>
      </w:r>
      <w:r w:rsidRPr="007859B6">
        <w:rPr>
          <w:rFonts w:ascii="Times New Roman" w:eastAsia="Times New Roman" w:hAnsi="Times New Roman" w:cs="Times New Roman"/>
          <w:i/>
          <w:iCs/>
          <w:color w:val="181717"/>
          <w:kern w:val="2"/>
          <w:sz w:val="22"/>
          <w:szCs w:val="22"/>
          <w:lang w:eastAsia="en-US"/>
          <w14:ligatures w14:val="standardContextual"/>
        </w:rPr>
        <w:t>inter alia</w:t>
      </w:r>
      <w:r w:rsidRPr="007859B6">
        <w:rPr>
          <w:rFonts w:ascii="Times New Roman" w:eastAsia="Times New Roman" w:hAnsi="Times New Roman" w:cs="Times New Roman"/>
          <w:color w:val="181717"/>
          <w:kern w:val="2"/>
          <w:sz w:val="22"/>
          <w:szCs w:val="22"/>
          <w:lang w:eastAsia="en-US"/>
          <w14:ligatures w14:val="standardContextual"/>
        </w:rPr>
        <w:t xml:space="preserve">. The Consultant will engage with other subject matter experts, review recent literature, and synthesize findings as part of the development process for the chapter(s). </w:t>
      </w:r>
    </w:p>
    <w:p w14:paraId="3DAF8A71" w14:textId="77777777" w:rsidR="00C500D3" w:rsidRPr="007859B6" w:rsidRDefault="00C500D3" w:rsidP="003435AD">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64DBF440" w14:textId="77777777" w:rsidR="00F83832"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Support reviews of draft and full versions of the updated SOCC Report and provide guidance to support incorporation of feedback from reviewers, editors, and stakeholders into successive drafts. Key responsibilities for the review process include providing constructive feedback on the draft and full versions of the SOCC Report, coordinating responses to reviewer and editor comments, and ensuring that stakeholder input is appropriately reflected in updated drafts. </w:t>
      </w:r>
    </w:p>
    <w:p w14:paraId="58FEC81E" w14:textId="77777777" w:rsidR="00C500D3" w:rsidRDefault="00C500D3" w:rsidP="003435AD">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5363232" w14:textId="77777777" w:rsidR="00F83832"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Support the preparation and dissemination of technical summaries, fact sheets, infographics, and key messages tailored to specialized audiences such as policymakers, educators, and the </w:t>
      </w:r>
      <w:proofErr w:type="gramStart"/>
      <w:r w:rsidRPr="007859B6">
        <w:rPr>
          <w:rFonts w:ascii="Times New Roman" w:eastAsia="Times New Roman" w:hAnsi="Times New Roman" w:cs="Times New Roman"/>
          <w:color w:val="181717"/>
          <w:kern w:val="2"/>
          <w:sz w:val="22"/>
          <w:szCs w:val="22"/>
          <w:lang w:eastAsia="en-US"/>
          <w14:ligatures w14:val="standardContextual"/>
        </w:rPr>
        <w:t>general public</w:t>
      </w:r>
      <w:proofErr w:type="gramEnd"/>
      <w:r w:rsidRPr="007859B6">
        <w:rPr>
          <w:rFonts w:ascii="Times New Roman" w:eastAsia="Times New Roman" w:hAnsi="Times New Roman" w:cs="Times New Roman"/>
          <w:color w:val="181717"/>
          <w:kern w:val="2"/>
          <w:sz w:val="22"/>
          <w:szCs w:val="22"/>
          <w:lang w:eastAsia="en-US"/>
          <w14:ligatures w14:val="standardContextual"/>
        </w:rPr>
        <w:t>. The Consultant will ensure that these products are scientifically accurate, clear, and accessible, and will work with other assigned team members to amplify their reach and impact.</w:t>
      </w:r>
    </w:p>
    <w:p w14:paraId="5DE1D755" w14:textId="77777777" w:rsidR="00C500D3" w:rsidRDefault="00C500D3" w:rsidP="003435AD">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B30A2BF" w14:textId="77777777" w:rsidR="00F83832"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Provide technical guidance to support the development of educational and knowledge products as well as web-based tools based on the SOCC Report findings. In support of this activity, the Consultant will work closely with the team from the UWI’s School of Education as well as consultants engaged to prepare the climate change textbook, teachers’ manual, as well as other knowledge products and tools.</w:t>
      </w:r>
    </w:p>
    <w:p w14:paraId="65692E56" w14:textId="77777777" w:rsidR="00C500D3" w:rsidRDefault="00C500D3" w:rsidP="003435AD">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43E05985" w14:textId="77777777" w:rsidR="00F83832" w:rsidRPr="007859B6" w:rsidRDefault="00F83832" w:rsidP="003435AD">
      <w:pPr>
        <w:numPr>
          <w:ilvl w:val="0"/>
          <w:numId w:val="3"/>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Lead and/or participate in capacity building, stakeholder engagement and visibility activities, including workshops, webinars, training sessions, and visibility events. The Consultant will help design and deliver capacity building interventions for a wide range of audiences, ensuring that the updated SOCC Report and related products are understood and utilized by policymakers, practitioners, educators, and community leaders.</w:t>
      </w:r>
    </w:p>
    <w:bookmarkEnd w:id="1"/>
    <w:p w14:paraId="10D71EF5" w14:textId="77777777" w:rsidR="00F83832" w:rsidRPr="007859B6" w:rsidRDefault="00F83832" w:rsidP="003435AD">
      <w:pPr>
        <w:spacing w:after="0" w:line="240" w:lineRule="auto"/>
        <w:ind w:left="990" w:right="3"/>
        <w:jc w:val="both"/>
        <w:rPr>
          <w:rFonts w:ascii="Times New Roman" w:eastAsia="Times New Roman" w:hAnsi="Times New Roman" w:cs="Times New Roman"/>
          <w:color w:val="181717"/>
          <w:kern w:val="2"/>
          <w:sz w:val="22"/>
          <w:szCs w:val="22"/>
          <w:lang w:eastAsia="en-US"/>
          <w14:ligatures w14:val="standardContextual"/>
        </w:rPr>
      </w:pPr>
    </w:p>
    <w:p w14:paraId="27CB561A" w14:textId="77777777" w:rsidR="00F83832" w:rsidRPr="007859B6" w:rsidRDefault="00F83832" w:rsidP="003435AD">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3.02</w:t>
      </w:r>
      <w:r w:rsidRPr="007859B6">
        <w:rPr>
          <w:rFonts w:ascii="Times New Roman" w:eastAsia="Arial" w:hAnsi="Times New Roman" w:cs="Times New Roman"/>
          <w:color w:val="181717"/>
          <w:kern w:val="2"/>
          <w:sz w:val="22"/>
          <w:szCs w:val="22"/>
          <w:lang w:eastAsia="en-US"/>
          <w14:ligatures w14:val="standardContextual"/>
        </w:rPr>
        <w:t xml:space="preserve"> </w:t>
      </w:r>
      <w:r w:rsidRPr="007859B6">
        <w:rPr>
          <w:rFonts w:ascii="Times New Roman" w:eastAsia="Times New Roman" w:hAnsi="Times New Roman" w:cs="Times New Roman"/>
          <w:color w:val="181717"/>
          <w:kern w:val="2"/>
          <w:sz w:val="22"/>
          <w:szCs w:val="22"/>
          <w:lang w:eastAsia="en-US"/>
          <w14:ligatures w14:val="standardContextual"/>
        </w:rPr>
        <w:t>The Senior Climate Change Consultant will also perform other tasks related to the scope of work of this consultancy, as assigned by the CSGM Principal Investigator and/or the Climate STRIDES Project Coordinator.</w:t>
      </w:r>
    </w:p>
    <w:p w14:paraId="3EB2E6A8" w14:textId="77777777" w:rsidR="00F83832" w:rsidRPr="007859B6" w:rsidRDefault="00F83832" w:rsidP="003435AD">
      <w:pPr>
        <w:spacing w:after="0" w:line="240" w:lineRule="auto"/>
        <w:ind w:left="1" w:firstLine="2"/>
        <w:jc w:val="both"/>
        <w:rPr>
          <w:rFonts w:ascii="Times New Roman" w:eastAsia="Arial" w:hAnsi="Times New Roman" w:cs="Times New Roman"/>
          <w:color w:val="181717"/>
          <w:kern w:val="2"/>
          <w:sz w:val="22"/>
          <w:szCs w:val="22"/>
          <w:lang w:eastAsia="en-US"/>
          <w14:ligatures w14:val="standardContextual"/>
        </w:rPr>
      </w:pPr>
    </w:p>
    <w:p w14:paraId="7047923F" w14:textId="43B9B5D5" w:rsidR="00F83832" w:rsidRPr="00194ABE" w:rsidRDefault="00F83832" w:rsidP="003435AD">
      <w:pPr>
        <w:pStyle w:val="Heading1"/>
        <w:numPr>
          <w:ilvl w:val="0"/>
          <w:numId w:val="6"/>
        </w:numPr>
        <w:spacing w:before="0" w:after="0" w:line="240" w:lineRule="auto"/>
        <w:ind w:left="720" w:hanging="660"/>
        <w:rPr>
          <w:rFonts w:ascii="Times New Roman" w:hAnsi="Times New Roman" w:cs="Times New Roman"/>
          <w:b/>
          <w:bCs/>
          <w:color w:val="000000" w:themeColor="text1"/>
          <w:sz w:val="22"/>
          <w:szCs w:val="22"/>
          <w:u w:val="single"/>
        </w:rPr>
      </w:pPr>
      <w:r w:rsidRPr="00194ABE">
        <w:rPr>
          <w:rFonts w:ascii="Times New Roman" w:hAnsi="Times New Roman" w:cs="Times New Roman"/>
          <w:b/>
          <w:bCs/>
          <w:color w:val="000000" w:themeColor="text1"/>
          <w:sz w:val="22"/>
          <w:szCs w:val="22"/>
          <w:u w:val="single"/>
        </w:rPr>
        <w:t xml:space="preserve">QUALIFICATIONS AND EXPERIENCE </w:t>
      </w:r>
    </w:p>
    <w:p w14:paraId="04C26537" w14:textId="6A75FC24" w:rsidR="00F83832" w:rsidRPr="007859B6" w:rsidRDefault="00F83832" w:rsidP="003435AD">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30B198DE" w14:textId="21ED3BFA" w:rsidR="00F83832" w:rsidRPr="007859B6" w:rsidRDefault="00F83832" w:rsidP="003435AD">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4.01</w:t>
      </w:r>
      <w:r w:rsidRPr="007859B6">
        <w:rPr>
          <w:rFonts w:ascii="Times New Roman" w:eastAsia="Arial" w:hAnsi="Times New Roman" w:cs="Times New Roman"/>
          <w:color w:val="181717"/>
          <w:kern w:val="2"/>
          <w:sz w:val="22"/>
          <w:szCs w:val="22"/>
          <w:lang w:eastAsia="en-US"/>
          <w14:ligatures w14:val="standardContextual"/>
        </w:rPr>
        <w:tab/>
      </w:r>
      <w:r w:rsidRPr="007859B6">
        <w:rPr>
          <w:rFonts w:ascii="Times New Roman" w:eastAsia="Times New Roman" w:hAnsi="Times New Roman" w:cs="Times New Roman"/>
          <w:color w:val="181717"/>
          <w:kern w:val="2"/>
          <w:sz w:val="22"/>
          <w:szCs w:val="22"/>
          <w:lang w:eastAsia="en-US"/>
          <w14:ligatures w14:val="standardContextual"/>
        </w:rPr>
        <w:t xml:space="preserve">The Consultant should possess the following minimum qualifications and experience: </w:t>
      </w:r>
    </w:p>
    <w:p w14:paraId="284244BB" w14:textId="77777777" w:rsidR="00F83832" w:rsidRPr="007859B6" w:rsidRDefault="00F83832" w:rsidP="003435AD">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115389BC" w14:textId="77777777" w:rsidR="00F83832" w:rsidRDefault="00F83832" w:rsidP="003435AD">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Doctorate in Physics, Climate Science, Environmental Science, Meteorology, or a closely related discipline.</w:t>
      </w:r>
    </w:p>
    <w:p w14:paraId="5F53E145" w14:textId="77777777" w:rsidR="003435AD" w:rsidRPr="007859B6" w:rsidRDefault="003435AD" w:rsidP="003435AD">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4CD7B5EE" w14:textId="77777777" w:rsidR="00F83832" w:rsidRPr="003435AD" w:rsidRDefault="00F83832" w:rsidP="003435AD">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A minimum of ten years of relevant</w:t>
      </w:r>
      <w:r w:rsidRPr="007859B6">
        <w:rPr>
          <w:rFonts w:ascii="Times New Roman" w:eastAsia="Times New Roman" w:hAnsi="Times New Roman" w:cs="Times New Roman"/>
          <w:kern w:val="2"/>
          <w:sz w:val="22"/>
          <w:szCs w:val="22"/>
          <w:lang w:eastAsia="en-US"/>
          <w14:ligatures w14:val="standardContextual"/>
        </w:rPr>
        <w:t xml:space="preserve"> professional experience related to any, or a combination of, the disciplines covered in (a). </w:t>
      </w:r>
    </w:p>
    <w:p w14:paraId="45A441BD" w14:textId="77777777" w:rsidR="003435AD" w:rsidRDefault="003435AD" w:rsidP="003435AD">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0A6B53FD" w14:textId="77777777" w:rsidR="00F83832" w:rsidRDefault="00F83832" w:rsidP="003435AD">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At least five similar completed assignments (co)authoring national and/or regional climate science assessments, reports, or publications.</w:t>
      </w:r>
    </w:p>
    <w:p w14:paraId="79A6EEFA" w14:textId="77777777" w:rsidR="003435AD" w:rsidRDefault="003435AD" w:rsidP="003435AD">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38158228" w14:textId="77777777" w:rsidR="003435AD" w:rsidRDefault="00F83832" w:rsidP="003435AD">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Strong background in climate research relevant to Caribbean SIDS, as evidenced by prior experience leading and/or participating in climate-focused research projects. </w:t>
      </w:r>
    </w:p>
    <w:p w14:paraId="5993E1E6" w14:textId="77777777" w:rsidR="00F83832" w:rsidRDefault="00F83832" w:rsidP="00F43069">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At least three years of experience performing climate analysis and/or using modelling software and/or programming languages commonly used in climate research. </w:t>
      </w:r>
    </w:p>
    <w:p w14:paraId="1A8D1AF0" w14:textId="77777777" w:rsidR="003435AD" w:rsidRPr="007859B6" w:rsidRDefault="003435AD" w:rsidP="00F43069">
      <w:p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p>
    <w:p w14:paraId="194E25D9" w14:textId="77777777" w:rsidR="00F83832" w:rsidRDefault="00F83832" w:rsidP="00F43069">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Prior experience leading and/or supporting the development of climate change related knowledge products and tools for use by Caribbean stakeholders.</w:t>
      </w:r>
    </w:p>
    <w:p w14:paraId="2E113916" w14:textId="77777777" w:rsidR="003435AD" w:rsidRDefault="003435AD" w:rsidP="00F43069">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660EC1E2" w14:textId="77777777" w:rsidR="00F83832" w:rsidRDefault="00F83832" w:rsidP="00F43069">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Strong training/capacity building skills, evidenced particularly through prior experience conducting climate change-focused training and capacity building for a range of Caribbean stakeholders.</w:t>
      </w:r>
    </w:p>
    <w:p w14:paraId="1EBE1A47" w14:textId="77777777" w:rsidR="003435AD" w:rsidRDefault="003435AD" w:rsidP="00F43069">
      <w:pPr>
        <w:pStyle w:val="ListParagraph"/>
        <w:spacing w:after="0" w:line="240" w:lineRule="auto"/>
        <w:ind w:left="1440" w:hanging="720"/>
        <w:rPr>
          <w:rFonts w:ascii="Times New Roman" w:eastAsia="Times New Roman" w:hAnsi="Times New Roman" w:cs="Times New Roman"/>
          <w:color w:val="181717"/>
          <w:kern w:val="2"/>
          <w:sz w:val="22"/>
          <w:szCs w:val="22"/>
          <w:lang w:eastAsia="en-US"/>
          <w14:ligatures w14:val="standardContextual"/>
        </w:rPr>
      </w:pPr>
    </w:p>
    <w:p w14:paraId="5F30E2F3" w14:textId="77777777" w:rsidR="00F83832" w:rsidRPr="007859B6" w:rsidRDefault="00F83832" w:rsidP="00F43069">
      <w:pPr>
        <w:numPr>
          <w:ilvl w:val="0"/>
          <w:numId w:val="4"/>
        </w:numPr>
        <w:spacing w:after="0" w:line="240" w:lineRule="auto"/>
        <w:ind w:left="1440" w:right="3" w:hanging="720"/>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Excellent writing and communication skills in English Language, e.g., as evidenced by the CV detailing academic publications, reports and other professional written work, including for a general audience as well as presentations and talks delivered in the English Language. </w:t>
      </w:r>
    </w:p>
    <w:p w14:paraId="717F7B09" w14:textId="77777777" w:rsidR="00F83832" w:rsidRPr="007859B6" w:rsidRDefault="00F83832" w:rsidP="00F43069">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0FDF423A" w14:textId="0EF48350" w:rsidR="00F83832" w:rsidRPr="003435AD" w:rsidRDefault="00F83832" w:rsidP="00F43069">
      <w:pPr>
        <w:pStyle w:val="Heading1"/>
        <w:numPr>
          <w:ilvl w:val="0"/>
          <w:numId w:val="6"/>
        </w:numPr>
        <w:spacing w:before="0" w:after="0" w:line="240" w:lineRule="auto"/>
        <w:ind w:left="720" w:hanging="660"/>
        <w:rPr>
          <w:rFonts w:ascii="Times New Roman" w:hAnsi="Times New Roman" w:cs="Times New Roman"/>
          <w:b/>
          <w:bCs/>
          <w:color w:val="000000" w:themeColor="text1"/>
          <w:sz w:val="22"/>
          <w:szCs w:val="22"/>
          <w:u w:val="single"/>
        </w:rPr>
      </w:pPr>
      <w:r w:rsidRPr="003435AD">
        <w:rPr>
          <w:rFonts w:ascii="Times New Roman" w:hAnsi="Times New Roman" w:cs="Times New Roman"/>
          <w:b/>
          <w:bCs/>
          <w:color w:val="000000" w:themeColor="text1"/>
          <w:sz w:val="22"/>
          <w:szCs w:val="22"/>
          <w:u w:val="single"/>
        </w:rPr>
        <w:t xml:space="preserve">REPORTING REQUIREMENTS AND DELIVERABLES </w:t>
      </w:r>
    </w:p>
    <w:p w14:paraId="02FC7075" w14:textId="4FEAB726" w:rsidR="00F83832" w:rsidRPr="007859B6" w:rsidRDefault="00F83832" w:rsidP="00F43069">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2972F3A0" w14:textId="45F69670" w:rsidR="00F83832" w:rsidRPr="007859B6" w:rsidRDefault="00F83832" w:rsidP="00F43069">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5.01</w:t>
      </w:r>
      <w:r w:rsidR="003435AD">
        <w:rPr>
          <w:rFonts w:ascii="Times New Roman" w:eastAsia="Arial" w:hAnsi="Times New Roman" w:cs="Times New Roman"/>
          <w:color w:val="181717"/>
          <w:kern w:val="2"/>
          <w:sz w:val="22"/>
          <w:szCs w:val="22"/>
          <w:lang w:eastAsia="en-US"/>
          <w14:ligatures w14:val="standardContextual"/>
        </w:rPr>
        <w:tab/>
      </w:r>
      <w:r w:rsidRPr="007859B6">
        <w:rPr>
          <w:rFonts w:ascii="Times New Roman" w:eastAsia="Times New Roman" w:hAnsi="Times New Roman" w:cs="Times New Roman"/>
          <w:color w:val="181717"/>
          <w:kern w:val="2"/>
          <w:sz w:val="22"/>
          <w:szCs w:val="22"/>
          <w:lang w:eastAsia="en-US"/>
          <w14:ligatures w14:val="standardContextual"/>
        </w:rPr>
        <w:t xml:space="preserve">The Consultant will report to the CSGM Principal Investigator and the Project Coordinator for the Climate STRIDES project. </w:t>
      </w:r>
    </w:p>
    <w:p w14:paraId="39F900AB" w14:textId="77777777" w:rsidR="00F83832" w:rsidRPr="007859B6" w:rsidRDefault="00F83832" w:rsidP="00F43069">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 </w:t>
      </w:r>
    </w:p>
    <w:p w14:paraId="209B6BCD" w14:textId="3EFD3BB8" w:rsidR="00F83832" w:rsidRPr="007859B6" w:rsidRDefault="00F83832" w:rsidP="00F43069">
      <w:pPr>
        <w:tabs>
          <w:tab w:val="center" w:pos="4479"/>
        </w:tabs>
        <w:spacing w:after="0" w:line="240" w:lineRule="auto"/>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5.02</w:t>
      </w:r>
      <w:r w:rsidR="003435AD">
        <w:rPr>
          <w:rFonts w:ascii="Times New Roman" w:eastAsia="Arial" w:hAnsi="Times New Roman" w:cs="Times New Roman"/>
          <w:color w:val="181717"/>
          <w:kern w:val="2"/>
          <w:sz w:val="22"/>
          <w:szCs w:val="22"/>
          <w:lang w:eastAsia="en-US"/>
          <w14:ligatures w14:val="standardContextual"/>
        </w:rPr>
        <w:tab/>
      </w:r>
      <w:r w:rsidRPr="007859B6">
        <w:rPr>
          <w:rFonts w:ascii="Times New Roman" w:eastAsia="Times New Roman" w:hAnsi="Times New Roman" w:cs="Times New Roman"/>
          <w:color w:val="181717"/>
          <w:kern w:val="2"/>
          <w:sz w:val="22"/>
          <w:szCs w:val="22"/>
          <w:lang w:eastAsia="en-US"/>
          <w14:ligatures w14:val="standardContextual"/>
        </w:rPr>
        <w:t>The Consultant is expected to produce the deliverables listed in Table 1.</w:t>
      </w:r>
    </w:p>
    <w:p w14:paraId="05835C7C" w14:textId="77777777" w:rsidR="00F83832" w:rsidRPr="007859B6" w:rsidRDefault="00F83832" w:rsidP="00F43069">
      <w:pPr>
        <w:tabs>
          <w:tab w:val="center" w:pos="4479"/>
        </w:tabs>
        <w:spacing w:after="0" w:line="240" w:lineRule="auto"/>
        <w:rPr>
          <w:rFonts w:ascii="Times New Roman" w:eastAsia="Times New Roman" w:hAnsi="Times New Roman" w:cs="Times New Roman"/>
          <w:color w:val="181717"/>
          <w:kern w:val="2"/>
          <w:sz w:val="22"/>
          <w:szCs w:val="22"/>
          <w:lang w:eastAsia="en-US"/>
          <w14:ligatures w14:val="standardContextual"/>
        </w:rPr>
      </w:pPr>
    </w:p>
    <w:p w14:paraId="1B7FBFB1" w14:textId="77777777" w:rsidR="00F83832" w:rsidRPr="007859B6" w:rsidRDefault="00F83832" w:rsidP="00F43069">
      <w:pPr>
        <w:pStyle w:val="Caption"/>
        <w:keepNext/>
        <w:spacing w:after="0"/>
        <w:rPr>
          <w:rFonts w:ascii="Times New Roman" w:hAnsi="Times New Roman" w:cs="Times New Roman"/>
          <w:sz w:val="22"/>
          <w:szCs w:val="22"/>
        </w:rPr>
      </w:pPr>
      <w:r w:rsidRPr="007859B6">
        <w:rPr>
          <w:rFonts w:ascii="Times New Roman" w:hAnsi="Times New Roman" w:cs="Times New Roman"/>
          <w:sz w:val="22"/>
          <w:szCs w:val="22"/>
        </w:rPr>
        <w:t xml:space="preserve">Table </w:t>
      </w:r>
      <w:r w:rsidRPr="007859B6">
        <w:rPr>
          <w:rFonts w:ascii="Times New Roman" w:hAnsi="Times New Roman" w:cs="Times New Roman"/>
          <w:sz w:val="22"/>
          <w:szCs w:val="22"/>
        </w:rPr>
        <w:fldChar w:fldCharType="begin"/>
      </w:r>
      <w:r w:rsidRPr="007859B6">
        <w:rPr>
          <w:rFonts w:ascii="Times New Roman" w:hAnsi="Times New Roman" w:cs="Times New Roman"/>
          <w:sz w:val="22"/>
          <w:szCs w:val="22"/>
        </w:rPr>
        <w:instrText xml:space="preserve"> SEQ Table \* ARABIC </w:instrText>
      </w:r>
      <w:r w:rsidRPr="007859B6">
        <w:rPr>
          <w:rFonts w:ascii="Times New Roman" w:hAnsi="Times New Roman" w:cs="Times New Roman"/>
          <w:sz w:val="22"/>
          <w:szCs w:val="22"/>
        </w:rPr>
        <w:fldChar w:fldCharType="separate"/>
      </w:r>
      <w:r w:rsidRPr="007859B6">
        <w:rPr>
          <w:rFonts w:ascii="Times New Roman" w:hAnsi="Times New Roman" w:cs="Times New Roman"/>
          <w:noProof/>
          <w:sz w:val="22"/>
          <w:szCs w:val="22"/>
        </w:rPr>
        <w:t>1</w:t>
      </w:r>
      <w:r w:rsidRPr="007859B6">
        <w:rPr>
          <w:rFonts w:ascii="Times New Roman" w:hAnsi="Times New Roman" w:cs="Times New Roman"/>
          <w:sz w:val="22"/>
          <w:szCs w:val="22"/>
        </w:rPr>
        <w:fldChar w:fldCharType="end"/>
      </w:r>
      <w:r w:rsidRPr="007859B6">
        <w:rPr>
          <w:rFonts w:ascii="Times New Roman" w:hAnsi="Times New Roman" w:cs="Times New Roman"/>
          <w:sz w:val="22"/>
          <w:szCs w:val="22"/>
        </w:rPr>
        <w:t>. Consultancy Deliverables and Due Dates</w:t>
      </w:r>
    </w:p>
    <w:tbl>
      <w:tblPr>
        <w:tblStyle w:val="TableGrid"/>
        <w:tblW w:w="0" w:type="auto"/>
        <w:tblLook w:val="04A0" w:firstRow="1" w:lastRow="0" w:firstColumn="1" w:lastColumn="0" w:noHBand="0" w:noVBand="1"/>
      </w:tblPr>
      <w:tblGrid>
        <w:gridCol w:w="6475"/>
        <w:gridCol w:w="2875"/>
      </w:tblGrid>
      <w:tr w:rsidR="00F83832" w:rsidRPr="007859B6" w14:paraId="2291206F" w14:textId="77777777" w:rsidTr="002A35A0">
        <w:tc>
          <w:tcPr>
            <w:tcW w:w="6475" w:type="dxa"/>
          </w:tcPr>
          <w:p w14:paraId="0EE99716" w14:textId="77777777" w:rsidR="00F83832" w:rsidRPr="007859B6" w:rsidRDefault="00F83832" w:rsidP="00F43069">
            <w:pPr>
              <w:tabs>
                <w:tab w:val="center" w:pos="4479"/>
              </w:tabs>
              <w:spacing w:line="240" w:lineRule="auto"/>
              <w:rPr>
                <w:rFonts w:ascii="Times New Roman" w:eastAsia="Times New Roman" w:hAnsi="Times New Roman" w:cs="Times New Roman"/>
                <w:b/>
                <w:bCs/>
                <w:color w:val="181717"/>
                <w:kern w:val="2"/>
                <w:sz w:val="22"/>
                <w:szCs w:val="22"/>
                <w:lang w:eastAsia="en-US"/>
                <w14:ligatures w14:val="standardContextual"/>
              </w:rPr>
            </w:pPr>
            <w:r w:rsidRPr="007859B6">
              <w:rPr>
                <w:rFonts w:ascii="Times New Roman" w:eastAsia="Times New Roman" w:hAnsi="Times New Roman" w:cs="Times New Roman"/>
                <w:b/>
                <w:bCs/>
                <w:color w:val="181717"/>
                <w:kern w:val="2"/>
                <w:sz w:val="22"/>
                <w:szCs w:val="22"/>
                <w:lang w:eastAsia="en-US"/>
                <w14:ligatures w14:val="standardContextual"/>
              </w:rPr>
              <w:t>Deliverable</w:t>
            </w:r>
          </w:p>
        </w:tc>
        <w:tc>
          <w:tcPr>
            <w:tcW w:w="2875" w:type="dxa"/>
          </w:tcPr>
          <w:p w14:paraId="3255D9CB" w14:textId="77777777" w:rsidR="00F83832" w:rsidRPr="007859B6" w:rsidRDefault="00F83832" w:rsidP="00F43069">
            <w:pPr>
              <w:tabs>
                <w:tab w:val="center" w:pos="4479"/>
              </w:tabs>
              <w:spacing w:line="240" w:lineRule="auto"/>
              <w:rPr>
                <w:rFonts w:ascii="Times New Roman" w:eastAsia="Times New Roman" w:hAnsi="Times New Roman" w:cs="Times New Roman"/>
                <w:b/>
                <w:bCs/>
                <w:color w:val="181717"/>
                <w:kern w:val="2"/>
                <w:sz w:val="22"/>
                <w:szCs w:val="22"/>
                <w:lang w:eastAsia="en-US"/>
                <w14:ligatures w14:val="standardContextual"/>
              </w:rPr>
            </w:pPr>
            <w:r w:rsidRPr="007859B6">
              <w:rPr>
                <w:rFonts w:ascii="Times New Roman" w:eastAsia="Times New Roman" w:hAnsi="Times New Roman" w:cs="Times New Roman"/>
                <w:b/>
                <w:bCs/>
                <w:color w:val="181717"/>
                <w:kern w:val="2"/>
                <w:sz w:val="22"/>
                <w:szCs w:val="22"/>
                <w:lang w:eastAsia="en-US"/>
                <w14:ligatures w14:val="standardContextual"/>
              </w:rPr>
              <w:t>Expected Due Date</w:t>
            </w:r>
          </w:p>
        </w:tc>
      </w:tr>
      <w:tr w:rsidR="00F83832" w:rsidRPr="007859B6" w14:paraId="52AA6058" w14:textId="77777777" w:rsidTr="002A35A0">
        <w:tc>
          <w:tcPr>
            <w:tcW w:w="6475" w:type="dxa"/>
          </w:tcPr>
          <w:p w14:paraId="3495F414" w14:textId="77777777" w:rsidR="00F83832" w:rsidRPr="007859B6" w:rsidRDefault="00F83832" w:rsidP="00F43069">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Draft chapter(s) on emerging areas of climate science relevant to Caribbean Small Island Developing States, highlighting new research, tools, and methodologies, </w:t>
            </w:r>
            <w:r w:rsidRPr="007859B6">
              <w:rPr>
                <w:rFonts w:ascii="Times New Roman" w:eastAsia="Times New Roman" w:hAnsi="Times New Roman" w:cs="Times New Roman"/>
                <w:i/>
                <w:iCs/>
                <w:color w:val="181717"/>
                <w:kern w:val="2"/>
                <w:sz w:val="22"/>
                <w:szCs w:val="22"/>
                <w:lang w:eastAsia="en-US"/>
                <w14:ligatures w14:val="standardContextual"/>
              </w:rPr>
              <w:t>inter alia</w:t>
            </w:r>
            <w:r w:rsidRPr="007859B6">
              <w:rPr>
                <w:rFonts w:ascii="Times New Roman" w:eastAsia="Times New Roman" w:hAnsi="Times New Roman" w:cs="Times New Roman"/>
                <w:color w:val="181717"/>
                <w:kern w:val="2"/>
                <w:sz w:val="22"/>
                <w:szCs w:val="22"/>
                <w:lang w:eastAsia="en-US"/>
                <w14:ligatures w14:val="standardContextual"/>
              </w:rPr>
              <w:t xml:space="preserve">. </w:t>
            </w:r>
          </w:p>
        </w:tc>
        <w:tc>
          <w:tcPr>
            <w:tcW w:w="2875" w:type="dxa"/>
          </w:tcPr>
          <w:p w14:paraId="77C16E1E" w14:textId="77777777" w:rsidR="00F83832" w:rsidRPr="007859B6" w:rsidRDefault="00F83832" w:rsidP="00F43069">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End of Month 1</w:t>
            </w:r>
          </w:p>
        </w:tc>
      </w:tr>
      <w:tr w:rsidR="00F83832" w:rsidRPr="007859B6" w14:paraId="2665E0E0" w14:textId="77777777" w:rsidTr="002A35A0">
        <w:tc>
          <w:tcPr>
            <w:tcW w:w="6475" w:type="dxa"/>
          </w:tcPr>
          <w:p w14:paraId="6D3EFC16" w14:textId="77777777" w:rsidR="00F83832" w:rsidRPr="007859B6" w:rsidRDefault="00F83832" w:rsidP="00F43069">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 xml:space="preserve">Finalised chapter(s) on emerging areas of climate science relevant to Caribbean Small Island Developing States, highlighting new research, tools, and methodologies, </w:t>
            </w:r>
            <w:r w:rsidRPr="007859B6">
              <w:rPr>
                <w:rFonts w:ascii="Times New Roman" w:eastAsia="Times New Roman" w:hAnsi="Times New Roman" w:cs="Times New Roman"/>
                <w:i/>
                <w:iCs/>
                <w:color w:val="181717"/>
                <w:kern w:val="2"/>
                <w:sz w:val="22"/>
                <w:szCs w:val="22"/>
                <w:lang w:eastAsia="en-US"/>
                <w14:ligatures w14:val="standardContextual"/>
              </w:rPr>
              <w:t>inter alia</w:t>
            </w:r>
            <w:r w:rsidRPr="007859B6">
              <w:rPr>
                <w:rFonts w:ascii="Times New Roman" w:eastAsia="Times New Roman" w:hAnsi="Times New Roman" w:cs="Times New Roman"/>
                <w:color w:val="181717"/>
                <w:kern w:val="2"/>
                <w:sz w:val="22"/>
                <w:szCs w:val="22"/>
                <w:lang w:eastAsia="en-US"/>
                <w14:ligatures w14:val="standardContextual"/>
              </w:rPr>
              <w:t>.</w:t>
            </w:r>
          </w:p>
        </w:tc>
        <w:tc>
          <w:tcPr>
            <w:tcW w:w="2875" w:type="dxa"/>
          </w:tcPr>
          <w:p w14:paraId="2459DC51" w14:textId="77777777" w:rsidR="00F83832" w:rsidRPr="007859B6" w:rsidRDefault="00F83832" w:rsidP="00F43069">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End of Month 2</w:t>
            </w:r>
          </w:p>
        </w:tc>
      </w:tr>
      <w:tr w:rsidR="00F83832" w:rsidRPr="007859B6" w14:paraId="408DFE96" w14:textId="77777777" w:rsidTr="002A35A0">
        <w:tc>
          <w:tcPr>
            <w:tcW w:w="6475" w:type="dxa"/>
          </w:tcPr>
          <w:p w14:paraId="2D70B5DC" w14:textId="77777777" w:rsidR="00F83832" w:rsidRPr="007859B6" w:rsidRDefault="00F83832" w:rsidP="00F43069">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Report on:</w:t>
            </w:r>
          </w:p>
          <w:p w14:paraId="57FD9382"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Technical guidance and support provided for (i) the completion of the SOCC Report; (ii) development of educational and knowledge products; and (iii) interface with web-based tools based on the SOCC Report findings.</w:t>
            </w:r>
          </w:p>
          <w:p w14:paraId="3610D338"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Reviews of the complete draft and graphic designed versions of the full SOCC Report, with supporting attachments such as the Consultant’s feedback (tracked changes, comments etc.) on the documents.</w:t>
            </w:r>
          </w:p>
          <w:p w14:paraId="3E83E1E3"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Contributions to the development of technical summaries, fact sheets, infographics and key messages for specialised audiences, with supporting attachments/evidence.</w:t>
            </w:r>
          </w:p>
        </w:tc>
        <w:tc>
          <w:tcPr>
            <w:tcW w:w="2875" w:type="dxa"/>
          </w:tcPr>
          <w:p w14:paraId="647D936F" w14:textId="77777777" w:rsidR="00F83832" w:rsidRPr="007859B6" w:rsidRDefault="00F83832" w:rsidP="00F43069">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End of Month 3</w:t>
            </w:r>
          </w:p>
        </w:tc>
      </w:tr>
      <w:tr w:rsidR="00F83832" w:rsidRPr="007859B6" w14:paraId="0E16FFB6" w14:textId="77777777" w:rsidTr="002A35A0">
        <w:tc>
          <w:tcPr>
            <w:tcW w:w="6475" w:type="dxa"/>
          </w:tcPr>
          <w:p w14:paraId="226CA499" w14:textId="77777777" w:rsidR="00F83832" w:rsidRPr="007859B6" w:rsidRDefault="00F83832" w:rsidP="00F43069">
            <w:pPr>
              <w:numPr>
                <w:ilvl w:val="0"/>
                <w:numId w:val="5"/>
              </w:numPr>
              <w:spacing w:line="240" w:lineRule="auto"/>
              <w:ind w:left="42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At least 5 capacity building, stakeholder engagement and visibility sessions:</w:t>
            </w:r>
          </w:p>
          <w:p w14:paraId="3CF34ED5"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At least 2 validation sessions on the updated SOCC Report and post-event reports.</w:t>
            </w:r>
          </w:p>
          <w:p w14:paraId="5D2425A2"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1 launch event, and post-event report.</w:t>
            </w:r>
          </w:p>
          <w:p w14:paraId="4EC4930A" w14:textId="77777777" w:rsidR="00F83832" w:rsidRPr="007859B6" w:rsidRDefault="00F83832" w:rsidP="00F43069">
            <w:pPr>
              <w:numPr>
                <w:ilvl w:val="1"/>
                <w:numId w:val="5"/>
              </w:numPr>
              <w:spacing w:line="240" w:lineRule="auto"/>
              <w:ind w:left="878" w:right="3"/>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2 capacity building and stakeholder engagement sessions on the finalised SOCC Report, and post-event reports.</w:t>
            </w:r>
          </w:p>
        </w:tc>
        <w:tc>
          <w:tcPr>
            <w:tcW w:w="2875" w:type="dxa"/>
          </w:tcPr>
          <w:p w14:paraId="6649C2A5" w14:textId="77777777" w:rsidR="00F83832" w:rsidRPr="007859B6" w:rsidRDefault="00F83832" w:rsidP="00F43069">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p>
          <w:p w14:paraId="36BD0FE1" w14:textId="77777777" w:rsidR="00F83832" w:rsidRPr="007859B6" w:rsidRDefault="00F83832" w:rsidP="00F43069">
            <w:pPr>
              <w:tabs>
                <w:tab w:val="center" w:pos="4479"/>
              </w:tabs>
              <w:spacing w:line="240" w:lineRule="auto"/>
              <w:ind w:left="70"/>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End of Month 4</w:t>
            </w:r>
          </w:p>
        </w:tc>
      </w:tr>
    </w:tbl>
    <w:p w14:paraId="235C9BD9" w14:textId="0266179C" w:rsidR="00F83832" w:rsidRPr="007859B6" w:rsidRDefault="00F83832" w:rsidP="00F43069">
      <w:pPr>
        <w:tabs>
          <w:tab w:val="center" w:pos="4479"/>
        </w:tabs>
        <w:spacing w:after="0" w:line="240" w:lineRule="auto"/>
        <w:rPr>
          <w:rFonts w:ascii="Times New Roman" w:eastAsia="Times New Roman" w:hAnsi="Times New Roman" w:cs="Times New Roman"/>
          <w:color w:val="181717"/>
          <w:kern w:val="2"/>
          <w:sz w:val="22"/>
          <w:szCs w:val="22"/>
          <w:lang w:eastAsia="en-US"/>
          <w14:ligatures w14:val="standardContextual"/>
        </w:rPr>
      </w:pPr>
    </w:p>
    <w:p w14:paraId="77CF954F" w14:textId="69E44910" w:rsidR="00F83832" w:rsidRPr="003F10FC" w:rsidRDefault="00F83832" w:rsidP="00F43069">
      <w:pPr>
        <w:pStyle w:val="Heading1"/>
        <w:numPr>
          <w:ilvl w:val="0"/>
          <w:numId w:val="6"/>
        </w:numPr>
        <w:spacing w:before="0" w:after="0" w:line="240" w:lineRule="auto"/>
        <w:ind w:left="720" w:hanging="660"/>
        <w:rPr>
          <w:rFonts w:ascii="Times New Roman" w:hAnsi="Times New Roman" w:cs="Times New Roman"/>
          <w:b/>
          <w:bCs/>
          <w:color w:val="000000" w:themeColor="text1"/>
          <w:sz w:val="22"/>
          <w:szCs w:val="22"/>
          <w:u w:val="single"/>
        </w:rPr>
      </w:pPr>
      <w:r w:rsidRPr="003F10FC">
        <w:rPr>
          <w:rFonts w:ascii="Times New Roman" w:hAnsi="Times New Roman" w:cs="Times New Roman"/>
          <w:b/>
          <w:bCs/>
          <w:color w:val="000000" w:themeColor="text1"/>
          <w:sz w:val="22"/>
          <w:szCs w:val="22"/>
          <w:u w:val="single"/>
        </w:rPr>
        <w:t xml:space="preserve">DURATION </w:t>
      </w:r>
    </w:p>
    <w:p w14:paraId="719FE88A" w14:textId="37611D75" w:rsidR="00F83832" w:rsidRPr="007859B6" w:rsidRDefault="00F83832" w:rsidP="00F43069">
      <w:pPr>
        <w:spacing w:after="0" w:line="240" w:lineRule="auto"/>
        <w:ind w:left="1"/>
        <w:rPr>
          <w:rFonts w:ascii="Times New Roman" w:eastAsia="Times New Roman" w:hAnsi="Times New Roman" w:cs="Times New Roman"/>
          <w:color w:val="181717"/>
          <w:kern w:val="2"/>
          <w:sz w:val="22"/>
          <w:szCs w:val="22"/>
          <w:lang w:eastAsia="en-US"/>
          <w14:ligatures w14:val="standardContextual"/>
        </w:rPr>
      </w:pPr>
    </w:p>
    <w:p w14:paraId="1EA8E541" w14:textId="77777777" w:rsidR="00F83832" w:rsidRPr="007859B6" w:rsidRDefault="00F83832" w:rsidP="00F43069">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6.01</w:t>
      </w:r>
      <w:r w:rsidRPr="007859B6">
        <w:rPr>
          <w:rFonts w:ascii="Times New Roman" w:eastAsia="Arial" w:hAnsi="Times New Roman" w:cs="Times New Roman"/>
          <w:color w:val="181717"/>
          <w:kern w:val="2"/>
          <w:sz w:val="22"/>
          <w:szCs w:val="22"/>
          <w:lang w:eastAsia="en-US"/>
          <w14:ligatures w14:val="standardContextual"/>
        </w:rPr>
        <w:t xml:space="preserve"> </w:t>
      </w:r>
      <w:r w:rsidRPr="007859B6">
        <w:rPr>
          <w:rFonts w:ascii="Times New Roman" w:eastAsia="Times New Roman" w:hAnsi="Times New Roman" w:cs="Times New Roman"/>
          <w:color w:val="181717"/>
          <w:kern w:val="2"/>
          <w:sz w:val="22"/>
          <w:szCs w:val="22"/>
          <w:lang w:eastAsia="en-US"/>
          <w14:ligatures w14:val="standardContextual"/>
        </w:rPr>
        <w:t xml:space="preserve">The estimated duration for completing the tasks outlined in this consultancy is approximately 60 days over a period of 4 consecutive months.  </w:t>
      </w:r>
    </w:p>
    <w:p w14:paraId="506FB079" w14:textId="77777777" w:rsidR="00F83832" w:rsidRPr="007859B6" w:rsidRDefault="00F83832" w:rsidP="00F43069">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p>
    <w:p w14:paraId="67D20532" w14:textId="55BCCEA4" w:rsidR="00F83832" w:rsidRPr="003F10FC" w:rsidRDefault="00F83832" w:rsidP="00F43069">
      <w:pPr>
        <w:pStyle w:val="Heading1"/>
        <w:numPr>
          <w:ilvl w:val="0"/>
          <w:numId w:val="6"/>
        </w:numPr>
        <w:spacing w:before="0" w:after="0" w:line="240" w:lineRule="auto"/>
        <w:ind w:left="720" w:hanging="660"/>
        <w:rPr>
          <w:rFonts w:ascii="Times New Roman" w:hAnsi="Times New Roman" w:cs="Times New Roman"/>
          <w:b/>
          <w:bCs/>
          <w:color w:val="000000" w:themeColor="text1"/>
          <w:sz w:val="22"/>
          <w:szCs w:val="22"/>
          <w:u w:val="single"/>
        </w:rPr>
      </w:pPr>
      <w:r w:rsidRPr="003F10FC">
        <w:rPr>
          <w:rFonts w:ascii="Times New Roman" w:hAnsi="Times New Roman" w:cs="Times New Roman"/>
          <w:b/>
          <w:bCs/>
          <w:color w:val="000000" w:themeColor="text1"/>
          <w:sz w:val="22"/>
          <w:szCs w:val="22"/>
          <w:u w:val="single"/>
        </w:rPr>
        <w:t xml:space="preserve">PLACE OF WORK </w:t>
      </w:r>
    </w:p>
    <w:p w14:paraId="7F1E36F0" w14:textId="77777777" w:rsidR="00F83832" w:rsidRPr="007859B6" w:rsidRDefault="00F83832" w:rsidP="00F43069">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p>
    <w:p w14:paraId="452E84FB" w14:textId="786960D5" w:rsidR="00F83832" w:rsidRPr="007859B6" w:rsidRDefault="00F83832" w:rsidP="00F43069">
      <w:pPr>
        <w:spacing w:after="0" w:line="240" w:lineRule="auto"/>
        <w:ind w:left="1" w:firstLine="2"/>
        <w:jc w:val="both"/>
        <w:rPr>
          <w:rFonts w:ascii="Times New Roman" w:eastAsia="Times New Roman" w:hAnsi="Times New Roman" w:cs="Times New Roman"/>
          <w:color w:val="181717"/>
          <w:kern w:val="2"/>
          <w:sz w:val="22"/>
          <w:szCs w:val="22"/>
          <w:lang w:eastAsia="en-US"/>
          <w14:ligatures w14:val="standardContextual"/>
        </w:rPr>
      </w:pPr>
      <w:r w:rsidRPr="007859B6">
        <w:rPr>
          <w:rFonts w:ascii="Times New Roman" w:eastAsia="Times New Roman" w:hAnsi="Times New Roman" w:cs="Times New Roman"/>
          <w:color w:val="181717"/>
          <w:kern w:val="2"/>
          <w:sz w:val="22"/>
          <w:szCs w:val="22"/>
          <w:lang w:eastAsia="en-US"/>
          <w14:ligatures w14:val="standardContextual"/>
        </w:rPr>
        <w:t>7.01</w:t>
      </w:r>
      <w:r w:rsidR="003F10FC">
        <w:rPr>
          <w:rFonts w:ascii="Times New Roman" w:eastAsia="Times New Roman" w:hAnsi="Times New Roman" w:cs="Times New Roman"/>
          <w:color w:val="181717"/>
          <w:kern w:val="2"/>
          <w:sz w:val="22"/>
          <w:szCs w:val="22"/>
          <w:lang w:eastAsia="en-US"/>
          <w14:ligatures w14:val="standardContextual"/>
        </w:rPr>
        <w:tab/>
      </w:r>
      <w:r w:rsidRPr="007859B6">
        <w:rPr>
          <w:rFonts w:ascii="Times New Roman" w:eastAsia="Times New Roman" w:hAnsi="Times New Roman" w:cs="Times New Roman"/>
          <w:color w:val="181717"/>
          <w:kern w:val="2"/>
          <w:sz w:val="22"/>
          <w:szCs w:val="22"/>
          <w:lang w:eastAsia="en-US"/>
          <w14:ligatures w14:val="standardContextual"/>
        </w:rPr>
        <w:t>The Consultant will be assigned to the Climate Studies Group Mona within the Department of Physics at the University of the West Indies, Mona. The Consultant is expected to be available for in-person work at least one workday per week. Eligible applicants outside of Jamaica will be required to cover any relocation expenses.</w:t>
      </w:r>
    </w:p>
    <w:sectPr w:rsidR="00F83832" w:rsidRPr="007859B6" w:rsidSect="00F8383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F032" w14:textId="77777777" w:rsidR="00F83832" w:rsidRDefault="00F83832" w:rsidP="00F83832">
      <w:pPr>
        <w:spacing w:after="0" w:line="240" w:lineRule="auto"/>
      </w:pPr>
      <w:r>
        <w:separator/>
      </w:r>
    </w:p>
  </w:endnote>
  <w:endnote w:type="continuationSeparator" w:id="0">
    <w:p w14:paraId="40D0FA50" w14:textId="77777777" w:rsidR="00F83832" w:rsidRDefault="00F83832" w:rsidP="00F8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0EFC" w14:textId="77777777" w:rsidR="00F83832" w:rsidRDefault="00F83832">
    <w:pPr>
      <w:spacing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825D8" w14:textId="77777777" w:rsidR="00F83832" w:rsidRDefault="00F83832">
    <w:pPr>
      <w:spacing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815E" w14:textId="77777777" w:rsidR="00F83832" w:rsidRDefault="00F83832">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6366" w14:textId="77777777" w:rsidR="00F83832" w:rsidRDefault="00F83832" w:rsidP="00F83832">
      <w:pPr>
        <w:spacing w:after="0" w:line="240" w:lineRule="auto"/>
      </w:pPr>
      <w:r>
        <w:separator/>
      </w:r>
    </w:p>
  </w:footnote>
  <w:footnote w:type="continuationSeparator" w:id="0">
    <w:p w14:paraId="1A0B51B4" w14:textId="77777777" w:rsidR="00F83832" w:rsidRDefault="00F83832" w:rsidP="00F83832">
      <w:pPr>
        <w:spacing w:after="0" w:line="240" w:lineRule="auto"/>
      </w:pPr>
      <w:r>
        <w:continuationSeparator/>
      </w:r>
    </w:p>
  </w:footnote>
  <w:footnote w:id="1">
    <w:p w14:paraId="13EFAA27" w14:textId="77777777" w:rsidR="00F83832" w:rsidRPr="007F0F0C" w:rsidRDefault="00F83832" w:rsidP="00F83832">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1" w:history="1">
        <w:r w:rsidRPr="007F0F0C">
          <w:rPr>
            <w:rStyle w:val="Hyperlink"/>
            <w:rFonts w:ascii="Times New Roman" w:hAnsi="Times New Roman" w:cs="Times New Roman"/>
            <w:sz w:val="16"/>
            <w:szCs w:val="16"/>
          </w:rPr>
          <w:t>https://www.gfdrr.org/sites/default/files/publication/Dominica_mp_012418_web.pdf</w:t>
        </w:r>
      </w:hyperlink>
      <w:r w:rsidRPr="007F0F0C">
        <w:rPr>
          <w:rFonts w:ascii="Times New Roman" w:hAnsi="Times New Roman" w:cs="Times New Roman"/>
          <w:sz w:val="16"/>
          <w:szCs w:val="16"/>
        </w:rPr>
        <w:t xml:space="preserve">. </w:t>
      </w:r>
    </w:p>
  </w:footnote>
  <w:footnote w:id="2">
    <w:p w14:paraId="6C5F4387" w14:textId="77777777" w:rsidR="00F83832" w:rsidRPr="007F0F0C" w:rsidRDefault="00F83832" w:rsidP="00F83832">
      <w:pPr>
        <w:pStyle w:val="FootnoteText"/>
        <w:rPr>
          <w:rFonts w:ascii="Times New Roman" w:hAnsi="Times New Roman" w:cs="Times New Roman"/>
          <w:sz w:val="16"/>
          <w:szCs w:val="16"/>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2" w:history="1">
        <w:r w:rsidRPr="007F0F0C">
          <w:rPr>
            <w:rStyle w:val="Hyperlink"/>
            <w:rFonts w:ascii="Times New Roman" w:hAnsi="Times New Roman" w:cs="Times New Roman"/>
            <w:sz w:val="16"/>
            <w:szCs w:val="16"/>
          </w:rPr>
          <w:t>https://publications.iadb.org/en/publications/english/viewer/Impact_of_Hurricane_Dorian_in_The_Bahamas_A_View_from_the_Sky.pdf</w:t>
        </w:r>
      </w:hyperlink>
      <w:r w:rsidRPr="007F0F0C">
        <w:rPr>
          <w:rFonts w:ascii="Times New Roman" w:hAnsi="Times New Roman" w:cs="Times New Roman"/>
          <w:sz w:val="16"/>
          <w:szCs w:val="16"/>
        </w:rPr>
        <w:t xml:space="preserve">. </w:t>
      </w:r>
    </w:p>
  </w:footnote>
  <w:footnote w:id="3">
    <w:p w14:paraId="1DAE7613" w14:textId="77777777" w:rsidR="00F83832" w:rsidRPr="007F0F0C" w:rsidRDefault="00F83832" w:rsidP="00F83832">
      <w:pPr>
        <w:pStyle w:val="FootnoteText"/>
        <w:rPr>
          <w:lang w:val="en-US"/>
        </w:rPr>
      </w:pPr>
      <w:r w:rsidRPr="007F0F0C">
        <w:rPr>
          <w:rStyle w:val="FootnoteReference"/>
          <w:rFonts w:ascii="Times New Roman" w:hAnsi="Times New Roman" w:cs="Times New Roman"/>
          <w:sz w:val="16"/>
          <w:szCs w:val="16"/>
        </w:rPr>
        <w:footnoteRef/>
      </w:r>
      <w:r w:rsidRPr="007F0F0C">
        <w:rPr>
          <w:rFonts w:ascii="Times New Roman" w:hAnsi="Times New Roman" w:cs="Times New Roman"/>
          <w:sz w:val="16"/>
          <w:szCs w:val="16"/>
        </w:rPr>
        <w:t xml:space="preserve"> </w:t>
      </w:r>
      <w:hyperlink r:id="rId3" w:history="1">
        <w:r w:rsidRPr="007F0F0C">
          <w:rPr>
            <w:rStyle w:val="Hyperlink"/>
            <w:rFonts w:ascii="Times New Roman" w:hAnsi="Times New Roman" w:cs="Times New Roman"/>
            <w:sz w:val="16"/>
            <w:szCs w:val="16"/>
          </w:rPr>
          <w:t>https://reliefweb.int/report/jamaica/jamaica-hurricane-melissa-situation-report-no-3-6-november</w:t>
        </w:r>
      </w:hyperlink>
      <w:r w:rsidRPr="007F0F0C">
        <w:rPr>
          <w:rFonts w:ascii="Times New Roman" w:hAnsi="Times New Roman" w:cs="Times New Roman"/>
          <w:sz w:val="16"/>
          <w:szCs w:val="16"/>
        </w:rPr>
        <w:t>.</w:t>
      </w:r>
      <w:r>
        <w:t xml:space="preserve"> </w:t>
      </w:r>
    </w:p>
  </w:footnote>
  <w:footnote w:id="4">
    <w:p w14:paraId="48F47D43" w14:textId="77777777" w:rsidR="00F83832" w:rsidRDefault="00F83832" w:rsidP="00F83832">
      <w:pPr>
        <w:pStyle w:val="footnotedescription"/>
        <w:spacing w:line="240" w:lineRule="auto"/>
      </w:pPr>
      <w:r w:rsidRPr="000D1FD8">
        <w:rPr>
          <w:rStyle w:val="footnotemark"/>
        </w:rPr>
        <w:footnoteRef/>
      </w:r>
      <w:r>
        <w:t xml:space="preserve"> This was made possible through financing from the European Union (EU) within the framework of the African, Caribbean, Pacific, EU, Natural Disaster Risk Management in CARIFORUM countries.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3C51" w14:textId="77777777" w:rsidR="00F83832" w:rsidRDefault="00F83832">
    <w:pPr>
      <w:spacing w:after="3" w:line="259" w:lineRule="auto"/>
      <w:ind w:right="8"/>
      <w:jc w:val="right"/>
    </w:pPr>
    <w:r>
      <w:rPr>
        <w:b/>
        <w:u w:val="single" w:color="181717"/>
      </w:rPr>
      <w:t>APPENDIX 10A</w:t>
    </w:r>
    <w:r>
      <w:rPr>
        <w:b/>
      </w:rPr>
      <w:t xml:space="preserve"> </w:t>
    </w:r>
  </w:p>
  <w:p w14:paraId="60F4EC7B" w14:textId="77777777" w:rsidR="00F83832" w:rsidRDefault="00F83832">
    <w:pPr>
      <w:tabs>
        <w:tab w:val="center" w:pos="4681"/>
        <w:tab w:val="center" w:pos="7973"/>
      </w:tabs>
      <w:spacing w:after="0" w:line="259" w:lineRule="auto"/>
    </w:pPr>
    <w:r>
      <w:t xml:space="preserve"> </w:t>
    </w:r>
    <w:r>
      <w:tab/>
      <w:t xml:space="preserve"> </w:t>
    </w:r>
    <w:r>
      <w:tab/>
      <w:t xml:space="preserve"> Page </w:t>
    </w:r>
    <w:r>
      <w:rPr>
        <w:color w:val="181717"/>
      </w:rPr>
      <w:fldChar w:fldCharType="begin"/>
    </w:r>
    <w:r>
      <w:instrText xml:space="preserve"> PAGE   \* MERGEFORMAT </w:instrText>
    </w:r>
    <w:r>
      <w:rPr>
        <w:color w:val="181717"/>
      </w:rPr>
      <w:fldChar w:fldCharType="separate"/>
    </w:r>
    <w:r>
      <w:rPr>
        <w:color w:val="354679"/>
        <w:shd w:val="clear" w:color="auto" w:fill="EAE9E8"/>
      </w:rPr>
      <w:t>2</w:t>
    </w:r>
    <w:r>
      <w:rPr>
        <w:color w:val="354679"/>
        <w:shd w:val="clear" w:color="auto" w:fill="EAE9E8"/>
      </w:rPr>
      <w:fldChar w:fldCharType="end"/>
    </w:r>
    <w:r>
      <w:t xml:space="preserve"> </w:t>
    </w:r>
  </w:p>
  <w:p w14:paraId="2F210A98" w14:textId="77777777" w:rsidR="00F83832" w:rsidRDefault="00F83832">
    <w:pPr>
      <w:spacing w:after="0" w:line="259" w:lineRule="auto"/>
      <w:ind w:left="1"/>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893B" w14:textId="77777777" w:rsidR="00F83832" w:rsidRPr="0023771D" w:rsidRDefault="00F83832" w:rsidP="00CC5277">
    <w:pPr>
      <w:pStyle w:val="Header"/>
    </w:pPr>
    <w:r w:rsidRPr="0023771D">
      <w:rPr>
        <w:rFonts w:eastAsia="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6252" w14:textId="77777777" w:rsidR="00F83832" w:rsidRDefault="00F83832">
    <w:pPr>
      <w:spacing w:after="0" w:line="259" w:lineRule="auto"/>
      <w:ind w:right="8"/>
      <w:jc w:val="right"/>
    </w:pPr>
    <w:r>
      <w:rPr>
        <w:b/>
        <w:u w:val="single" w:color="181717"/>
      </w:rPr>
      <w:t>APPENDIX 10A</w:t>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289D"/>
    <w:multiLevelType w:val="hybridMultilevel"/>
    <w:tmpl w:val="2576A0D8"/>
    <w:lvl w:ilvl="0" w:tplc="FFFFFFFF">
      <w:start w:val="1"/>
      <w:numFmt w:val="lowerLetter"/>
      <w:lvlText w:val="(%1)"/>
      <w:lvlJc w:val="left"/>
      <w:pPr>
        <w:ind w:left="929"/>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FFFFFFFF">
      <w:start w:val="1"/>
      <w:numFmt w:val="lowerLetter"/>
      <w:lvlText w:val="%2"/>
      <w:lvlJc w:val="left"/>
      <w:pPr>
        <w:ind w:left="13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FFFFFFFF">
      <w:start w:val="1"/>
      <w:numFmt w:val="lowerRoman"/>
      <w:lvlText w:val="%3"/>
      <w:lvlJc w:val="left"/>
      <w:pPr>
        <w:ind w:left="20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FFFFFFFF">
      <w:start w:val="1"/>
      <w:numFmt w:val="decimal"/>
      <w:lvlText w:val="%4"/>
      <w:lvlJc w:val="left"/>
      <w:pPr>
        <w:ind w:left="27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FFFFFFFF">
      <w:start w:val="1"/>
      <w:numFmt w:val="lowerLetter"/>
      <w:lvlText w:val="%5"/>
      <w:lvlJc w:val="left"/>
      <w:pPr>
        <w:ind w:left="346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FFFFFFFF">
      <w:start w:val="1"/>
      <w:numFmt w:val="lowerRoman"/>
      <w:lvlText w:val="%6"/>
      <w:lvlJc w:val="left"/>
      <w:pPr>
        <w:ind w:left="418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FFFFFFFF">
      <w:start w:val="1"/>
      <w:numFmt w:val="decimal"/>
      <w:lvlText w:val="%7"/>
      <w:lvlJc w:val="left"/>
      <w:pPr>
        <w:ind w:left="490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FFFFFFFF">
      <w:start w:val="1"/>
      <w:numFmt w:val="lowerLetter"/>
      <w:lvlText w:val="%8"/>
      <w:lvlJc w:val="left"/>
      <w:pPr>
        <w:ind w:left="562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FFFFFFFF">
      <w:start w:val="1"/>
      <w:numFmt w:val="lowerRoman"/>
      <w:lvlText w:val="%9"/>
      <w:lvlJc w:val="left"/>
      <w:pPr>
        <w:ind w:left="6342"/>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3AFF08A5"/>
    <w:multiLevelType w:val="hybridMultilevel"/>
    <w:tmpl w:val="93862682"/>
    <w:lvl w:ilvl="0" w:tplc="C8D67530">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2006F21A">
      <w:start w:val="1"/>
      <w:numFmt w:val="lowerLetter"/>
      <w:lvlText w:val="%2"/>
      <w:lvlJc w:val="left"/>
      <w:pPr>
        <w:ind w:left="18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5C7EB5C0">
      <w:start w:val="1"/>
      <w:numFmt w:val="lowerRoman"/>
      <w:lvlText w:val="%3"/>
      <w:lvlJc w:val="left"/>
      <w:pPr>
        <w:ind w:left="25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276E0072">
      <w:start w:val="1"/>
      <w:numFmt w:val="decimal"/>
      <w:lvlText w:val="%4"/>
      <w:lvlJc w:val="left"/>
      <w:pPr>
        <w:ind w:left="32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6B422856">
      <w:start w:val="1"/>
      <w:numFmt w:val="lowerLetter"/>
      <w:lvlText w:val="%5"/>
      <w:lvlJc w:val="left"/>
      <w:pPr>
        <w:ind w:left="39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B120B006">
      <w:start w:val="1"/>
      <w:numFmt w:val="lowerRoman"/>
      <w:lvlText w:val="%6"/>
      <w:lvlJc w:val="left"/>
      <w:pPr>
        <w:ind w:left="468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BF4FE00">
      <w:start w:val="1"/>
      <w:numFmt w:val="decimal"/>
      <w:lvlText w:val="%7"/>
      <w:lvlJc w:val="left"/>
      <w:pPr>
        <w:ind w:left="540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0C7AF24A">
      <w:start w:val="1"/>
      <w:numFmt w:val="lowerLetter"/>
      <w:lvlText w:val="%8"/>
      <w:lvlJc w:val="left"/>
      <w:pPr>
        <w:ind w:left="612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9B5463B8">
      <w:start w:val="1"/>
      <w:numFmt w:val="lowerRoman"/>
      <w:lvlText w:val="%9"/>
      <w:lvlJc w:val="left"/>
      <w:pPr>
        <w:ind w:left="684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4D8A7B76"/>
    <w:multiLevelType w:val="multilevel"/>
    <w:tmpl w:val="5BCAC2B2"/>
    <w:lvl w:ilvl="0">
      <w:start w:val="1"/>
      <w:numFmt w:val="decimal"/>
      <w:lvlText w:val="%1."/>
      <w:lvlJc w:val="left"/>
      <w:pPr>
        <w:ind w:left="420" w:hanging="360"/>
      </w:pPr>
      <w:rPr>
        <w:rFonts w:ascii="Times New Roman" w:eastAsia="Calibri" w:hAnsi="Times New Roman" w:cs="Times New Roman" w:hint="default"/>
        <w:sz w:val="22"/>
      </w:rPr>
    </w:lvl>
    <w:lvl w:ilvl="1">
      <w:start w:val="1"/>
      <w:numFmt w:val="decimalZero"/>
      <w:isLgl/>
      <w:lvlText w:val="%1.%2"/>
      <w:lvlJc w:val="left"/>
      <w:pPr>
        <w:ind w:left="520" w:hanging="4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3" w15:restartNumberingAfterBreak="0">
    <w:nsid w:val="6F1246CA"/>
    <w:multiLevelType w:val="multilevel"/>
    <w:tmpl w:val="F3627BFA"/>
    <w:lvl w:ilvl="0">
      <w:start w:val="1"/>
      <w:numFmt w:val="decimal"/>
      <w:lvlText w:val="%1"/>
      <w:lvlJc w:val="left"/>
      <w:pPr>
        <w:ind w:left="3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start w:val="3"/>
      <w:numFmt w:val="decimalZero"/>
      <w:lvlRestart w:val="0"/>
      <w:lvlText w:val="%1.%2"/>
      <w:lvlJc w:val="left"/>
      <w:pPr>
        <w:ind w:left="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71E061D2"/>
    <w:multiLevelType w:val="hybridMultilevel"/>
    <w:tmpl w:val="3BC20B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07B00"/>
    <w:multiLevelType w:val="hybridMultilevel"/>
    <w:tmpl w:val="2576A0D8"/>
    <w:lvl w:ilvl="0" w:tplc="1910BD6C">
      <w:start w:val="1"/>
      <w:numFmt w:val="lowerLetter"/>
      <w:lvlText w:val="(%1)"/>
      <w:lvlJc w:val="left"/>
      <w:pPr>
        <w:ind w:left="1427"/>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6C986D06">
      <w:start w:val="1"/>
      <w:numFmt w:val="lowerLetter"/>
      <w:lvlText w:val="%2"/>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7208D12">
      <w:start w:val="1"/>
      <w:numFmt w:val="lowerRoman"/>
      <w:lvlText w:val="%3"/>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6E8D48">
      <w:start w:val="1"/>
      <w:numFmt w:val="decimal"/>
      <w:lvlText w:val="%4"/>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8AE922">
      <w:start w:val="1"/>
      <w:numFmt w:val="lowerLetter"/>
      <w:lvlText w:val="%5"/>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5BF666D2">
      <w:start w:val="1"/>
      <w:numFmt w:val="lowerRoman"/>
      <w:lvlText w:val="%6"/>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DDD85A66">
      <w:start w:val="1"/>
      <w:numFmt w:val="decimal"/>
      <w:lvlText w:val="%7"/>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8E9437E2">
      <w:start w:val="1"/>
      <w:numFmt w:val="lowerLetter"/>
      <w:lvlText w:val="%8"/>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36C48B4C">
      <w:start w:val="1"/>
      <w:numFmt w:val="lowerRoman"/>
      <w:lvlText w:val="%9"/>
      <w:lvlJc w:val="left"/>
      <w:pPr>
        <w:ind w:left="68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num w:numId="1" w16cid:durableId="1175457079">
    <w:abstractNumId w:val="1"/>
  </w:num>
  <w:num w:numId="2" w16cid:durableId="612171913">
    <w:abstractNumId w:val="3"/>
  </w:num>
  <w:num w:numId="3" w16cid:durableId="1221868873">
    <w:abstractNumId w:val="5"/>
  </w:num>
  <w:num w:numId="4" w16cid:durableId="929512334">
    <w:abstractNumId w:val="0"/>
  </w:num>
  <w:num w:numId="5" w16cid:durableId="71781561">
    <w:abstractNumId w:val="4"/>
  </w:num>
  <w:num w:numId="6" w16cid:durableId="641467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32"/>
    <w:rsid w:val="00097F84"/>
    <w:rsid w:val="00102117"/>
    <w:rsid w:val="00194ABE"/>
    <w:rsid w:val="003435AD"/>
    <w:rsid w:val="003F10FC"/>
    <w:rsid w:val="00735A0A"/>
    <w:rsid w:val="007859B6"/>
    <w:rsid w:val="00850FA9"/>
    <w:rsid w:val="008F2EB6"/>
    <w:rsid w:val="00C500D3"/>
    <w:rsid w:val="00C951FA"/>
    <w:rsid w:val="00DC47E5"/>
    <w:rsid w:val="00E02C64"/>
    <w:rsid w:val="00F43069"/>
    <w:rsid w:val="00F8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8135"/>
  <w15:chartTrackingRefBased/>
  <w15:docId w15:val="{6051265C-8222-4245-BBDD-3A952235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32"/>
    <w:pPr>
      <w:spacing w:line="279" w:lineRule="auto"/>
    </w:pPr>
    <w:rPr>
      <w:rFonts w:eastAsiaTheme="minorEastAsia"/>
      <w:kern w:val="0"/>
      <w:lang w:val="en-JM" w:eastAsia="ja-JP"/>
      <w14:ligatures w14:val="none"/>
    </w:rPr>
  </w:style>
  <w:style w:type="paragraph" w:styleId="Heading1">
    <w:name w:val="heading 1"/>
    <w:basedOn w:val="Normal"/>
    <w:next w:val="Normal"/>
    <w:link w:val="Heading1Char"/>
    <w:uiPriority w:val="9"/>
    <w:qFormat/>
    <w:rsid w:val="00F838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8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8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8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8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8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8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8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8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832"/>
    <w:rPr>
      <w:rFonts w:eastAsiaTheme="majorEastAsia" w:cstheme="majorBidi"/>
      <w:color w:val="272727" w:themeColor="text1" w:themeTint="D8"/>
    </w:rPr>
  </w:style>
  <w:style w:type="paragraph" w:styleId="Title">
    <w:name w:val="Title"/>
    <w:basedOn w:val="Normal"/>
    <w:next w:val="Normal"/>
    <w:link w:val="TitleChar"/>
    <w:uiPriority w:val="10"/>
    <w:qFormat/>
    <w:rsid w:val="00F83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8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832"/>
    <w:pPr>
      <w:spacing w:before="160"/>
      <w:jc w:val="center"/>
    </w:pPr>
    <w:rPr>
      <w:i/>
      <w:iCs/>
      <w:color w:val="404040" w:themeColor="text1" w:themeTint="BF"/>
    </w:rPr>
  </w:style>
  <w:style w:type="character" w:customStyle="1" w:styleId="QuoteChar">
    <w:name w:val="Quote Char"/>
    <w:basedOn w:val="DefaultParagraphFont"/>
    <w:link w:val="Quote"/>
    <w:uiPriority w:val="29"/>
    <w:rsid w:val="00F83832"/>
    <w:rPr>
      <w:i/>
      <w:iCs/>
      <w:color w:val="404040" w:themeColor="text1" w:themeTint="BF"/>
    </w:rPr>
  </w:style>
  <w:style w:type="paragraph" w:styleId="ListParagraph">
    <w:name w:val="List Paragraph"/>
    <w:basedOn w:val="Normal"/>
    <w:uiPriority w:val="34"/>
    <w:qFormat/>
    <w:rsid w:val="00F83832"/>
    <w:pPr>
      <w:ind w:left="720"/>
      <w:contextualSpacing/>
    </w:pPr>
  </w:style>
  <w:style w:type="character" w:styleId="IntenseEmphasis">
    <w:name w:val="Intense Emphasis"/>
    <w:basedOn w:val="DefaultParagraphFont"/>
    <w:uiPriority w:val="21"/>
    <w:qFormat/>
    <w:rsid w:val="00F83832"/>
    <w:rPr>
      <w:i/>
      <w:iCs/>
      <w:color w:val="0F4761" w:themeColor="accent1" w:themeShade="BF"/>
    </w:rPr>
  </w:style>
  <w:style w:type="paragraph" w:styleId="IntenseQuote">
    <w:name w:val="Intense Quote"/>
    <w:basedOn w:val="Normal"/>
    <w:next w:val="Normal"/>
    <w:link w:val="IntenseQuoteChar"/>
    <w:uiPriority w:val="30"/>
    <w:qFormat/>
    <w:rsid w:val="00F838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832"/>
    <w:rPr>
      <w:i/>
      <w:iCs/>
      <w:color w:val="0F4761" w:themeColor="accent1" w:themeShade="BF"/>
    </w:rPr>
  </w:style>
  <w:style w:type="character" w:styleId="IntenseReference">
    <w:name w:val="Intense Reference"/>
    <w:basedOn w:val="DefaultParagraphFont"/>
    <w:uiPriority w:val="32"/>
    <w:qFormat/>
    <w:rsid w:val="00F83832"/>
    <w:rPr>
      <w:b/>
      <w:bCs/>
      <w:smallCaps/>
      <w:color w:val="0F4761" w:themeColor="accent1" w:themeShade="BF"/>
      <w:spacing w:val="5"/>
    </w:rPr>
  </w:style>
  <w:style w:type="paragraph" w:customStyle="1" w:styleId="footnotedescription">
    <w:name w:val="footnote description"/>
    <w:next w:val="Normal"/>
    <w:link w:val="footnotedescriptionChar"/>
    <w:hidden/>
    <w:rsid w:val="00F83832"/>
    <w:pPr>
      <w:spacing w:after="0" w:line="273" w:lineRule="auto"/>
      <w:ind w:left="1"/>
    </w:pPr>
    <w:rPr>
      <w:rFonts w:ascii="Times New Roman" w:eastAsia="Times New Roman" w:hAnsi="Times New Roman" w:cs="Times New Roman"/>
      <w:color w:val="181717"/>
      <w:sz w:val="16"/>
    </w:rPr>
  </w:style>
  <w:style w:type="character" w:customStyle="1" w:styleId="footnotedescriptionChar">
    <w:name w:val="footnote description Char"/>
    <w:link w:val="footnotedescription"/>
    <w:rsid w:val="00F83832"/>
    <w:rPr>
      <w:rFonts w:ascii="Times New Roman" w:eastAsia="Times New Roman" w:hAnsi="Times New Roman" w:cs="Times New Roman"/>
      <w:color w:val="181717"/>
      <w:sz w:val="16"/>
      <w:lang w:val="en-US"/>
    </w:rPr>
  </w:style>
  <w:style w:type="character" w:customStyle="1" w:styleId="footnotemark">
    <w:name w:val="footnote mark"/>
    <w:hidden/>
    <w:rsid w:val="00F83832"/>
    <w:rPr>
      <w:rFonts w:ascii="Times New Roman" w:eastAsia="Times New Roman" w:hAnsi="Times New Roman" w:cs="Times New Roman"/>
      <w:color w:val="181717"/>
      <w:sz w:val="18"/>
      <w:vertAlign w:val="superscript"/>
    </w:rPr>
  </w:style>
  <w:style w:type="paragraph" w:styleId="Header">
    <w:name w:val="header"/>
    <w:basedOn w:val="Normal"/>
    <w:link w:val="HeaderChar"/>
    <w:uiPriority w:val="99"/>
    <w:unhideWhenUsed/>
    <w:rsid w:val="00F83832"/>
    <w:pPr>
      <w:tabs>
        <w:tab w:val="center" w:pos="4680"/>
        <w:tab w:val="right" w:pos="9360"/>
      </w:tabs>
      <w:spacing w:after="0" w:line="240" w:lineRule="auto"/>
      <w:ind w:right="3" w:firstLine="2"/>
      <w:jc w:val="both"/>
    </w:pPr>
    <w:rPr>
      <w:rFonts w:ascii="Times New Roman" w:eastAsia="Times New Roman" w:hAnsi="Times New Roman" w:cs="Times New Roman"/>
      <w:color w:val="181717"/>
      <w:kern w:val="2"/>
      <w:sz w:val="22"/>
      <w:lang w:eastAsia="en-US"/>
      <w14:ligatures w14:val="standardContextual"/>
    </w:rPr>
  </w:style>
  <w:style w:type="character" w:customStyle="1" w:styleId="HeaderChar">
    <w:name w:val="Header Char"/>
    <w:basedOn w:val="DefaultParagraphFont"/>
    <w:link w:val="Header"/>
    <w:uiPriority w:val="99"/>
    <w:rsid w:val="00F83832"/>
    <w:rPr>
      <w:rFonts w:ascii="Times New Roman" w:eastAsia="Times New Roman" w:hAnsi="Times New Roman" w:cs="Times New Roman"/>
      <w:color w:val="181717"/>
      <w:sz w:val="22"/>
      <w:lang w:val="en-JM"/>
    </w:rPr>
  </w:style>
  <w:style w:type="character" w:styleId="Hyperlink">
    <w:name w:val="Hyperlink"/>
    <w:basedOn w:val="DefaultParagraphFont"/>
    <w:uiPriority w:val="99"/>
    <w:unhideWhenUsed/>
    <w:rsid w:val="00F83832"/>
    <w:rPr>
      <w:color w:val="467886"/>
      <w:u w:val="single"/>
    </w:rPr>
  </w:style>
  <w:style w:type="table" w:styleId="TableGrid">
    <w:name w:val="Table Grid"/>
    <w:basedOn w:val="TableNormal"/>
    <w:uiPriority w:val="39"/>
    <w:rsid w:val="00F83832"/>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3832"/>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838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832"/>
    <w:rPr>
      <w:rFonts w:eastAsiaTheme="minorEastAsia"/>
      <w:kern w:val="0"/>
      <w:sz w:val="20"/>
      <w:szCs w:val="20"/>
      <w:lang w:val="en-JM" w:eastAsia="ja-JP"/>
      <w14:ligatures w14:val="none"/>
    </w:rPr>
  </w:style>
  <w:style w:type="character" w:styleId="FootnoteReference">
    <w:name w:val="footnote reference"/>
    <w:basedOn w:val="DefaultParagraphFont"/>
    <w:uiPriority w:val="99"/>
    <w:semiHidden/>
    <w:unhideWhenUsed/>
    <w:rsid w:val="00F838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liefweb.int/report/jamaica/jamaica-hurricane-melissa-situation-report-no-3-6-november" TargetMode="External"/><Relationship Id="rId2" Type="http://schemas.openxmlformats.org/officeDocument/2006/relationships/hyperlink" Target="https://publications.iadb.org/en/publications/english/viewer/Impact_of_Hurricane_Dorian_in_The_Bahamas_A_View_from_the_Sky.pdf" TargetMode="External"/><Relationship Id="rId1" Type="http://schemas.openxmlformats.org/officeDocument/2006/relationships/hyperlink" Target="https://www.gfdrr.org/sites/default/files/publication/Dominica_mp_012418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OP365-1413421883-130</_dlc_DocId>
    <_dlc_DocIdUrl xmlns="d7c79300-af82-4651-8bb4-0962fed79a64">
      <Url>https://caribank.sharepoint.com/sites/ZZ/PRN300053/_layouts/15/DocIdRedir.aspx?ID=OP365-1413421883-130</Url>
      <Description>OP365-1413421883-130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A6777978C524D9D3DDB2FA2D75079" ma:contentTypeVersion="16" ma:contentTypeDescription="Create a new document." ma:contentTypeScope="" ma:versionID="d14bea683f8ec2001824eb5a0e20fc75">
  <xsd:schema xmlns:xsd="http://www.w3.org/2001/XMLSchema" xmlns:xs="http://www.w3.org/2001/XMLSchema" xmlns:p="http://schemas.microsoft.com/office/2006/metadata/properties" xmlns:ns2="d7c79300-af82-4651-8bb4-0962fed79a64" xmlns:ns3="ad8072f8-98b9-4cab-b435-58108a279fc7" targetNamespace="http://schemas.microsoft.com/office/2006/metadata/properties" ma:root="true" ma:fieldsID="bda398888691906f1daff6306a8e5f40" ns2:_="" ns3:_="">
    <xsd:import namespace="d7c79300-af82-4651-8bb4-0962fed79a64"/>
    <xsd:import namespace="ad8072f8-98b9-4cab-b435-58108a279fc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8072f8-98b9-4cab-b435-58108a279f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1ea6748-af05-4a75-9b44-37e5618d313b"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248C-D5D1-46EE-8186-8C83B18C393A}">
  <ds:schemaRefs>
    <ds:schemaRef ds:uri="http://purl.org/dc/elements/1.1/"/>
    <ds:schemaRef ds:uri="d7c79300-af82-4651-8bb4-0962fed79a64"/>
    <ds:schemaRef ds:uri="http://schemas.microsoft.com/office/infopath/2007/PartnerControls"/>
    <ds:schemaRef ds:uri="http://schemas.microsoft.com/office/2006/documentManagement/types"/>
    <ds:schemaRef ds:uri="http://schemas.openxmlformats.org/package/2006/metadata/core-properties"/>
    <ds:schemaRef ds:uri="ad8072f8-98b9-4cab-b435-58108a279fc7"/>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03C7184-3234-4762-89AC-07505209E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ad8072f8-98b9-4cab-b435-58108a27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B4773-5EA6-443B-A8E5-4F1F86A8234D}">
  <ds:schemaRefs>
    <ds:schemaRef ds:uri="Microsoft.SharePoint.Taxonomy.ContentTypeSync"/>
  </ds:schemaRefs>
</ds:datastoreItem>
</file>

<file path=customXml/itemProps4.xml><?xml version="1.0" encoding="utf-8"?>
<ds:datastoreItem xmlns:ds="http://schemas.openxmlformats.org/officeDocument/2006/customXml" ds:itemID="{8E418207-210C-4AD1-A206-C27FF32B4932}">
  <ds:schemaRefs>
    <ds:schemaRef ds:uri="http://schemas.microsoft.com/sharepoint/events"/>
  </ds:schemaRefs>
</ds:datastoreItem>
</file>

<file path=customXml/itemProps5.xml><?xml version="1.0" encoding="utf-8"?>
<ds:datastoreItem xmlns:ds="http://schemas.openxmlformats.org/officeDocument/2006/customXml" ds:itemID="{29C0E95D-9D60-465B-8185-BE8B97226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1865</Words>
  <Characters>10821</Characters>
  <Application>Microsoft Office Word</Application>
  <DocSecurity>0</DocSecurity>
  <Lines>200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Carol-Ann Wharton</dc:creator>
  <cp:keywords/>
  <dc:description/>
  <cp:lastModifiedBy>Sonia Harrison</cp:lastModifiedBy>
  <cp:revision>9</cp:revision>
  <dcterms:created xsi:type="dcterms:W3CDTF">2026-04-02T17:36:00Z</dcterms:created>
  <dcterms:modified xsi:type="dcterms:W3CDTF">2026-04-02T17:49:00Z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0x0101009BDA6777978C524D9D3DDB2FA2D75079</vt:lpwstr>
  </property>
  <property fmtid="{D5CDD505-2E9C-101B-9397-08002B2CF9AE}" pid="3" name="_dlc_DocIdItemGuid">
    <vt:lpwstr>2fe35f68-7bf5-4a47-8e1a-1d88017b09ec</vt:lpwstr>
  </property>
  <property fmtid="{D5CDD505-2E9C-101B-9397-08002B2CF9AE}" pid="4" name="GrammarlyDocumentId">
    <vt:lpwstr>64562f02-b7ed-4abd-bff4-d6796bb56412</vt:lpwstr>
  </property>
</Properties>
</file>