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0E98" w14:textId="77777777" w:rsidR="00365514" w:rsidRDefault="00DE732F">
      <w:pPr>
        <w:pStyle w:val="Heading1"/>
      </w:pPr>
      <w:r>
        <w:rPr>
          <w:rFonts w:ascii="Liberation Sans" w:eastAsia="Liberation Sans" w:hAnsi="Liberation Sans"/>
        </w:rPr>
        <w:t>Annex B - Preliminary Concept Note / Indicative Scope Summary</w:t>
      </w:r>
    </w:p>
    <w:p w14:paraId="1F18A813" w14:textId="77777777" w:rsidR="00365514" w:rsidRDefault="00DE732F">
      <w:r>
        <w:t xml:space="preserve">This annex </w:t>
      </w:r>
      <w:proofErr w:type="spellStart"/>
      <w:r>
        <w:t>summarises</w:t>
      </w:r>
      <w:proofErr w:type="spellEnd"/>
      <w:r>
        <w:t xml:space="preserve"> the preliminary concept for the proposed assignment. It is provided only to support market engagement and may be revised before any future procurement process.</w:t>
      </w:r>
    </w:p>
    <w:p w14:paraId="0FF4A5FD" w14:textId="77777777" w:rsidR="00365514" w:rsidRDefault="00DE732F">
      <w:pPr>
        <w:pStyle w:val="Heading2"/>
      </w:pPr>
      <w:r>
        <w:rPr>
          <w:rFonts w:ascii="Liberation Sans" w:eastAsia="Liberation Sans" w:hAnsi="Liberation Sans"/>
        </w:rPr>
        <w:t>A. Preliminary Assessment and Benchmarking</w:t>
      </w:r>
    </w:p>
    <w:p w14:paraId="3790A085" w14:textId="77777777" w:rsidR="00365514" w:rsidRDefault="00DE732F">
      <w:pPr>
        <w:pStyle w:val="ListBullet"/>
        <w:spacing w:after="40"/>
      </w:pPr>
      <w:r>
        <w:t>Review and assess the existing OPPM, including all volumes, annexes and templates.</w:t>
      </w:r>
    </w:p>
    <w:p w14:paraId="426ADE57" w14:textId="77777777" w:rsidR="00365514" w:rsidRDefault="00DE732F">
      <w:pPr>
        <w:pStyle w:val="ListBullet"/>
        <w:spacing w:after="40"/>
      </w:pPr>
      <w:r>
        <w:t>Assess structure, content quality, completeness, clarity, coherence, continued relevance, alignment with CDB's operating model and usability.</w:t>
      </w:r>
    </w:p>
    <w:p w14:paraId="18E08926" w14:textId="77777777" w:rsidR="00365514" w:rsidRDefault="00DE732F">
      <w:pPr>
        <w:pStyle w:val="ListBullet"/>
        <w:spacing w:after="40"/>
      </w:pPr>
      <w:r>
        <w:t>Benchmark the OPPM against procedures, policies and digital manuals used by comparable MDBs and institutions.</w:t>
      </w:r>
    </w:p>
    <w:p w14:paraId="78FA2C9A" w14:textId="77777777" w:rsidR="00365514" w:rsidRDefault="00DE732F">
      <w:pPr>
        <w:pStyle w:val="ListBullet"/>
        <w:spacing w:after="40"/>
      </w:pPr>
      <w:r>
        <w:t>Map special fund requirements and operational obligations against the OPPM to identify alignment, divergence and procedural pathways.</w:t>
      </w:r>
    </w:p>
    <w:p w14:paraId="308DF9D2" w14:textId="77777777" w:rsidR="00365514" w:rsidRDefault="00DE732F">
      <w:pPr>
        <w:pStyle w:val="ListBullet"/>
        <w:spacing w:after="40"/>
      </w:pPr>
      <w:r>
        <w:t>Identify gaps in digital readiness, workflow logic, roles, accountabilities, usability and enterprise system alignment.</w:t>
      </w:r>
    </w:p>
    <w:p w14:paraId="51B5BA17" w14:textId="77777777" w:rsidR="00365514" w:rsidRDefault="00DE732F">
      <w:pPr>
        <w:pStyle w:val="Heading2"/>
      </w:pPr>
      <w:r>
        <w:rPr>
          <w:rFonts w:ascii="Liberation Sans" w:eastAsia="Liberation Sans" w:hAnsi="Liberation Sans"/>
        </w:rPr>
        <w:t>B. Stakeholder Engagement and Gap Analysis</w:t>
      </w:r>
    </w:p>
    <w:p w14:paraId="43B0E52A" w14:textId="77777777" w:rsidR="00365514" w:rsidRDefault="00DE732F">
      <w:pPr>
        <w:pStyle w:val="ListBullet"/>
        <w:spacing w:after="40"/>
      </w:pPr>
      <w:r>
        <w:t>Consult relevant departments and business units to capture operational gaps, training needs, inefficiencies, bottlenecks, user expectations and opportunities for digital features and integration.</w:t>
      </w:r>
    </w:p>
    <w:p w14:paraId="745449CE" w14:textId="77777777" w:rsidR="00365514" w:rsidRDefault="00DE732F">
      <w:pPr>
        <w:pStyle w:val="ListBullet"/>
        <w:spacing w:after="40"/>
      </w:pPr>
      <w:r>
        <w:t>Perform gap analysis covering policies, procedures, templates, workflows, cross-department dependencies, system interfaces and decision-making/accountability arrangements.</w:t>
      </w:r>
    </w:p>
    <w:p w14:paraId="60A063F6" w14:textId="77777777" w:rsidR="00365514" w:rsidRDefault="00DE732F">
      <w:pPr>
        <w:pStyle w:val="ListBullet"/>
        <w:spacing w:after="40"/>
      </w:pPr>
      <w:r>
        <w:t>Distinguish among policy-level deficiencies, procedural inconsistencies and system/workflow limitations, and map each gap to corrective actions.</w:t>
      </w:r>
    </w:p>
    <w:p w14:paraId="0427C596" w14:textId="77777777" w:rsidR="00365514" w:rsidRDefault="00DE732F">
      <w:pPr>
        <w:pStyle w:val="ListBullet"/>
        <w:spacing w:after="40"/>
      </w:pPr>
      <w:r>
        <w:t xml:space="preserve">Propose workflow improvements, including streamlining, role clarity, logical flow, </w:t>
      </w:r>
      <w:proofErr w:type="spellStart"/>
      <w:r>
        <w:t>harmonisation</w:t>
      </w:r>
      <w:proofErr w:type="spellEnd"/>
      <w:r>
        <w:t xml:space="preserve"> of cross-department workflows and accurate critical paths.</w:t>
      </w:r>
    </w:p>
    <w:p w14:paraId="04D3D094" w14:textId="77777777" w:rsidR="00365514" w:rsidRDefault="00DE732F">
      <w:pPr>
        <w:pStyle w:val="ListBullet"/>
        <w:spacing w:after="40"/>
      </w:pPr>
      <w:r>
        <w:t>Propose a unified taxonomy for procedures and tools to reduce duplication and improve cross-referencing.</w:t>
      </w:r>
    </w:p>
    <w:p w14:paraId="4CF58360" w14:textId="77777777" w:rsidR="00365514" w:rsidRDefault="00DE732F">
      <w:pPr>
        <w:pStyle w:val="Heading2"/>
      </w:pPr>
      <w:r>
        <w:rPr>
          <w:rFonts w:ascii="Liberation Sans" w:eastAsia="Liberation Sans" w:hAnsi="Liberation Sans"/>
        </w:rPr>
        <w:t xml:space="preserve">C. Updating and </w:t>
      </w:r>
      <w:proofErr w:type="spellStart"/>
      <w:r>
        <w:rPr>
          <w:rFonts w:ascii="Liberation Sans" w:eastAsia="Liberation Sans" w:hAnsi="Liberation Sans"/>
        </w:rPr>
        <w:t>Digitalising</w:t>
      </w:r>
      <w:proofErr w:type="spellEnd"/>
      <w:r>
        <w:rPr>
          <w:rFonts w:ascii="Liberation Sans" w:eastAsia="Liberation Sans" w:hAnsi="Liberation Sans"/>
        </w:rPr>
        <w:t xml:space="preserve"> the OPPM</w:t>
      </w:r>
    </w:p>
    <w:p w14:paraId="01BDC9E7" w14:textId="77777777" w:rsidR="00365514" w:rsidRDefault="00DE732F">
      <w:pPr>
        <w:pStyle w:val="ListBullet"/>
        <w:spacing w:after="40"/>
      </w:pPr>
      <w:r>
        <w:t>Propose a unified, modern architecture for a single integrated, digital and searchable operational manual.</w:t>
      </w:r>
    </w:p>
    <w:p w14:paraId="68F75618" w14:textId="77777777" w:rsidR="00365514" w:rsidRDefault="00DE732F">
      <w:pPr>
        <w:pStyle w:val="ListBullet"/>
        <w:spacing w:after="40"/>
      </w:pPr>
      <w:r>
        <w:t>Ensure alignment with institutional structure, Strategic Plan, business model, operational policies, Board-approved policies and Bank-wide processes.</w:t>
      </w:r>
    </w:p>
    <w:p w14:paraId="73AEB2E1" w14:textId="77777777" w:rsidR="00365514" w:rsidRDefault="00DE732F">
      <w:pPr>
        <w:pStyle w:val="ListBullet"/>
        <w:spacing w:after="40"/>
      </w:pPr>
      <w:r>
        <w:t>Ensure that source-of-truth documents are consistently referenced and linked throughout procedural content.</w:t>
      </w:r>
    </w:p>
    <w:p w14:paraId="1011629E" w14:textId="77777777" w:rsidR="00365514" w:rsidRDefault="00DE732F">
      <w:pPr>
        <w:pStyle w:val="ListBullet"/>
        <w:spacing w:after="40"/>
      </w:pPr>
      <w:r>
        <w:t>Identify content, systems and digital connectivity requirements, including interoperability with OP365, SharePoint, finance tools, document management systems, intranet and staff portals.</w:t>
      </w:r>
    </w:p>
    <w:p w14:paraId="06010B10" w14:textId="77777777" w:rsidR="00365514" w:rsidRDefault="00DE732F">
      <w:pPr>
        <w:pStyle w:val="ListBullet"/>
        <w:spacing w:after="40"/>
      </w:pPr>
      <w:r>
        <w:t>Develop a systems architecture concept describing how OPPM content interacts with digital workflows, repositories and automated approval paths.</w:t>
      </w:r>
    </w:p>
    <w:p w14:paraId="7112191C" w14:textId="77777777" w:rsidR="00365514" w:rsidRDefault="00DE732F">
      <w:pPr>
        <w:pStyle w:val="ListBullet"/>
        <w:spacing w:after="40"/>
      </w:pPr>
      <w:r>
        <w:t>Support user-centric features such as rich search, hyperlinks, interactive prompts, multimedia content, templates, process maps, role-based assignments, printable content and PDF export.</w:t>
      </w:r>
    </w:p>
    <w:p w14:paraId="5E5A3F21" w14:textId="77777777" w:rsidR="00365514" w:rsidRDefault="00DE732F">
      <w:pPr>
        <w:pStyle w:val="ListBullet"/>
        <w:spacing w:after="40"/>
      </w:pPr>
      <w:r>
        <w:t>Support AI-friendly structuring of content to facilitate future interpretation and interrogation by language models, as appropriate.</w:t>
      </w:r>
    </w:p>
    <w:p w14:paraId="4734CDD9" w14:textId="77777777" w:rsidR="00365514" w:rsidRDefault="00DE732F">
      <w:pPr>
        <w:pStyle w:val="Heading2"/>
      </w:pPr>
      <w:r>
        <w:rPr>
          <w:rFonts w:ascii="Liberation Sans" w:eastAsia="Liberation Sans" w:hAnsi="Liberation Sans"/>
        </w:rPr>
        <w:t>D. Governance, Validation and Implementation Support</w:t>
      </w:r>
    </w:p>
    <w:p w14:paraId="4FC9D725" w14:textId="77777777" w:rsidR="00365514" w:rsidRDefault="00DE732F">
      <w:pPr>
        <w:pStyle w:val="ListBullet"/>
        <w:spacing w:after="40"/>
      </w:pPr>
      <w:r>
        <w:t xml:space="preserve">Propose a governance model for OPPM maintenance, including roles, workflows, </w:t>
      </w:r>
      <w:proofErr w:type="gramStart"/>
      <w:r>
        <w:t>update</w:t>
      </w:r>
      <w:proofErr w:type="gramEnd"/>
      <w:r>
        <w:t xml:space="preserve"> triggers, quality assurance, version control, change logs and editing rights.</w:t>
      </w:r>
    </w:p>
    <w:p w14:paraId="0D4F9411" w14:textId="77777777" w:rsidR="00365514" w:rsidRDefault="00DE732F">
      <w:pPr>
        <w:pStyle w:val="ListBullet"/>
        <w:spacing w:after="40"/>
      </w:pPr>
      <w:r>
        <w:t>Present the proposed OPPM design and implementation plan to CDB staff for validation and refinement.</w:t>
      </w:r>
    </w:p>
    <w:p w14:paraId="40EFF9B0" w14:textId="77777777" w:rsidR="00365514" w:rsidRDefault="00DE732F">
      <w:pPr>
        <w:pStyle w:val="ListBullet"/>
        <w:spacing w:after="40"/>
      </w:pPr>
      <w:r>
        <w:t>Prepare a roadmap for development and implementation, including sequencing, milestones, governance arrangements, resourcing assumptions and projected timelines.</w:t>
      </w:r>
    </w:p>
    <w:p w14:paraId="514AA08A" w14:textId="77777777" w:rsidR="00365514" w:rsidRDefault="00DE732F">
      <w:pPr>
        <w:pStyle w:val="ListBullet"/>
        <w:spacing w:after="40"/>
      </w:pPr>
      <w:r>
        <w:t>Develop a test plan and support testing with a pilot group.</w:t>
      </w:r>
    </w:p>
    <w:p w14:paraId="36FDB28A" w14:textId="77777777" w:rsidR="00365514" w:rsidRDefault="00DE732F">
      <w:pPr>
        <w:pStyle w:val="ListBullet"/>
        <w:spacing w:after="40"/>
      </w:pPr>
      <w:r>
        <w:t xml:space="preserve">Support </w:t>
      </w:r>
      <w:proofErr w:type="spellStart"/>
      <w:r>
        <w:t>digitalisation</w:t>
      </w:r>
      <w:proofErr w:type="spellEnd"/>
      <w:r>
        <w:t xml:space="preserve">, introduction and </w:t>
      </w:r>
      <w:proofErr w:type="spellStart"/>
      <w:r>
        <w:t>operationalisation</w:t>
      </w:r>
      <w:proofErr w:type="spellEnd"/>
      <w:r>
        <w:t xml:space="preserve"> of the updated OPPM.</w:t>
      </w:r>
    </w:p>
    <w:p w14:paraId="3DB71AE5" w14:textId="77777777" w:rsidR="00365514" w:rsidRDefault="00DE732F">
      <w:pPr>
        <w:pStyle w:val="Heading2"/>
      </w:pPr>
      <w:r>
        <w:rPr>
          <w:rFonts w:ascii="Liberation Sans" w:eastAsia="Liberation Sans" w:hAnsi="Liberation Sans"/>
        </w:rPr>
        <w:t>E. Change Management, Communications and Training</w:t>
      </w:r>
    </w:p>
    <w:p w14:paraId="348F96F6" w14:textId="77777777" w:rsidR="00365514" w:rsidRDefault="00DE732F">
      <w:pPr>
        <w:pStyle w:val="ListBullet"/>
        <w:spacing w:after="40"/>
      </w:pPr>
      <w:r>
        <w:t>Design the architecture to support onboarding, training modules and operational learning.</w:t>
      </w:r>
    </w:p>
    <w:p w14:paraId="039F380F" w14:textId="77777777" w:rsidR="00365514" w:rsidRDefault="00DE732F">
      <w:pPr>
        <w:pStyle w:val="ListBullet"/>
        <w:spacing w:after="40"/>
      </w:pPr>
      <w:r>
        <w:t>Embed or propose quick reference guides, videos and learning resources.</w:t>
      </w:r>
    </w:p>
    <w:p w14:paraId="0E363F04" w14:textId="77777777" w:rsidR="00365514" w:rsidRDefault="00DE732F">
      <w:pPr>
        <w:pStyle w:val="ListBullet"/>
        <w:spacing w:after="40"/>
      </w:pPr>
      <w:r>
        <w:lastRenderedPageBreak/>
        <w:t xml:space="preserve">Define change management objectives and support </w:t>
      </w:r>
      <w:proofErr w:type="spellStart"/>
      <w:r>
        <w:t>operationalisation</w:t>
      </w:r>
      <w:proofErr w:type="spellEnd"/>
      <w:r>
        <w:t xml:space="preserve"> of the approved governance framework.</w:t>
      </w:r>
    </w:p>
    <w:p w14:paraId="521C2C55" w14:textId="77777777" w:rsidR="00365514" w:rsidRDefault="00DE732F">
      <w:pPr>
        <w:pStyle w:val="ListBullet"/>
        <w:spacing w:after="40"/>
      </w:pPr>
      <w:r>
        <w:t>Provide information and communication approaches for different audiences within the Bank.</w:t>
      </w:r>
    </w:p>
    <w:p w14:paraId="1DDD9558" w14:textId="77777777" w:rsidR="00365514" w:rsidRDefault="00DE732F">
      <w:pPr>
        <w:pStyle w:val="ListBullet"/>
        <w:spacing w:after="40"/>
      </w:pPr>
      <w:r>
        <w:t>Support a two-way feedback loop, progress tracking and training options.</w:t>
      </w:r>
    </w:p>
    <w:sectPr w:rsidR="00365514" w:rsidSect="00034616">
      <w:headerReference w:type="default" r:id="rId13"/>
      <w:footerReference w:type="default" r:id="rId14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E5C8" w14:textId="77777777" w:rsidR="00AD1654" w:rsidRDefault="00AD1654">
      <w:pPr>
        <w:spacing w:after="0" w:line="240" w:lineRule="auto"/>
      </w:pPr>
      <w:r>
        <w:separator/>
      </w:r>
    </w:p>
  </w:endnote>
  <w:endnote w:type="continuationSeparator" w:id="0">
    <w:p w14:paraId="256F3C57" w14:textId="77777777" w:rsidR="00AD1654" w:rsidRDefault="00A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CF98" w14:textId="569C6B81" w:rsidR="00365514" w:rsidRDefault="003655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7A3F" w14:textId="77777777" w:rsidR="00AD1654" w:rsidRDefault="00AD1654">
      <w:pPr>
        <w:spacing w:after="0" w:line="240" w:lineRule="auto"/>
      </w:pPr>
      <w:r>
        <w:separator/>
      </w:r>
    </w:p>
  </w:footnote>
  <w:footnote w:type="continuationSeparator" w:id="0">
    <w:p w14:paraId="24D6D685" w14:textId="77777777" w:rsidR="00AD1654" w:rsidRDefault="00AD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62F7" w14:textId="0754D45B" w:rsidR="00365514" w:rsidRDefault="003655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9152904">
    <w:abstractNumId w:val="8"/>
  </w:num>
  <w:num w:numId="2" w16cid:durableId="494494581">
    <w:abstractNumId w:val="6"/>
  </w:num>
  <w:num w:numId="3" w16cid:durableId="1999842132">
    <w:abstractNumId w:val="5"/>
  </w:num>
  <w:num w:numId="4" w16cid:durableId="981008563">
    <w:abstractNumId w:val="4"/>
  </w:num>
  <w:num w:numId="5" w16cid:durableId="544560476">
    <w:abstractNumId w:val="7"/>
  </w:num>
  <w:num w:numId="6" w16cid:durableId="577129254">
    <w:abstractNumId w:val="3"/>
  </w:num>
  <w:num w:numId="7" w16cid:durableId="477650031">
    <w:abstractNumId w:val="2"/>
  </w:num>
  <w:num w:numId="8" w16cid:durableId="1880120441">
    <w:abstractNumId w:val="1"/>
  </w:num>
  <w:num w:numId="9" w16cid:durableId="34891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66B"/>
    <w:rsid w:val="00053498"/>
    <w:rsid w:val="0006063C"/>
    <w:rsid w:val="000B1C58"/>
    <w:rsid w:val="000B75FD"/>
    <w:rsid w:val="00115F86"/>
    <w:rsid w:val="001321B9"/>
    <w:rsid w:val="0015074B"/>
    <w:rsid w:val="00151B8A"/>
    <w:rsid w:val="00152D58"/>
    <w:rsid w:val="00181FA4"/>
    <w:rsid w:val="00184255"/>
    <w:rsid w:val="00213820"/>
    <w:rsid w:val="00294CEE"/>
    <w:rsid w:val="0029639D"/>
    <w:rsid w:val="00326F90"/>
    <w:rsid w:val="003610D9"/>
    <w:rsid w:val="00365514"/>
    <w:rsid w:val="003D386C"/>
    <w:rsid w:val="004013C3"/>
    <w:rsid w:val="00486845"/>
    <w:rsid w:val="004A1DFF"/>
    <w:rsid w:val="004A6039"/>
    <w:rsid w:val="004D1D84"/>
    <w:rsid w:val="00501F5B"/>
    <w:rsid w:val="00505729"/>
    <w:rsid w:val="005342DE"/>
    <w:rsid w:val="005439C8"/>
    <w:rsid w:val="005B54AB"/>
    <w:rsid w:val="006A7B69"/>
    <w:rsid w:val="006C2D07"/>
    <w:rsid w:val="006E3F89"/>
    <w:rsid w:val="007229E9"/>
    <w:rsid w:val="00727E7D"/>
    <w:rsid w:val="007341D1"/>
    <w:rsid w:val="00735FCF"/>
    <w:rsid w:val="00783302"/>
    <w:rsid w:val="00797FE4"/>
    <w:rsid w:val="008711A4"/>
    <w:rsid w:val="00971EE9"/>
    <w:rsid w:val="00990E6E"/>
    <w:rsid w:val="00A029CB"/>
    <w:rsid w:val="00A06F83"/>
    <w:rsid w:val="00AA1D8D"/>
    <w:rsid w:val="00AC66BA"/>
    <w:rsid w:val="00AD1654"/>
    <w:rsid w:val="00AF7B4C"/>
    <w:rsid w:val="00B21249"/>
    <w:rsid w:val="00B240EA"/>
    <w:rsid w:val="00B47730"/>
    <w:rsid w:val="00B77683"/>
    <w:rsid w:val="00B80148"/>
    <w:rsid w:val="00CB0664"/>
    <w:rsid w:val="00CB19B4"/>
    <w:rsid w:val="00D232E2"/>
    <w:rsid w:val="00D23A02"/>
    <w:rsid w:val="00DE05CB"/>
    <w:rsid w:val="00DE732F"/>
    <w:rsid w:val="00E53B20"/>
    <w:rsid w:val="00E91849"/>
    <w:rsid w:val="00EA12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A65AF"/>
  <w14:defaultImageDpi w14:val="300"/>
  <w15:docId w15:val="{AABAD887-94FD-470B-B668-C6456F40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2" w:lineRule="auto"/>
    </w:pPr>
    <w:rPr>
      <w:rFonts w:ascii="Liberation Sans" w:eastAsia="Liberation Sans" w:hAnsi="Liberatio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Liberation Sans" w:eastAsia="Liberation Sans" w:hAnsi="Liberation Sans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Liberation Sans" w:eastAsia="Liberation Sans" w:hAnsi="Liberation Sans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Liberation Sans" w:eastAsia="Liberation Sans" w:hAnsi="Liberation San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Liberation Sans" w:eastAsia="Liberation Sans" w:hAnsi="Liberation Sans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Liberation Sans" w:eastAsia="Liberation Sans" w:hAnsi="Liberation Sans"/>
    </w:rPr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Liberation Sans" w:eastAsia="Liberation Sans" w:hAnsi="Liberation Sans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Liberation Sans" w:eastAsia="Liberation Sans" w:hAnsi="Liberatio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Liberation Sans" w:eastAsia="Liberation Sans" w:hAnsi="Liberatio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Liberation Sans" w:eastAsia="Liberation Sans" w:hAnsi="Liberation Sans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Liberation Sans" w:eastAsia="Liberation Sans" w:hAnsi="Liberation Sans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Liberation Sans" w:eastAsia="Liberation Sans" w:hAnsi="Liberation Sans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Liberation Sans" w:eastAsia="Liberation Sans" w:hAnsi="Liberation Sans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Liberation Sans" w:eastAsia="Liberation Sans" w:hAnsi="Liberation Sans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Liberation Sans" w:eastAsia="Liberation Sans" w:hAnsi="Liberation Sans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Liberation Sans" w:eastAsia="Liberation Sans" w:hAnsi="Liberation Sans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Liberation Sans" w:eastAsia="Liberation Sans" w:hAnsi="Liberation Sans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Liberation Sans" w:eastAsia="Liberation Sans" w:hAnsi="Liberation Sans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Liberation Sans" w:eastAsia="Liberation Sans" w:hAnsi="Liberation San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Liberation Sans" w:eastAsia="Liberation Sans" w:hAnsi="Liberatio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Liberation Sans" w:eastAsia="Liberation Sans" w:hAnsi="Liberation Sans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Liberation Sans" w:eastAsia="Liberation Sans" w:hAnsi="Liberation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Liberation Sans" w:eastAsia="Liberation Sans" w:hAnsi="Liberation Sans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Liberation Sans" w:eastAsia="Liberation Sans" w:hAnsi="Liberation Sans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80"/>
    </w:pPr>
    <w:rPr>
      <w:rFonts w:ascii="Liberation Sans" w:eastAsia="Liberation Sans" w:hAnsi="Liberation Sans"/>
      <w:i/>
      <w:color w:val="595959"/>
      <w:sz w:val="18"/>
    </w:rPr>
  </w:style>
  <w:style w:type="paragraph" w:customStyle="1" w:styleId="TableText">
    <w:name w:val="Table Text"/>
    <w:pPr>
      <w:spacing w:after="40"/>
    </w:pPr>
    <w:rPr>
      <w:rFonts w:ascii="Liberation Sans" w:eastAsia="Liberation Sans" w:hAnsi="Liberation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1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2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249"/>
    <w:rPr>
      <w:rFonts w:ascii="Liberation Sans" w:eastAsia="Liberation Sans" w:hAnsi="Liberatio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249"/>
    <w:rPr>
      <w:rFonts w:ascii="Liberation Sans" w:eastAsia="Liberation Sans" w:hAnsi="Liberation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1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3402C53B24D42920F3609C605EC9E" ma:contentTypeVersion="3" ma:contentTypeDescription="Create a new document." ma:contentTypeScope="" ma:versionID="6934edc2c751ca3b4996d27ddeb2eee8">
  <xsd:schema xmlns:xsd="http://www.w3.org/2001/XMLSchema" xmlns:xs="http://www.w3.org/2001/XMLSchema" xmlns:p="http://schemas.microsoft.com/office/2006/metadata/properties" xmlns:ns2="d7c79300-af82-4651-8bb4-0962fed79a64" xmlns:ns3="1274d845-7d4f-4d2b-ad86-2c3dd47ede10" targetNamespace="http://schemas.microsoft.com/office/2006/metadata/properties" ma:root="true" ma:fieldsID="bf919d99ee444f23551eb7224ccf02d6" ns2:_="" ns3:_="">
    <xsd:import namespace="d7c79300-af82-4651-8bb4-0962fed79a64"/>
    <xsd:import namespace="1274d845-7d4f-4d2b-ad86-2c3dd47ed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d845-7d4f-4d2b-ad86-2c3dd47e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OP365-292094210-28</_dlc_DocId>
    <_dlc_DocIdUrl xmlns="d7c79300-af82-4651-8bb4-0962fed79a64">
      <Url>https://caribank.sharepoint.com/sites/ZZ/PRN300371/_layouts/15/DocIdRedir.aspx?ID=OP365-292094210-28</Url>
      <Description>OP365-292094210-28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1ea6748-af05-4a75-9b44-37e5618d313b" ContentTypeId="0x0101" PreviousValue="false" LastSyncTimeStamp="2024-09-10T20:28:50.46Z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F2FC8A-ECAD-438B-8DE7-7615590A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1274d845-7d4f-4d2b-ad86-2c3dd47e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A8E88-0D18-4A97-BAEA-C67CDFCAEA5E}">
  <ds:schemaRefs>
    <ds:schemaRef ds:uri="http://schemas.microsoft.com/office/2006/metadata/properties"/>
    <ds:schemaRef ds:uri="http://schemas.microsoft.com/office/infopath/2007/PartnerControls"/>
    <ds:schemaRef ds:uri="d7c79300-af82-4651-8bb4-0962fed79a64"/>
  </ds:schemaRefs>
</ds:datastoreItem>
</file>

<file path=customXml/itemProps3.xml><?xml version="1.0" encoding="utf-8"?>
<ds:datastoreItem xmlns:ds="http://schemas.openxmlformats.org/officeDocument/2006/customXml" ds:itemID="{B8D52BAA-00D7-48BC-BB03-268A936DAC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7021EC-FBDA-4277-800E-B3ED7C5B25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44D1E0-1567-4713-BFC8-5398A33F70C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3338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Harrison</cp:lastModifiedBy>
  <cp:revision>3</cp:revision>
  <dcterms:created xsi:type="dcterms:W3CDTF">2026-06-25T16:47:00Z</dcterms:created>
  <dcterms:modified xsi:type="dcterms:W3CDTF">2026-06-25T16:47:00Z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0x010100D3E3402C53B24D42920F3609C605EC9E</vt:lpwstr>
  </property>
  <property fmtid="{D5CDD505-2E9C-101B-9397-08002B2CF9AE}" pid="3" name="_dlc_DocIdItemGuid">
    <vt:lpwstr>059a6b84-8a35-4f58-9fd7-8cc98d662ec8</vt:lpwstr>
  </property>
  <property fmtid="{D5CDD505-2E9C-101B-9397-08002B2CF9AE}" pid="4" name="GrammarlyDocumentId">
    <vt:lpwstr>26931989-5613-4a24-92e4-bcae97b5a5d0</vt:lpwstr>
  </property>
</Properties>
</file>