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A510" w14:textId="77777777" w:rsidR="00DC45BE" w:rsidRPr="000605F4" w:rsidRDefault="00DC45BE" w:rsidP="00DC45BE">
      <w:pPr>
        <w:widowControl/>
        <w:jc w:val="center"/>
        <w:rPr>
          <w:rFonts w:ascii="Times New Roman" w:hAnsi="Times New Roman"/>
          <w:color w:val="ED7D31"/>
          <w:sz w:val="22"/>
          <w:szCs w:val="22"/>
          <w14:textFill>
            <w14:solidFill>
              <w14:srgbClr w14:val="ED7D31">
                <w14:lumMod w14:val="75000"/>
              </w14:srgbClr>
            </w14:solidFill>
          </w14:textFill>
        </w:rPr>
      </w:pPr>
      <w:r w:rsidRPr="000605F4">
        <w:rPr>
          <w:rFonts w:ascii="Times New Roman" w:hAnsi="Times New Roman"/>
          <w:b/>
          <w:sz w:val="22"/>
          <w:szCs w:val="22"/>
          <w:u w:val="single"/>
        </w:rPr>
        <w:t xml:space="preserve">PROCUREMENT PLAN </w:t>
      </w:r>
    </w:p>
    <w:p w14:paraId="63DD2E8D" w14:textId="77777777" w:rsidR="00DC45BE" w:rsidRPr="000605F4" w:rsidRDefault="00DC45BE" w:rsidP="00DC45BE">
      <w:pPr>
        <w:widowControl/>
        <w:tabs>
          <w:tab w:val="left" w:pos="4980"/>
        </w:tabs>
        <w:rPr>
          <w:rFonts w:ascii="Times New Roman" w:eastAsiaTheme="minorHAnsi" w:hAnsi="Times New Roman"/>
          <w:sz w:val="22"/>
          <w:szCs w:val="22"/>
        </w:rPr>
      </w:pPr>
    </w:p>
    <w:p w14:paraId="374FCBF6" w14:textId="77777777" w:rsidR="00DC45BE" w:rsidRPr="000605F4" w:rsidRDefault="00DC45BE" w:rsidP="00DC45BE">
      <w:pPr>
        <w:widowControl/>
        <w:jc w:val="center"/>
        <w:rPr>
          <w:rFonts w:ascii="Times New Roman" w:hAnsi="Times New Roman"/>
          <w:sz w:val="22"/>
          <w:szCs w:val="22"/>
        </w:rPr>
      </w:pPr>
      <w:r w:rsidRPr="000605F4">
        <w:rPr>
          <w:rFonts w:ascii="Times New Roman" w:hAnsi="Times New Roman"/>
          <w:sz w:val="22"/>
          <w:szCs w:val="22"/>
        </w:rPr>
        <w:t>All Estimated Costs are in USD</w:t>
      </w:r>
    </w:p>
    <w:p w14:paraId="73B4D81C" w14:textId="77777777" w:rsidR="000605F4" w:rsidRPr="000605F4" w:rsidRDefault="000605F4" w:rsidP="00DC45BE">
      <w:pPr>
        <w:widowControl/>
        <w:jc w:val="center"/>
        <w:rPr>
          <w:rFonts w:ascii="Times New Roman" w:hAnsi="Times New Roman"/>
          <w:sz w:val="22"/>
          <w:szCs w:val="22"/>
        </w:rPr>
      </w:pPr>
    </w:p>
    <w:p w14:paraId="0B50760F" w14:textId="666D3F17" w:rsidR="00DC45BE" w:rsidRDefault="000605F4" w:rsidP="000605F4">
      <w:pPr>
        <w:pStyle w:val="ListParagraph"/>
        <w:numPr>
          <w:ilvl w:val="0"/>
          <w:numId w:val="8"/>
        </w:numPr>
        <w:spacing w:after="160" w:line="259" w:lineRule="auto"/>
        <w:ind w:left="720"/>
        <w:rPr>
          <w:rFonts w:ascii="Times New Roman" w:hAnsi="Times New Roman"/>
          <w:b/>
          <w:bCs/>
          <w:sz w:val="22"/>
          <w:szCs w:val="22"/>
          <w:u w:val="single"/>
        </w:rPr>
      </w:pPr>
      <w:r w:rsidRPr="000605F4">
        <w:rPr>
          <w:rFonts w:ascii="Times New Roman" w:hAnsi="Times New Roman"/>
          <w:b/>
          <w:bCs/>
          <w:sz w:val="22"/>
          <w:szCs w:val="22"/>
          <w:u w:val="single"/>
        </w:rPr>
        <w:t xml:space="preserve">GENERAL </w:t>
      </w:r>
    </w:p>
    <w:p w14:paraId="5AFAE698" w14:textId="77777777" w:rsidR="000605F4" w:rsidRPr="000605F4" w:rsidRDefault="000605F4" w:rsidP="000605F4">
      <w:pPr>
        <w:pStyle w:val="ListParagraph"/>
        <w:spacing w:after="160" w:line="259" w:lineRule="auto"/>
        <w:ind w:left="1080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8CDE130" w14:textId="77777777" w:rsidR="00DC45BE" w:rsidRPr="000605F4" w:rsidRDefault="00DC45BE" w:rsidP="000605F4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left="1440" w:hanging="720"/>
        <w:rPr>
          <w:rFonts w:ascii="Times New Roman" w:hAnsi="Times New Roman"/>
          <w:b/>
          <w:bCs/>
          <w:sz w:val="22"/>
          <w:szCs w:val="22"/>
        </w:rPr>
      </w:pPr>
      <w:r w:rsidRPr="000605F4">
        <w:rPr>
          <w:rFonts w:ascii="Times New Roman" w:hAnsi="Times New Roman"/>
          <w:b/>
          <w:bCs/>
          <w:sz w:val="22"/>
          <w:szCs w:val="22"/>
        </w:rPr>
        <w:t>Project Information</w:t>
      </w:r>
    </w:p>
    <w:tbl>
      <w:tblPr>
        <w:tblStyle w:val="TableGrid"/>
        <w:tblW w:w="7936" w:type="dxa"/>
        <w:tblInd w:w="1424" w:type="dxa"/>
        <w:tblLook w:val="04A0" w:firstRow="1" w:lastRow="0" w:firstColumn="1" w:lastColumn="0" w:noHBand="0" w:noVBand="1"/>
      </w:tblPr>
      <w:tblGrid>
        <w:gridCol w:w="2459"/>
        <w:gridCol w:w="5477"/>
      </w:tblGrid>
      <w:tr w:rsidR="00DC45BE" w:rsidRPr="000605F4" w14:paraId="08727462" w14:textId="77777777" w:rsidTr="000605F4">
        <w:tc>
          <w:tcPr>
            <w:tcW w:w="2459" w:type="dxa"/>
          </w:tcPr>
          <w:p w14:paraId="7D44A9B4" w14:textId="77777777" w:rsidR="00DC45BE" w:rsidRPr="000605F4" w:rsidRDefault="00DC45BE" w:rsidP="009C70E5">
            <w:pPr>
              <w:widowControl/>
              <w:spacing w:after="24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Hlk149831645"/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Country:</w:t>
            </w:r>
          </w:p>
        </w:tc>
        <w:tc>
          <w:tcPr>
            <w:tcW w:w="5477" w:type="dxa"/>
          </w:tcPr>
          <w:p w14:paraId="4E2F523B" w14:textId="77777777" w:rsidR="00DC45BE" w:rsidRPr="000605F4" w:rsidRDefault="00DC45BE" w:rsidP="009C70E5">
            <w:pPr>
              <w:widowControl/>
              <w:spacing w:after="24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sz w:val="22"/>
                <w:szCs w:val="22"/>
              </w:rPr>
              <w:t>Saint Lucia</w:t>
            </w:r>
          </w:p>
        </w:tc>
      </w:tr>
      <w:tr w:rsidR="00DC45BE" w:rsidRPr="000605F4" w14:paraId="23FD8151" w14:textId="77777777" w:rsidTr="000605F4">
        <w:tc>
          <w:tcPr>
            <w:tcW w:w="2459" w:type="dxa"/>
          </w:tcPr>
          <w:p w14:paraId="29E78A00" w14:textId="77777777" w:rsidR="00DC45BE" w:rsidRPr="000605F4" w:rsidRDefault="00DC45BE" w:rsidP="009C70E5">
            <w:pPr>
              <w:widowControl/>
              <w:spacing w:after="24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Recipient:</w:t>
            </w:r>
          </w:p>
        </w:tc>
        <w:tc>
          <w:tcPr>
            <w:tcW w:w="5477" w:type="dxa"/>
          </w:tcPr>
          <w:p w14:paraId="32A5F6E5" w14:textId="77777777" w:rsidR="00DC45BE" w:rsidRPr="000605F4" w:rsidRDefault="00DC45BE" w:rsidP="009C70E5">
            <w:pPr>
              <w:widowControl/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0605F4">
              <w:rPr>
                <w:rFonts w:ascii="Times New Roman" w:hAnsi="Times New Roman"/>
                <w:sz w:val="22"/>
                <w:szCs w:val="22"/>
              </w:rPr>
              <w:t>The Government of Saint Lucia</w:t>
            </w:r>
          </w:p>
        </w:tc>
      </w:tr>
      <w:tr w:rsidR="00DC45BE" w:rsidRPr="000605F4" w14:paraId="1B12E3E0" w14:textId="77777777" w:rsidTr="000605F4">
        <w:tc>
          <w:tcPr>
            <w:tcW w:w="2459" w:type="dxa"/>
          </w:tcPr>
          <w:p w14:paraId="4F56B6E6" w14:textId="77777777" w:rsidR="00DC45BE" w:rsidRPr="000605F4" w:rsidRDefault="00DC45BE" w:rsidP="009C70E5">
            <w:pPr>
              <w:widowControl/>
              <w:spacing w:after="24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Project Name:</w:t>
            </w:r>
          </w:p>
        </w:tc>
        <w:tc>
          <w:tcPr>
            <w:tcW w:w="5477" w:type="dxa"/>
          </w:tcPr>
          <w:p w14:paraId="4CB3716B" w14:textId="77777777" w:rsidR="00DC45BE" w:rsidRPr="000605F4" w:rsidRDefault="00DC45BE" w:rsidP="009C70E5">
            <w:pPr>
              <w:widowControl/>
              <w:spacing w:after="24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sz w:val="22"/>
                <w:szCs w:val="22"/>
              </w:rPr>
              <w:t>Upgrade of the Hydrometeorological Network and Support for Integrated Water Resources Management in Saint Lucia</w:t>
            </w:r>
          </w:p>
        </w:tc>
      </w:tr>
      <w:tr w:rsidR="00DC45BE" w:rsidRPr="000605F4" w14:paraId="3ABA9A1E" w14:textId="77777777" w:rsidTr="000605F4">
        <w:tc>
          <w:tcPr>
            <w:tcW w:w="2459" w:type="dxa"/>
          </w:tcPr>
          <w:p w14:paraId="3EBCBF39" w14:textId="77777777" w:rsidR="00DC45BE" w:rsidRPr="000605F4" w:rsidRDefault="00DC45BE" w:rsidP="009C70E5">
            <w:pPr>
              <w:widowControl/>
              <w:spacing w:after="24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Implementing Agency:</w:t>
            </w:r>
          </w:p>
        </w:tc>
        <w:tc>
          <w:tcPr>
            <w:tcW w:w="5477" w:type="dxa"/>
          </w:tcPr>
          <w:p w14:paraId="6A00C60C" w14:textId="77777777" w:rsidR="00DC45BE" w:rsidRPr="000605F4" w:rsidRDefault="00DC45BE" w:rsidP="009C70E5">
            <w:pPr>
              <w:widowControl/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0605F4">
              <w:rPr>
                <w:rFonts w:ascii="Times New Roman" w:hAnsi="Times New Roman"/>
                <w:sz w:val="22"/>
                <w:szCs w:val="22"/>
              </w:rPr>
              <w:t>Water Resources Management Agency</w:t>
            </w:r>
          </w:p>
        </w:tc>
      </w:tr>
      <w:bookmarkEnd w:id="0"/>
    </w:tbl>
    <w:p w14:paraId="23B74FFC" w14:textId="77777777" w:rsidR="00DC45BE" w:rsidRPr="000605F4" w:rsidRDefault="00DC45BE" w:rsidP="00DC45BE">
      <w:pPr>
        <w:widowControl/>
        <w:rPr>
          <w:rFonts w:ascii="Times New Roman" w:hAnsi="Times New Roman"/>
          <w:b/>
          <w:bCs/>
          <w:sz w:val="22"/>
          <w:szCs w:val="22"/>
        </w:rPr>
      </w:pPr>
    </w:p>
    <w:p w14:paraId="4A843D47" w14:textId="198BBD9F" w:rsidR="00DC45BE" w:rsidRPr="000605F4" w:rsidRDefault="00DC45BE" w:rsidP="000605F4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left="1440" w:hanging="720"/>
        <w:rPr>
          <w:rFonts w:ascii="Times New Roman" w:hAnsi="Times New Roman"/>
          <w:b/>
          <w:bCs/>
          <w:sz w:val="22"/>
          <w:szCs w:val="22"/>
        </w:rPr>
      </w:pPr>
      <w:r w:rsidRPr="000605F4">
        <w:rPr>
          <w:rFonts w:ascii="Times New Roman" w:hAnsi="Times New Roman"/>
          <w:b/>
          <w:bCs/>
          <w:sz w:val="22"/>
          <w:szCs w:val="22"/>
        </w:rPr>
        <w:t xml:space="preserve">Bank’s Approval Date of the Procurement Plan:  </w:t>
      </w:r>
      <w:r w:rsidR="00AD6A13">
        <w:rPr>
          <w:rFonts w:ascii="Times New Roman" w:hAnsi="Times New Roman"/>
          <w:sz w:val="22"/>
          <w:szCs w:val="22"/>
        </w:rPr>
        <w:t>October 1</w:t>
      </w:r>
      <w:r w:rsidRPr="000605F4">
        <w:rPr>
          <w:rFonts w:ascii="Times New Roman" w:hAnsi="Times New Roman"/>
          <w:sz w:val="22"/>
          <w:szCs w:val="22"/>
        </w:rPr>
        <w:t>, 2025</w:t>
      </w:r>
      <w:r w:rsidRPr="000605F4">
        <w:rPr>
          <w:rFonts w:ascii="Times New Roman" w:hAnsi="Times New Roman"/>
          <w:sz w:val="22"/>
          <w:szCs w:val="22"/>
        </w:rPr>
        <w:br/>
      </w:r>
    </w:p>
    <w:p w14:paraId="4E2FB89D" w14:textId="68E5F234" w:rsidR="00DC45BE" w:rsidRPr="000605F4" w:rsidRDefault="00DC45BE" w:rsidP="000605F4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left="1440" w:hanging="720"/>
        <w:rPr>
          <w:rFonts w:ascii="Times New Roman" w:hAnsi="Times New Roman"/>
          <w:b/>
          <w:bCs/>
          <w:sz w:val="22"/>
          <w:szCs w:val="22"/>
        </w:rPr>
      </w:pPr>
      <w:r w:rsidRPr="7FD6293D">
        <w:rPr>
          <w:rFonts w:ascii="Times New Roman" w:hAnsi="Times New Roman"/>
          <w:b/>
          <w:bCs/>
          <w:sz w:val="22"/>
          <w:szCs w:val="22"/>
        </w:rPr>
        <w:t xml:space="preserve">Period covered by this Procurement Plan: </w:t>
      </w:r>
      <w:r w:rsidR="00AD6A13" w:rsidRPr="7FD6293D">
        <w:rPr>
          <w:rFonts w:ascii="Times New Roman" w:hAnsi="Times New Roman"/>
          <w:sz w:val="22"/>
          <w:szCs w:val="22"/>
        </w:rPr>
        <w:t>October</w:t>
      </w:r>
      <w:r w:rsidRPr="7FD6293D">
        <w:rPr>
          <w:rFonts w:ascii="Times New Roman" w:hAnsi="Times New Roman"/>
          <w:sz w:val="22"/>
          <w:szCs w:val="22"/>
        </w:rPr>
        <w:t xml:space="preserve"> 1, 2025 –</w:t>
      </w:r>
      <w:r w:rsidRPr="7FD6293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2AC58D28" w:rsidRPr="7FD6293D">
        <w:rPr>
          <w:rFonts w:ascii="Times New Roman" w:hAnsi="Times New Roman"/>
          <w:sz w:val="22"/>
          <w:szCs w:val="22"/>
        </w:rPr>
        <w:t>September 30</w:t>
      </w:r>
      <w:r w:rsidR="003B17E4" w:rsidRPr="7FD6293D">
        <w:rPr>
          <w:rFonts w:ascii="Times New Roman" w:hAnsi="Times New Roman"/>
          <w:sz w:val="22"/>
          <w:szCs w:val="22"/>
        </w:rPr>
        <w:t>, 2026</w:t>
      </w:r>
    </w:p>
    <w:p w14:paraId="17CA477D" w14:textId="77777777" w:rsidR="00DC45BE" w:rsidRPr="000605F4" w:rsidRDefault="00DC45BE" w:rsidP="00DC45BE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</w:p>
    <w:p w14:paraId="462541D4" w14:textId="23063A6D" w:rsidR="00DC45BE" w:rsidRPr="000605F4" w:rsidRDefault="00DC45BE" w:rsidP="00DC45BE">
      <w:pPr>
        <w:spacing w:line="259" w:lineRule="auto"/>
        <w:contextualSpacing/>
        <w:jc w:val="both"/>
        <w:rPr>
          <w:rFonts w:ascii="Times New Roman" w:hAnsi="Times New Roman"/>
          <w:b/>
          <w:bCs/>
          <w:sz w:val="22"/>
          <w:szCs w:val="22"/>
        </w:rPr>
      </w:pPr>
      <w:r w:rsidRPr="000605F4">
        <w:rPr>
          <w:rFonts w:ascii="Times New Roman" w:hAnsi="Times New Roman"/>
          <w:b/>
          <w:bCs/>
          <w:sz w:val="22"/>
          <w:szCs w:val="22"/>
        </w:rPr>
        <w:t>II.</w:t>
      </w:r>
      <w:r w:rsidRPr="000605F4">
        <w:rPr>
          <w:rFonts w:ascii="Times New Roman" w:hAnsi="Times New Roman"/>
          <w:sz w:val="22"/>
          <w:szCs w:val="22"/>
        </w:rPr>
        <w:tab/>
      </w:r>
      <w:r w:rsidR="000605F4" w:rsidRPr="000605F4">
        <w:rPr>
          <w:rFonts w:ascii="Times New Roman" w:hAnsi="Times New Roman"/>
          <w:b/>
          <w:bCs/>
          <w:sz w:val="22"/>
          <w:szCs w:val="22"/>
          <w:u w:val="single"/>
        </w:rPr>
        <w:t>GOODS AND WORKS AND NON-CONSULTING SERVICES</w:t>
      </w:r>
      <w:r w:rsidR="000605F4" w:rsidRPr="000605F4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1E5B3D6E" w14:textId="77777777" w:rsidR="00DC45BE" w:rsidRPr="000605F4" w:rsidRDefault="00DC45BE" w:rsidP="00DC45BE">
      <w:pPr>
        <w:spacing w:line="259" w:lineRule="auto"/>
        <w:contextualSpacing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D506F84" w14:textId="6C89CBFC" w:rsidR="00DC45BE" w:rsidRPr="000605F4" w:rsidRDefault="00DC45BE" w:rsidP="000605F4">
      <w:pPr>
        <w:pStyle w:val="ListParagraph"/>
        <w:numPr>
          <w:ilvl w:val="0"/>
          <w:numId w:val="9"/>
        </w:numPr>
        <w:spacing w:after="160" w:line="259" w:lineRule="auto"/>
        <w:ind w:left="1440" w:hanging="720"/>
        <w:rPr>
          <w:rFonts w:ascii="Times New Roman" w:hAnsi="Times New Roman"/>
          <w:b/>
          <w:bCs/>
          <w:sz w:val="22"/>
          <w:szCs w:val="22"/>
        </w:rPr>
      </w:pPr>
      <w:r w:rsidRPr="000605F4">
        <w:rPr>
          <w:rFonts w:ascii="Times New Roman" w:hAnsi="Times New Roman"/>
          <w:b/>
          <w:bCs/>
          <w:sz w:val="22"/>
          <w:szCs w:val="22"/>
        </w:rPr>
        <w:t>Prior Review Threshold:</w:t>
      </w:r>
      <w:r w:rsidRPr="000605F4">
        <w:rPr>
          <w:rFonts w:ascii="Times New Roman" w:hAnsi="Times New Roman"/>
          <w:sz w:val="22"/>
          <w:szCs w:val="22"/>
        </w:rPr>
        <w:t xml:space="preserve"> Procurement decision subject to prior review by the Bank as stated in Procurement Procedures.</w:t>
      </w:r>
    </w:p>
    <w:p w14:paraId="01D2EA88" w14:textId="77777777" w:rsidR="00DC45BE" w:rsidRPr="000605F4" w:rsidRDefault="00DC45BE" w:rsidP="00DC45BE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eGrid"/>
        <w:tblW w:w="8280" w:type="dxa"/>
        <w:tblInd w:w="1080" w:type="dxa"/>
        <w:tblLook w:val="04A0" w:firstRow="1" w:lastRow="0" w:firstColumn="1" w:lastColumn="0" w:noHBand="0" w:noVBand="1"/>
      </w:tblPr>
      <w:tblGrid>
        <w:gridCol w:w="2759"/>
        <w:gridCol w:w="2760"/>
        <w:gridCol w:w="2761"/>
      </w:tblGrid>
      <w:tr w:rsidR="00DC45BE" w:rsidRPr="000605F4" w14:paraId="7C4B0C2B" w14:textId="77777777" w:rsidTr="009C70E5">
        <w:trPr>
          <w:cantSplit/>
        </w:trPr>
        <w:tc>
          <w:tcPr>
            <w:tcW w:w="2759" w:type="dxa"/>
          </w:tcPr>
          <w:p w14:paraId="137C1323" w14:textId="77777777" w:rsidR="00DC45BE" w:rsidRPr="000605F4" w:rsidRDefault="00DC45BE" w:rsidP="009C70E5">
            <w:pPr>
              <w:widowControl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Cs/>
                <w:sz w:val="22"/>
                <w:szCs w:val="22"/>
              </w:rPr>
              <w:t>Procurement Method</w:t>
            </w:r>
          </w:p>
        </w:tc>
        <w:tc>
          <w:tcPr>
            <w:tcW w:w="2760" w:type="dxa"/>
          </w:tcPr>
          <w:p w14:paraId="19F6F43F" w14:textId="77777777" w:rsidR="00DC45BE" w:rsidRPr="000605F4" w:rsidRDefault="00DC45BE" w:rsidP="009C70E5">
            <w:pPr>
              <w:widowControl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Cs/>
                <w:sz w:val="22"/>
                <w:szCs w:val="22"/>
              </w:rPr>
              <w:t>Prior Review Threshold, USD</w:t>
            </w:r>
          </w:p>
        </w:tc>
        <w:tc>
          <w:tcPr>
            <w:tcW w:w="2761" w:type="dxa"/>
          </w:tcPr>
          <w:p w14:paraId="3204C6CA" w14:textId="77777777" w:rsidR="00DC45BE" w:rsidRPr="000605F4" w:rsidRDefault="00DC45BE" w:rsidP="009C70E5">
            <w:pPr>
              <w:widowControl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Cs/>
                <w:sz w:val="22"/>
                <w:szCs w:val="22"/>
              </w:rPr>
              <w:t>Comments</w:t>
            </w:r>
          </w:p>
        </w:tc>
      </w:tr>
      <w:tr w:rsidR="00DC45BE" w:rsidRPr="000605F4" w14:paraId="0AC04212" w14:textId="77777777" w:rsidTr="009C70E5">
        <w:trPr>
          <w:cantSplit/>
        </w:trPr>
        <w:tc>
          <w:tcPr>
            <w:tcW w:w="2759" w:type="dxa"/>
          </w:tcPr>
          <w:p w14:paraId="661ED730" w14:textId="77777777" w:rsidR="00DC45BE" w:rsidRPr="000605F4" w:rsidRDefault="00DC45BE" w:rsidP="009C70E5">
            <w:pPr>
              <w:widowControl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ICS</w:t>
            </w:r>
          </w:p>
        </w:tc>
        <w:tc>
          <w:tcPr>
            <w:tcW w:w="2760" w:type="dxa"/>
          </w:tcPr>
          <w:p w14:paraId="48323929" w14:textId="77777777" w:rsidR="00DC45BE" w:rsidRPr="000605F4" w:rsidRDefault="00DC45BE" w:rsidP="009C70E5">
            <w:pPr>
              <w:widowControl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≥5,000</w:t>
            </w:r>
          </w:p>
        </w:tc>
        <w:tc>
          <w:tcPr>
            <w:tcW w:w="2761" w:type="dxa"/>
          </w:tcPr>
          <w:p w14:paraId="49C7A2E0" w14:textId="77777777" w:rsidR="00DC45BE" w:rsidRPr="000605F4" w:rsidRDefault="00DC45BE" w:rsidP="009C70E5">
            <w:pPr>
              <w:widowControl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C45BE" w:rsidRPr="000605F4" w14:paraId="2C6ABAA1" w14:textId="77777777" w:rsidTr="009C70E5">
        <w:trPr>
          <w:cantSplit/>
        </w:trPr>
        <w:tc>
          <w:tcPr>
            <w:tcW w:w="2759" w:type="dxa"/>
          </w:tcPr>
          <w:p w14:paraId="56A63C90" w14:textId="77777777" w:rsidR="00DC45BE" w:rsidRPr="000605F4" w:rsidRDefault="00DC45BE" w:rsidP="009C70E5">
            <w:pPr>
              <w:widowControl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LB</w:t>
            </w:r>
          </w:p>
        </w:tc>
        <w:tc>
          <w:tcPr>
            <w:tcW w:w="2760" w:type="dxa"/>
          </w:tcPr>
          <w:p w14:paraId="426E4923" w14:textId="058261BA" w:rsidR="00DC45BE" w:rsidRPr="000605F4" w:rsidRDefault="00DC45BE" w:rsidP="009C70E5">
            <w:pPr>
              <w:widowControl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≥</w:t>
            </w:r>
            <w:r w:rsidR="00AD4877"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,000</w:t>
            </w:r>
          </w:p>
        </w:tc>
        <w:tc>
          <w:tcPr>
            <w:tcW w:w="2761" w:type="dxa"/>
          </w:tcPr>
          <w:p w14:paraId="1BF8A1FA" w14:textId="77777777" w:rsidR="00DC45BE" w:rsidRPr="000605F4" w:rsidRDefault="00DC45BE" w:rsidP="009C70E5">
            <w:pPr>
              <w:widowControl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C45BE" w:rsidRPr="000605F4" w14:paraId="2A4F84F2" w14:textId="77777777" w:rsidTr="009C70E5">
        <w:trPr>
          <w:cantSplit/>
        </w:trPr>
        <w:tc>
          <w:tcPr>
            <w:tcW w:w="2759" w:type="dxa"/>
          </w:tcPr>
          <w:p w14:paraId="15867EEB" w14:textId="77777777" w:rsidR="00DC45BE" w:rsidRPr="000605F4" w:rsidRDefault="00DC45BE" w:rsidP="009C70E5">
            <w:pPr>
              <w:widowControl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DS</w:t>
            </w:r>
          </w:p>
        </w:tc>
        <w:tc>
          <w:tcPr>
            <w:tcW w:w="2760" w:type="dxa"/>
          </w:tcPr>
          <w:p w14:paraId="63BFBB56" w14:textId="77777777" w:rsidR="00DC45BE" w:rsidRPr="000605F4" w:rsidRDefault="00DC45BE" w:rsidP="009C70E5">
            <w:pPr>
              <w:widowControl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All contracts</w:t>
            </w:r>
          </w:p>
        </w:tc>
        <w:tc>
          <w:tcPr>
            <w:tcW w:w="2761" w:type="dxa"/>
          </w:tcPr>
          <w:p w14:paraId="4D82B466" w14:textId="77777777" w:rsidR="00DC45BE" w:rsidRPr="000605F4" w:rsidRDefault="00DC45BE" w:rsidP="009C70E5">
            <w:pPr>
              <w:widowControl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47AC143A" w14:textId="77777777" w:rsidR="00DC45BE" w:rsidRPr="000605F4" w:rsidRDefault="00DC45BE" w:rsidP="00DC45BE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</w:p>
    <w:p w14:paraId="2F90C685" w14:textId="77777777" w:rsidR="00DC45BE" w:rsidRPr="000605F4" w:rsidRDefault="00DC45BE" w:rsidP="000605F4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ind w:left="1440" w:hanging="720"/>
        <w:jc w:val="both"/>
        <w:rPr>
          <w:rFonts w:ascii="Times New Roman" w:hAnsi="Times New Roman"/>
          <w:sz w:val="22"/>
          <w:szCs w:val="22"/>
        </w:rPr>
      </w:pPr>
      <w:r w:rsidRPr="000605F4">
        <w:rPr>
          <w:rFonts w:ascii="Times New Roman" w:hAnsi="Times New Roman"/>
          <w:b/>
          <w:bCs/>
          <w:sz w:val="22"/>
          <w:szCs w:val="22"/>
        </w:rPr>
        <w:t xml:space="preserve">Reference to relevant Procurement Framework: </w:t>
      </w:r>
      <w:r w:rsidRPr="000605F4">
        <w:rPr>
          <w:rFonts w:ascii="Times New Roman" w:hAnsi="Times New Roman"/>
          <w:sz w:val="22"/>
          <w:szCs w:val="22"/>
        </w:rPr>
        <w:t>Procurement Policy for Projects Financed by CDB (November 2019) and Procurement Procedures for Projects Financed by CDB (January 2021) </w:t>
      </w:r>
    </w:p>
    <w:p w14:paraId="601CA0CD" w14:textId="77777777" w:rsidR="00DC45BE" w:rsidRPr="000605F4" w:rsidRDefault="00DC45BE" w:rsidP="000605F4">
      <w:pPr>
        <w:pStyle w:val="ListParagraph"/>
        <w:spacing w:after="160" w:line="259" w:lineRule="auto"/>
        <w:ind w:left="1440" w:hanging="720"/>
        <w:rPr>
          <w:rFonts w:ascii="Times New Roman" w:hAnsi="Times New Roman"/>
          <w:b/>
          <w:bCs/>
          <w:sz w:val="22"/>
          <w:szCs w:val="22"/>
        </w:rPr>
      </w:pPr>
    </w:p>
    <w:p w14:paraId="4551B310" w14:textId="77777777" w:rsidR="00DC45BE" w:rsidRPr="000605F4" w:rsidRDefault="00DC45BE" w:rsidP="000605F4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ind w:left="1440" w:hanging="720"/>
        <w:rPr>
          <w:rFonts w:ascii="Times New Roman" w:hAnsi="Times New Roman"/>
          <w:sz w:val="22"/>
          <w:szCs w:val="22"/>
        </w:rPr>
      </w:pPr>
      <w:r w:rsidRPr="000605F4">
        <w:rPr>
          <w:rFonts w:ascii="Times New Roman" w:hAnsi="Times New Roman"/>
          <w:b/>
          <w:bCs/>
          <w:sz w:val="22"/>
          <w:szCs w:val="22"/>
        </w:rPr>
        <w:t xml:space="preserve">Any Other Special Procurement Arrangements: </w:t>
      </w:r>
      <w:r w:rsidRPr="000605F4">
        <w:rPr>
          <w:rFonts w:ascii="Times New Roman" w:hAnsi="Times New Roman"/>
          <w:sz w:val="22"/>
          <w:szCs w:val="22"/>
        </w:rPr>
        <w:t>None</w:t>
      </w:r>
    </w:p>
    <w:p w14:paraId="6A4F3770" w14:textId="77777777" w:rsidR="00DC45BE" w:rsidRPr="000605F4" w:rsidRDefault="00DC45BE" w:rsidP="000605F4">
      <w:pPr>
        <w:pStyle w:val="ListParagraph"/>
        <w:ind w:left="1440" w:hanging="720"/>
        <w:rPr>
          <w:rFonts w:ascii="Times New Roman" w:hAnsi="Times New Roman"/>
          <w:sz w:val="22"/>
          <w:szCs w:val="22"/>
        </w:rPr>
      </w:pPr>
    </w:p>
    <w:p w14:paraId="7C0EC097" w14:textId="77777777" w:rsidR="00DC45BE" w:rsidRPr="000605F4" w:rsidRDefault="00DC45BE" w:rsidP="000605F4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ind w:left="1440" w:hanging="720"/>
        <w:jc w:val="both"/>
        <w:rPr>
          <w:rFonts w:ascii="Times New Roman" w:hAnsi="Times New Roman"/>
          <w:sz w:val="22"/>
          <w:szCs w:val="22"/>
        </w:rPr>
      </w:pPr>
      <w:r w:rsidRPr="000605F4">
        <w:rPr>
          <w:rFonts w:ascii="Times New Roman" w:hAnsi="Times New Roman"/>
          <w:b/>
          <w:bCs/>
          <w:sz w:val="22"/>
          <w:szCs w:val="22"/>
        </w:rPr>
        <w:t xml:space="preserve">Procurement Waivers: </w:t>
      </w:r>
      <w:r w:rsidRPr="000605F4">
        <w:rPr>
          <w:rFonts w:ascii="Times New Roman" w:hAnsi="Times New Roman"/>
          <w:sz w:val="22"/>
          <w:szCs w:val="22"/>
        </w:rPr>
        <w:t xml:space="preserve">None </w:t>
      </w:r>
    </w:p>
    <w:p w14:paraId="5CFF5930" w14:textId="77777777" w:rsidR="00DC45BE" w:rsidRPr="000605F4" w:rsidRDefault="00DC45BE" w:rsidP="00DC45BE">
      <w:pPr>
        <w:pStyle w:val="ListParagraph"/>
        <w:spacing w:after="160" w:line="259" w:lineRule="auto"/>
        <w:ind w:left="108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7773425" w14:textId="77777777" w:rsidR="00DC45BE" w:rsidRPr="000605F4" w:rsidRDefault="00DC45BE" w:rsidP="00DC45BE">
      <w:pPr>
        <w:pStyle w:val="ListParagraph"/>
        <w:spacing w:after="160" w:line="259" w:lineRule="auto"/>
        <w:ind w:left="108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B0D7BDA" w14:textId="77777777" w:rsidR="00DC45BE" w:rsidRPr="000605F4" w:rsidRDefault="00DC45BE" w:rsidP="00DC45BE">
      <w:pPr>
        <w:rPr>
          <w:rFonts w:ascii="Times New Roman" w:eastAsia="Segoe UI" w:hAnsi="Times New Roman"/>
          <w:color w:val="242424"/>
          <w:sz w:val="22"/>
          <w:szCs w:val="22"/>
        </w:rPr>
        <w:sectPr w:rsidR="00DC45BE" w:rsidRPr="000605F4" w:rsidSect="000605F4">
          <w:headerReference w:type="default" r:id="rId12"/>
          <w:pgSz w:w="12240" w:h="15840" w:code="1"/>
          <w:pgMar w:top="1440" w:right="1440" w:bottom="1440" w:left="1440" w:header="720" w:footer="720" w:gutter="0"/>
          <w:pgNumType w:fmt="numberInDash" w:start="1"/>
          <w:cols w:space="720"/>
          <w:noEndnote/>
          <w:titlePg/>
          <w:docGrid w:linePitch="326"/>
        </w:sectPr>
      </w:pPr>
    </w:p>
    <w:p w14:paraId="5F5525DF" w14:textId="77777777" w:rsidR="00DC45BE" w:rsidRPr="000605F4" w:rsidRDefault="00DC45BE" w:rsidP="00DC45BE">
      <w:pPr>
        <w:pStyle w:val="ListParagraph"/>
        <w:widowControl/>
        <w:numPr>
          <w:ilvl w:val="0"/>
          <w:numId w:val="6"/>
        </w:numPr>
        <w:autoSpaceDE/>
        <w:autoSpaceDN/>
        <w:adjustRightInd/>
        <w:contextualSpacing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0605F4">
        <w:rPr>
          <w:rFonts w:ascii="Times New Roman" w:hAnsi="Times New Roman"/>
          <w:b/>
          <w:bCs/>
          <w:sz w:val="22"/>
          <w:szCs w:val="22"/>
        </w:rPr>
        <w:lastRenderedPageBreak/>
        <w:t>Procurement Packages with Methods and Time Schedule for Goods and Non-Consulting Services</w:t>
      </w:r>
    </w:p>
    <w:p w14:paraId="609AC762" w14:textId="77777777" w:rsidR="00DC45BE" w:rsidRPr="000605F4" w:rsidRDefault="00DC45BE" w:rsidP="00DC45BE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16002" w:type="dxa"/>
        <w:tblLayout w:type="fixed"/>
        <w:tblLook w:val="04A0" w:firstRow="1" w:lastRow="0" w:firstColumn="1" w:lastColumn="0" w:noHBand="0" w:noVBand="1"/>
      </w:tblPr>
      <w:tblGrid>
        <w:gridCol w:w="1544"/>
        <w:gridCol w:w="2038"/>
        <w:gridCol w:w="1412"/>
        <w:gridCol w:w="1803"/>
        <w:gridCol w:w="1457"/>
        <w:gridCol w:w="1793"/>
        <w:gridCol w:w="1712"/>
        <w:gridCol w:w="4243"/>
      </w:tblGrid>
      <w:tr w:rsidR="007A2DDD" w:rsidRPr="000605F4" w14:paraId="7E87A2FB" w14:textId="77777777" w:rsidTr="79E23E61">
        <w:trPr>
          <w:cantSplit/>
          <w:trHeight w:val="300"/>
          <w:tblHeader/>
        </w:trPr>
        <w:tc>
          <w:tcPr>
            <w:tcW w:w="1544" w:type="dxa"/>
          </w:tcPr>
          <w:p w14:paraId="2CDFDF9B" w14:textId="77777777" w:rsidR="007A2DDD" w:rsidRPr="000605F4" w:rsidRDefault="007A2DDD" w:rsidP="009C70E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23921175" w14:textId="77777777" w:rsidR="007A2DDD" w:rsidRPr="000605F4" w:rsidRDefault="007A2DDD" w:rsidP="009C70E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2" w:type="dxa"/>
          </w:tcPr>
          <w:p w14:paraId="65125804" w14:textId="77777777" w:rsidR="007A2DDD" w:rsidRPr="000605F4" w:rsidRDefault="007A2DDD" w:rsidP="009C70E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03" w:type="dxa"/>
          </w:tcPr>
          <w:p w14:paraId="0BC78FF0" w14:textId="77777777" w:rsidR="007A2DDD" w:rsidRPr="000605F4" w:rsidRDefault="007A2DDD" w:rsidP="009C70E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57" w:type="dxa"/>
          </w:tcPr>
          <w:p w14:paraId="01E98EAF" w14:textId="77777777" w:rsidR="007A2DDD" w:rsidRPr="000605F4" w:rsidRDefault="007A2DDD" w:rsidP="009C70E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93" w:type="dxa"/>
          </w:tcPr>
          <w:p w14:paraId="78136E4B" w14:textId="77777777" w:rsidR="007A2DDD" w:rsidRPr="000605F4" w:rsidRDefault="007A2DDD" w:rsidP="009C70E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712" w:type="dxa"/>
          </w:tcPr>
          <w:p w14:paraId="1C7B1F39" w14:textId="77777777" w:rsidR="007A2DDD" w:rsidRPr="000605F4" w:rsidRDefault="007A2DDD" w:rsidP="009C70E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243" w:type="dxa"/>
          </w:tcPr>
          <w:p w14:paraId="3A698E5F" w14:textId="77777777" w:rsidR="007A2DDD" w:rsidRPr="000605F4" w:rsidRDefault="007A2DDD" w:rsidP="009C70E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</w:p>
        </w:tc>
      </w:tr>
      <w:tr w:rsidR="007A2DDD" w:rsidRPr="000605F4" w14:paraId="61498693" w14:textId="77777777" w:rsidTr="79E23E61">
        <w:trPr>
          <w:cantSplit/>
          <w:trHeight w:val="300"/>
          <w:tblHeader/>
        </w:trPr>
        <w:tc>
          <w:tcPr>
            <w:tcW w:w="1544" w:type="dxa"/>
          </w:tcPr>
          <w:p w14:paraId="34847A89" w14:textId="77777777" w:rsidR="007A2DDD" w:rsidRPr="000605F4" w:rsidRDefault="007A2DDD" w:rsidP="009C70E5">
            <w:pPr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Ref No.</w:t>
            </w:r>
          </w:p>
        </w:tc>
        <w:tc>
          <w:tcPr>
            <w:tcW w:w="2038" w:type="dxa"/>
          </w:tcPr>
          <w:p w14:paraId="595D9D47" w14:textId="77777777" w:rsidR="007A2DDD" w:rsidRPr="000605F4" w:rsidRDefault="007A2DDD" w:rsidP="009C70E5">
            <w:pPr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Contract – Description</w:t>
            </w:r>
          </w:p>
        </w:tc>
        <w:tc>
          <w:tcPr>
            <w:tcW w:w="1412" w:type="dxa"/>
          </w:tcPr>
          <w:p w14:paraId="5D6D7AF0" w14:textId="77777777" w:rsidR="007A2DDD" w:rsidRPr="000605F4" w:rsidRDefault="007A2DDD" w:rsidP="009C70E5">
            <w:pPr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Selection Method</w:t>
            </w:r>
          </w:p>
        </w:tc>
        <w:tc>
          <w:tcPr>
            <w:tcW w:w="1803" w:type="dxa"/>
          </w:tcPr>
          <w:p w14:paraId="4C12414C" w14:textId="77777777" w:rsidR="007A2DDD" w:rsidRPr="000605F4" w:rsidRDefault="007A2DDD" w:rsidP="009C70E5">
            <w:pPr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Prequalification (Yes/No)</w:t>
            </w:r>
          </w:p>
        </w:tc>
        <w:tc>
          <w:tcPr>
            <w:tcW w:w="1457" w:type="dxa"/>
          </w:tcPr>
          <w:p w14:paraId="735FE0F7" w14:textId="77777777" w:rsidR="007A2DDD" w:rsidRPr="000605F4" w:rsidRDefault="007A2DDD" w:rsidP="009C70E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Regional Preference (Yes/No</w:t>
            </w:r>
          </w:p>
        </w:tc>
        <w:tc>
          <w:tcPr>
            <w:tcW w:w="1793" w:type="dxa"/>
          </w:tcPr>
          <w:p w14:paraId="40465433" w14:textId="77777777" w:rsidR="007A2DDD" w:rsidRPr="000605F4" w:rsidRDefault="007A2DDD" w:rsidP="009C70E5">
            <w:pPr>
              <w:widowControl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Review by Bank (Prior/Post)</w:t>
            </w:r>
          </w:p>
        </w:tc>
        <w:tc>
          <w:tcPr>
            <w:tcW w:w="1712" w:type="dxa"/>
          </w:tcPr>
          <w:p w14:paraId="6518F4BA" w14:textId="77777777" w:rsidR="007A2DDD" w:rsidRPr="000605F4" w:rsidRDefault="007A2DDD" w:rsidP="009C70E5">
            <w:pPr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Expected Bid Opening Date</w:t>
            </w:r>
          </w:p>
        </w:tc>
        <w:tc>
          <w:tcPr>
            <w:tcW w:w="4243" w:type="dxa"/>
          </w:tcPr>
          <w:p w14:paraId="0971795C" w14:textId="77777777" w:rsidR="007A2DDD" w:rsidRPr="000605F4" w:rsidRDefault="007A2DDD" w:rsidP="009C70E5">
            <w:pPr>
              <w:widowControl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Comments</w:t>
            </w:r>
          </w:p>
        </w:tc>
      </w:tr>
      <w:tr w:rsidR="007A2DDD" w:rsidRPr="000605F4" w14:paraId="329ACC63" w14:textId="77777777" w:rsidTr="79E23E61">
        <w:trPr>
          <w:cantSplit/>
          <w:trHeight w:val="300"/>
        </w:trPr>
        <w:tc>
          <w:tcPr>
            <w:tcW w:w="1544" w:type="dxa"/>
          </w:tcPr>
          <w:p w14:paraId="5CBCB288" w14:textId="77777777" w:rsidR="007A2DDD" w:rsidRPr="000605F4" w:rsidRDefault="007A2DDD" w:rsidP="00DC45B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64" w:firstLine="0"/>
              <w:contextualSpacing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38" w:type="dxa"/>
          </w:tcPr>
          <w:p w14:paraId="11C71F1D" w14:textId="77777777" w:rsidR="007A2DDD" w:rsidRDefault="007A2DDD" w:rsidP="00C641EC">
            <w:pPr>
              <w:widowControl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4BFDD58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Equipment upgrades and installation at monitoring stations</w:t>
            </w:r>
          </w:p>
          <w:p w14:paraId="4E19F248" w14:textId="77777777" w:rsidR="007A2DDD" w:rsidRPr="000605F4" w:rsidRDefault="007A2DDD" w:rsidP="00C641EC">
            <w:pPr>
              <w:widowControl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2" w:type="dxa"/>
          </w:tcPr>
          <w:p w14:paraId="7F46074F" w14:textId="59AF7D03" w:rsidR="007A2DDD" w:rsidRPr="000605F4" w:rsidRDefault="007A2DDD" w:rsidP="00412122">
            <w:pPr>
              <w:widowControl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LB</w:t>
            </w:r>
          </w:p>
        </w:tc>
        <w:tc>
          <w:tcPr>
            <w:tcW w:w="1803" w:type="dxa"/>
          </w:tcPr>
          <w:p w14:paraId="3C93711D" w14:textId="77777777" w:rsidR="007A2DDD" w:rsidRPr="000605F4" w:rsidRDefault="007A2DDD" w:rsidP="00412122">
            <w:pPr>
              <w:widowControl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Cs/>
                <w:sz w:val="22"/>
                <w:szCs w:val="22"/>
              </w:rPr>
              <w:t>Yes</w:t>
            </w:r>
          </w:p>
        </w:tc>
        <w:tc>
          <w:tcPr>
            <w:tcW w:w="1457" w:type="dxa"/>
          </w:tcPr>
          <w:p w14:paraId="7F67327C" w14:textId="4E7912D3" w:rsidR="007A2DDD" w:rsidRPr="000605F4" w:rsidRDefault="007A2DDD" w:rsidP="004121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05F4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793" w:type="dxa"/>
          </w:tcPr>
          <w:p w14:paraId="3508ADCB" w14:textId="77777777" w:rsidR="007A2DDD" w:rsidRPr="000605F4" w:rsidRDefault="007A2DDD" w:rsidP="00412122">
            <w:pPr>
              <w:widowControl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Cs/>
                <w:sz w:val="22"/>
                <w:szCs w:val="22"/>
              </w:rPr>
              <w:t>Prior</w:t>
            </w:r>
          </w:p>
        </w:tc>
        <w:tc>
          <w:tcPr>
            <w:tcW w:w="1712" w:type="dxa"/>
          </w:tcPr>
          <w:p w14:paraId="29000A35" w14:textId="53834E58" w:rsidR="007A2DDD" w:rsidRPr="000605F4" w:rsidRDefault="0A1DCFBE" w:rsidP="79E23E61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79E23E61">
              <w:rPr>
                <w:rFonts w:ascii="Times New Roman" w:hAnsi="Times New Roman"/>
                <w:sz w:val="22"/>
                <w:szCs w:val="22"/>
              </w:rPr>
              <w:t>October 2026</w:t>
            </w:r>
          </w:p>
        </w:tc>
        <w:tc>
          <w:tcPr>
            <w:tcW w:w="4243" w:type="dxa"/>
          </w:tcPr>
          <w:p w14:paraId="01945558" w14:textId="77777777" w:rsidR="007A2DDD" w:rsidRPr="000605F4" w:rsidRDefault="007A2DDD" w:rsidP="009C70E5">
            <w:pPr>
              <w:widowControl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A2DDD" w:rsidRPr="000605F4" w14:paraId="1E1AA57D" w14:textId="77777777" w:rsidTr="79E23E61">
        <w:trPr>
          <w:cantSplit/>
          <w:trHeight w:val="300"/>
        </w:trPr>
        <w:tc>
          <w:tcPr>
            <w:tcW w:w="1544" w:type="dxa"/>
          </w:tcPr>
          <w:p w14:paraId="779FCD60" w14:textId="77777777" w:rsidR="007A2DDD" w:rsidRPr="000605F4" w:rsidRDefault="007A2DDD" w:rsidP="00DC45B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64" w:firstLine="0"/>
              <w:contextualSpacing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38" w:type="dxa"/>
          </w:tcPr>
          <w:p w14:paraId="5D545C2D" w14:textId="77777777" w:rsidR="007A2DDD" w:rsidRDefault="007A2DDD" w:rsidP="00C641EC">
            <w:pPr>
              <w:widowControl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605F4">
              <w:rPr>
                <w:rFonts w:ascii="Times New Roman" w:hAnsi="Times New Roman"/>
                <w:color w:val="000000"/>
                <w:sz w:val="22"/>
                <w:szCs w:val="22"/>
              </w:rPr>
              <w:t>Installation of anti-theft security measures for monitoring stations</w:t>
            </w:r>
          </w:p>
          <w:p w14:paraId="4896D84B" w14:textId="77777777" w:rsidR="007A2DDD" w:rsidRPr="000605F4" w:rsidRDefault="007A2DDD" w:rsidP="009C70E5">
            <w:pPr>
              <w:widowControl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2" w:type="dxa"/>
          </w:tcPr>
          <w:p w14:paraId="0ACE88E8" w14:textId="3C5BB661" w:rsidR="007A2DDD" w:rsidRPr="000605F4" w:rsidRDefault="007A2DDD" w:rsidP="4BFDD587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</w:t>
            </w:r>
            <w:r w:rsidRPr="4BFDD587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  <w:tc>
          <w:tcPr>
            <w:tcW w:w="1803" w:type="dxa"/>
          </w:tcPr>
          <w:p w14:paraId="3066F497" w14:textId="77777777" w:rsidR="007A2DDD" w:rsidRPr="000605F4" w:rsidRDefault="007A2DDD" w:rsidP="00412122">
            <w:pPr>
              <w:widowControl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Cs/>
                <w:sz w:val="22"/>
                <w:szCs w:val="22"/>
              </w:rPr>
              <w:t>Yes</w:t>
            </w:r>
          </w:p>
        </w:tc>
        <w:tc>
          <w:tcPr>
            <w:tcW w:w="1457" w:type="dxa"/>
          </w:tcPr>
          <w:p w14:paraId="78C20331" w14:textId="15D4062A" w:rsidR="007A2DDD" w:rsidRPr="000605F4" w:rsidRDefault="007A2DDD" w:rsidP="004121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05F4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793" w:type="dxa"/>
          </w:tcPr>
          <w:p w14:paraId="460173CC" w14:textId="77777777" w:rsidR="007A2DDD" w:rsidRPr="000605F4" w:rsidRDefault="007A2DDD" w:rsidP="00412122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05F4">
              <w:rPr>
                <w:rFonts w:ascii="Times New Roman" w:hAnsi="Times New Roman"/>
                <w:sz w:val="22"/>
                <w:szCs w:val="22"/>
              </w:rPr>
              <w:t>Prior</w:t>
            </w:r>
          </w:p>
        </w:tc>
        <w:tc>
          <w:tcPr>
            <w:tcW w:w="1712" w:type="dxa"/>
          </w:tcPr>
          <w:p w14:paraId="40C442D5" w14:textId="092071C9" w:rsidR="007A2DDD" w:rsidRPr="000605F4" w:rsidRDefault="007A2DDD" w:rsidP="00412122">
            <w:pPr>
              <w:widowControl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December 2026</w:t>
            </w:r>
          </w:p>
        </w:tc>
        <w:tc>
          <w:tcPr>
            <w:tcW w:w="4243" w:type="dxa"/>
          </w:tcPr>
          <w:p w14:paraId="4444CA88" w14:textId="3E17ADB0" w:rsidR="007A2DDD" w:rsidRPr="000605F4" w:rsidRDefault="007A2DDD" w:rsidP="009C70E5">
            <w:pPr>
              <w:widowControl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A2DDD" w:rsidRPr="000605F4" w14:paraId="08F959A6" w14:textId="77777777" w:rsidTr="79E23E61">
        <w:trPr>
          <w:cantSplit/>
          <w:trHeight w:val="300"/>
        </w:trPr>
        <w:tc>
          <w:tcPr>
            <w:tcW w:w="1544" w:type="dxa"/>
          </w:tcPr>
          <w:p w14:paraId="7F4B7D54" w14:textId="77777777" w:rsidR="007A2DDD" w:rsidRPr="000605F4" w:rsidRDefault="007A2DDD" w:rsidP="00DC45B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64" w:firstLine="0"/>
              <w:contextualSpacing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38" w:type="dxa"/>
          </w:tcPr>
          <w:p w14:paraId="0E140651" w14:textId="77777777" w:rsidR="007A2DDD" w:rsidRPr="000605F4" w:rsidRDefault="007A2DDD" w:rsidP="009C70E5">
            <w:pPr>
              <w:widowControl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color w:val="000000"/>
                <w:sz w:val="22"/>
                <w:szCs w:val="22"/>
              </w:rPr>
              <w:t>Acquisition of GIS software</w:t>
            </w:r>
          </w:p>
        </w:tc>
        <w:tc>
          <w:tcPr>
            <w:tcW w:w="1412" w:type="dxa"/>
          </w:tcPr>
          <w:p w14:paraId="71D27297" w14:textId="77777777" w:rsidR="007A2DDD" w:rsidRPr="000605F4" w:rsidRDefault="007A2DDD" w:rsidP="00412122">
            <w:pPr>
              <w:widowControl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Cs/>
                <w:sz w:val="22"/>
                <w:szCs w:val="22"/>
              </w:rPr>
              <w:t>DS</w:t>
            </w:r>
          </w:p>
        </w:tc>
        <w:tc>
          <w:tcPr>
            <w:tcW w:w="1803" w:type="dxa"/>
          </w:tcPr>
          <w:p w14:paraId="3182F5EE" w14:textId="77777777" w:rsidR="007A2DDD" w:rsidRPr="000605F4" w:rsidRDefault="007A2DDD" w:rsidP="00412122">
            <w:pPr>
              <w:widowControl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Cs/>
                <w:sz w:val="22"/>
                <w:szCs w:val="22"/>
              </w:rPr>
              <w:t>No</w:t>
            </w:r>
          </w:p>
        </w:tc>
        <w:tc>
          <w:tcPr>
            <w:tcW w:w="1457" w:type="dxa"/>
          </w:tcPr>
          <w:p w14:paraId="082174AB" w14:textId="77777777" w:rsidR="007A2DDD" w:rsidRPr="000605F4" w:rsidRDefault="007A2DDD" w:rsidP="004121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05F4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793" w:type="dxa"/>
          </w:tcPr>
          <w:p w14:paraId="0685895C" w14:textId="77777777" w:rsidR="007A2DDD" w:rsidRPr="000605F4" w:rsidRDefault="007A2DDD" w:rsidP="00412122">
            <w:pPr>
              <w:widowControl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Cs/>
                <w:sz w:val="22"/>
                <w:szCs w:val="22"/>
              </w:rPr>
              <w:t>Post</w:t>
            </w:r>
          </w:p>
        </w:tc>
        <w:tc>
          <w:tcPr>
            <w:tcW w:w="1712" w:type="dxa"/>
          </w:tcPr>
          <w:p w14:paraId="4BF33B9A" w14:textId="3DC81BEB" w:rsidR="007A2DDD" w:rsidRPr="000605F4" w:rsidRDefault="007A2DDD" w:rsidP="4BFDD587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July 2026</w:t>
            </w:r>
          </w:p>
        </w:tc>
        <w:tc>
          <w:tcPr>
            <w:tcW w:w="4243" w:type="dxa"/>
          </w:tcPr>
          <w:p w14:paraId="4BFEE2F8" w14:textId="0FD25B65" w:rsidR="007A2DDD" w:rsidRDefault="007A2DDD" w:rsidP="4BFDD587">
            <w:pPr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4BFDD587">
              <w:rPr>
                <w:rFonts w:ascii="Times New Roman" w:hAnsi="Times New Roman"/>
                <w:sz w:val="22"/>
                <w:szCs w:val="22"/>
              </w:rPr>
              <w:t>In an effort to</w:t>
            </w:r>
            <w:proofErr w:type="gramEnd"/>
            <w:r w:rsidRPr="4BFDD587">
              <w:rPr>
                <w:rFonts w:ascii="Times New Roman" w:hAnsi="Times New Roman"/>
                <w:sz w:val="22"/>
                <w:szCs w:val="22"/>
              </w:rPr>
              <w:t xml:space="preserve"> standardise the current GIS tools that the WRMA uses which is ArcGIS supplied by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the regional supplier of </w:t>
            </w:r>
            <w:r w:rsidRPr="4BFDD587">
              <w:rPr>
                <w:rFonts w:ascii="Times New Roman" w:hAnsi="Times New Roman"/>
                <w:sz w:val="22"/>
                <w:szCs w:val="22"/>
              </w:rPr>
              <w:t>ESRI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solutions which is Spatial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Innovision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Limited based in Jamaica</w:t>
            </w:r>
            <w:r w:rsidRPr="4BFDD587">
              <w:rPr>
                <w:rFonts w:ascii="Times New Roman" w:hAnsi="Times New Roman"/>
                <w:sz w:val="22"/>
                <w:szCs w:val="22"/>
              </w:rPr>
              <w:t xml:space="preserve">, the purchase of 2 annual, organisational licenses for a 2-year period will be done directly through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the Caribbean </w:t>
            </w:r>
            <w:r w:rsidRPr="4BFDD587">
              <w:rPr>
                <w:rFonts w:ascii="Times New Roman" w:hAnsi="Times New Roman"/>
                <w:sz w:val="22"/>
                <w:szCs w:val="22"/>
              </w:rPr>
              <w:t>ESRI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supplier, Spatial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Innovision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Limited</w:t>
            </w:r>
            <w:r w:rsidRPr="4BFDD58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D427117" w14:textId="77777777" w:rsidR="007A2DDD" w:rsidRPr="000605F4" w:rsidRDefault="007A2DDD" w:rsidP="009C70E5">
            <w:pPr>
              <w:widowControl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A2DDD" w:rsidRPr="000605F4" w14:paraId="59776C61" w14:textId="77777777" w:rsidTr="79E23E61">
        <w:trPr>
          <w:cantSplit/>
          <w:trHeight w:val="300"/>
        </w:trPr>
        <w:tc>
          <w:tcPr>
            <w:tcW w:w="1544" w:type="dxa"/>
          </w:tcPr>
          <w:p w14:paraId="60F0E40F" w14:textId="77777777" w:rsidR="007A2DDD" w:rsidRPr="000605F4" w:rsidRDefault="007A2DDD" w:rsidP="00DC45B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64" w:firstLine="0"/>
              <w:contextualSpacing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38" w:type="dxa"/>
          </w:tcPr>
          <w:p w14:paraId="1469FA7B" w14:textId="77777777" w:rsidR="007A2DDD" w:rsidRPr="000605F4" w:rsidRDefault="007A2DDD" w:rsidP="009C70E5">
            <w:pPr>
              <w:widowControl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color w:val="000000"/>
                <w:sz w:val="22"/>
                <w:szCs w:val="22"/>
              </w:rPr>
              <w:t>Acquisition of modelling PCs</w:t>
            </w:r>
          </w:p>
        </w:tc>
        <w:tc>
          <w:tcPr>
            <w:tcW w:w="1412" w:type="dxa"/>
          </w:tcPr>
          <w:p w14:paraId="5DCE4ABB" w14:textId="77777777" w:rsidR="007A2DDD" w:rsidRPr="000605F4" w:rsidRDefault="007A2DDD" w:rsidP="00412122">
            <w:pPr>
              <w:widowControl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Cs/>
                <w:sz w:val="22"/>
                <w:szCs w:val="22"/>
              </w:rPr>
              <w:t>LB</w:t>
            </w:r>
          </w:p>
        </w:tc>
        <w:tc>
          <w:tcPr>
            <w:tcW w:w="1803" w:type="dxa"/>
          </w:tcPr>
          <w:p w14:paraId="4E15D1BB" w14:textId="77777777" w:rsidR="007A2DDD" w:rsidRPr="000605F4" w:rsidRDefault="007A2DDD" w:rsidP="00412122">
            <w:pPr>
              <w:widowControl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Cs/>
                <w:sz w:val="22"/>
                <w:szCs w:val="22"/>
              </w:rPr>
              <w:t>No</w:t>
            </w:r>
          </w:p>
        </w:tc>
        <w:tc>
          <w:tcPr>
            <w:tcW w:w="1457" w:type="dxa"/>
          </w:tcPr>
          <w:p w14:paraId="361BDF0E" w14:textId="77777777" w:rsidR="007A2DDD" w:rsidRPr="000605F4" w:rsidRDefault="007A2DDD" w:rsidP="004121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605F4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793" w:type="dxa"/>
          </w:tcPr>
          <w:p w14:paraId="6648FA0B" w14:textId="77777777" w:rsidR="007A2DDD" w:rsidRPr="000605F4" w:rsidRDefault="007A2DDD" w:rsidP="00412122">
            <w:pPr>
              <w:widowControl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Cs/>
                <w:sz w:val="22"/>
                <w:szCs w:val="22"/>
              </w:rPr>
              <w:t>Post</w:t>
            </w:r>
          </w:p>
        </w:tc>
        <w:tc>
          <w:tcPr>
            <w:tcW w:w="1712" w:type="dxa"/>
          </w:tcPr>
          <w:p w14:paraId="18AD6FA9" w14:textId="46C80CA2" w:rsidR="007A2DDD" w:rsidRPr="000605F4" w:rsidRDefault="007A2DDD" w:rsidP="4BFDD587">
            <w:pPr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July 2026</w:t>
            </w:r>
          </w:p>
        </w:tc>
        <w:tc>
          <w:tcPr>
            <w:tcW w:w="4243" w:type="dxa"/>
          </w:tcPr>
          <w:p w14:paraId="50A15CF1" w14:textId="77777777" w:rsidR="007A2DDD" w:rsidRPr="000605F4" w:rsidRDefault="007A2DDD" w:rsidP="4BFDD587">
            <w:pPr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4BFDD587">
              <w:rPr>
                <w:rFonts w:ascii="Times New Roman" w:hAnsi="Times New Roman"/>
                <w:sz w:val="22"/>
                <w:szCs w:val="22"/>
              </w:rPr>
              <w:t>These PCs will be sourced from suppliers pre-registered with the GOSL.</w:t>
            </w:r>
          </w:p>
        </w:tc>
      </w:tr>
    </w:tbl>
    <w:p w14:paraId="5585B57B" w14:textId="77777777" w:rsidR="00DC45BE" w:rsidRPr="000605F4" w:rsidRDefault="00DC45BE" w:rsidP="00DC45BE">
      <w:pPr>
        <w:widowControl/>
        <w:jc w:val="both"/>
        <w:rPr>
          <w:rFonts w:ascii="Times New Roman" w:hAnsi="Times New Roman"/>
          <w:b/>
          <w:sz w:val="22"/>
          <w:szCs w:val="22"/>
        </w:rPr>
      </w:pPr>
    </w:p>
    <w:p w14:paraId="05900D46" w14:textId="77777777" w:rsidR="00DC45BE" w:rsidRPr="000605F4" w:rsidRDefault="00DC45BE" w:rsidP="00DC45BE">
      <w:pPr>
        <w:widowControl/>
        <w:jc w:val="both"/>
        <w:rPr>
          <w:rFonts w:ascii="Times New Roman" w:hAnsi="Times New Roman"/>
          <w:b/>
          <w:sz w:val="22"/>
          <w:szCs w:val="22"/>
        </w:rPr>
      </w:pPr>
    </w:p>
    <w:p w14:paraId="137F7140" w14:textId="77777777" w:rsidR="00DC45BE" w:rsidRPr="000605F4" w:rsidRDefault="00DC45BE" w:rsidP="00DC45BE">
      <w:pPr>
        <w:widowControl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B285E19" w14:textId="07884D8B" w:rsidR="00DC45BE" w:rsidRPr="000605F4" w:rsidRDefault="008E679F" w:rsidP="00DC45BE">
      <w:pPr>
        <w:widowControl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138552" wp14:editId="0C13DD9D">
                <wp:simplePos x="0" y="0"/>
                <wp:positionH relativeFrom="column">
                  <wp:posOffset>10534650</wp:posOffset>
                </wp:positionH>
                <wp:positionV relativeFrom="paragraph">
                  <wp:posOffset>3810</wp:posOffset>
                </wp:positionV>
                <wp:extent cx="628650" cy="1066800"/>
                <wp:effectExtent l="0" t="0" r="0" b="0"/>
                <wp:wrapNone/>
                <wp:docPr id="20430645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824C42" w14:textId="3BBAA9C0" w:rsidR="009220EA" w:rsidRPr="009220EA" w:rsidRDefault="009220EA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220EA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Page 2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385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29.5pt;margin-top:.3pt;width:49.5pt;height:8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" fillcolor="white [3201]" stroked="f" strokeweight=".5pt">
                <v:textbox style="layout-flow:vertical">
                  <w:txbxContent>
                    <w:p w14:paraId="75824C42" w14:textId="3BBAA9C0" w:rsidR="009220EA" w:rsidRPr="009220EA" w:rsidRDefault="009220EA">
                      <w:pP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9220EA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Page 2</w:t>
                      </w:r>
                    </w:p>
                  </w:txbxContent>
                </v:textbox>
              </v:shape>
            </w:pict>
          </mc:Fallback>
        </mc:AlternateContent>
      </w:r>
    </w:p>
    <w:p w14:paraId="76AEA13F" w14:textId="77777777" w:rsidR="00DC45BE" w:rsidRPr="000605F4" w:rsidRDefault="00DC45BE" w:rsidP="7FD6293D">
      <w:pPr>
        <w:pStyle w:val="ListParagraph"/>
        <w:widowControl/>
        <w:autoSpaceDE/>
        <w:autoSpaceDN/>
        <w:adjustRightInd/>
        <w:ind w:left="360"/>
        <w:rPr>
          <w:rFonts w:ascii="Times New Roman" w:hAnsi="Times New Roman"/>
          <w:b/>
          <w:bCs/>
          <w:sz w:val="22"/>
          <w:szCs w:val="22"/>
          <w:u w:val="single"/>
        </w:rPr>
        <w:sectPr w:rsidR="00DC45BE" w:rsidRPr="000605F4" w:rsidSect="00DC45BE">
          <w:headerReference w:type="first" r:id="rId13"/>
          <w:pgSz w:w="20160" w:h="12240" w:orient="landscape" w:code="5"/>
          <w:pgMar w:top="1440" w:right="1440" w:bottom="1440" w:left="1440" w:header="720" w:footer="720" w:gutter="0"/>
          <w:pgNumType w:fmt="numberInDash" w:start="1"/>
          <w:cols w:space="720"/>
          <w:noEndnote/>
          <w:titlePg/>
          <w:docGrid w:linePitch="326"/>
        </w:sectPr>
      </w:pPr>
    </w:p>
    <w:p w14:paraId="246CE89F" w14:textId="1C649AA4" w:rsidR="00DC45BE" w:rsidRPr="000605F4" w:rsidRDefault="00DC45BE" w:rsidP="00412122">
      <w:pPr>
        <w:pStyle w:val="ListParagraph"/>
        <w:ind w:hanging="720"/>
        <w:rPr>
          <w:rFonts w:ascii="Times New Roman" w:hAnsi="Times New Roman"/>
          <w:b/>
          <w:bCs/>
          <w:sz w:val="22"/>
          <w:szCs w:val="22"/>
          <w:u w:val="single"/>
        </w:rPr>
      </w:pPr>
      <w:r w:rsidRPr="000605F4">
        <w:rPr>
          <w:rFonts w:ascii="Times New Roman" w:hAnsi="Times New Roman"/>
          <w:b/>
          <w:bCs/>
          <w:sz w:val="22"/>
          <w:szCs w:val="22"/>
        </w:rPr>
        <w:lastRenderedPageBreak/>
        <w:t>III.</w:t>
      </w:r>
      <w:r w:rsidRPr="000605F4">
        <w:rPr>
          <w:rFonts w:ascii="Times New Roman" w:hAnsi="Times New Roman"/>
          <w:sz w:val="22"/>
          <w:szCs w:val="22"/>
        </w:rPr>
        <w:tab/>
      </w:r>
      <w:r w:rsidR="00412122" w:rsidRPr="000605F4">
        <w:rPr>
          <w:rFonts w:ascii="Times New Roman" w:hAnsi="Times New Roman"/>
          <w:b/>
          <w:bCs/>
          <w:sz w:val="22"/>
          <w:szCs w:val="22"/>
          <w:u w:val="single"/>
        </w:rPr>
        <w:t>CONSULTING SERVICES</w:t>
      </w:r>
    </w:p>
    <w:p w14:paraId="0124E39F" w14:textId="77777777" w:rsidR="00DC45BE" w:rsidRPr="000605F4" w:rsidRDefault="00DC45BE" w:rsidP="00DC45BE">
      <w:pPr>
        <w:pStyle w:val="ListParagraph"/>
        <w:ind w:left="360"/>
        <w:jc w:val="both"/>
        <w:rPr>
          <w:rFonts w:ascii="Times New Roman" w:hAnsi="Times New Roman"/>
          <w:b/>
          <w:bCs/>
          <w:sz w:val="22"/>
          <w:szCs w:val="22"/>
        </w:rPr>
      </w:pPr>
      <w:r w:rsidRPr="000605F4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7F3D05A7" w14:textId="77777777" w:rsidR="00DC45BE" w:rsidRPr="000605F4" w:rsidRDefault="00DC45BE" w:rsidP="00412122">
      <w:pPr>
        <w:pStyle w:val="ListParagraph"/>
        <w:widowControl/>
        <w:numPr>
          <w:ilvl w:val="0"/>
          <w:numId w:val="2"/>
        </w:numPr>
        <w:autoSpaceDE/>
        <w:autoSpaceDN/>
        <w:adjustRightInd/>
        <w:ind w:left="1440" w:hanging="720"/>
        <w:contextualSpacing w:val="0"/>
        <w:jc w:val="both"/>
        <w:rPr>
          <w:rFonts w:ascii="Times New Roman" w:hAnsi="Times New Roman"/>
          <w:b/>
          <w:bCs/>
          <w:i/>
          <w:iCs/>
          <w:color w:val="002060"/>
          <w:sz w:val="22"/>
          <w:szCs w:val="22"/>
        </w:rPr>
      </w:pPr>
      <w:r w:rsidRPr="000605F4">
        <w:rPr>
          <w:rFonts w:ascii="Times New Roman" w:hAnsi="Times New Roman"/>
          <w:b/>
          <w:bCs/>
          <w:sz w:val="22"/>
          <w:szCs w:val="22"/>
        </w:rPr>
        <w:t>Prior Review Threshold:</w:t>
      </w:r>
      <w:r w:rsidRPr="000605F4">
        <w:rPr>
          <w:rFonts w:ascii="Times New Roman" w:hAnsi="Times New Roman"/>
          <w:sz w:val="22"/>
          <w:szCs w:val="22"/>
        </w:rPr>
        <w:t xml:space="preserve"> Procurement decision subject to Prior Review by the Bank as stated in the Procurement Procedures: </w:t>
      </w:r>
    </w:p>
    <w:p w14:paraId="630ECF07" w14:textId="5A8D3767" w:rsidR="00DC45BE" w:rsidRPr="000605F4" w:rsidRDefault="00DC45BE" w:rsidP="00412122">
      <w:pPr>
        <w:pStyle w:val="ListParagraph"/>
        <w:widowControl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sz w:val="22"/>
          <w:szCs w:val="22"/>
        </w:rPr>
      </w:pPr>
    </w:p>
    <w:tbl>
      <w:tblPr>
        <w:tblW w:w="8540" w:type="dxa"/>
        <w:tblInd w:w="799" w:type="dxa"/>
        <w:tblLayout w:type="fixed"/>
        <w:tblLook w:val="01E0" w:firstRow="1" w:lastRow="1" w:firstColumn="1" w:lastColumn="1" w:noHBand="0" w:noVBand="0"/>
      </w:tblPr>
      <w:tblGrid>
        <w:gridCol w:w="764"/>
        <w:gridCol w:w="3621"/>
        <w:gridCol w:w="2268"/>
        <w:gridCol w:w="1887"/>
      </w:tblGrid>
      <w:tr w:rsidR="00DC45BE" w:rsidRPr="000605F4" w14:paraId="757321AF" w14:textId="77777777" w:rsidTr="00412122">
        <w:trPr>
          <w:trHeight w:val="300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9328F" w14:textId="77777777" w:rsidR="00DC45BE" w:rsidRPr="000605F4" w:rsidRDefault="00DC45BE" w:rsidP="009C70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605F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56AD2" w14:textId="77777777" w:rsidR="00DC45BE" w:rsidRPr="000605F4" w:rsidRDefault="00DC45BE" w:rsidP="009C70E5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Selection Method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5FD014" w14:textId="77777777" w:rsidR="00DC45BE" w:rsidRPr="000605F4" w:rsidRDefault="00DC45BE" w:rsidP="009C70E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Prior Review Threshold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E8EA5" w14:textId="77777777" w:rsidR="00DC45BE" w:rsidRPr="000605F4" w:rsidRDefault="00DC45BE" w:rsidP="009C70E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Comments</w:t>
            </w:r>
          </w:p>
        </w:tc>
      </w:tr>
      <w:tr w:rsidR="00DC45BE" w:rsidRPr="000605F4" w14:paraId="550CE9AB" w14:textId="77777777" w:rsidTr="00412122">
        <w:trPr>
          <w:trHeight w:val="300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E03D4B" w14:textId="77777777" w:rsidR="00DC45BE" w:rsidRPr="000605F4" w:rsidRDefault="00DC45BE" w:rsidP="009C70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605F4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C56DE" w14:textId="77777777" w:rsidR="00DC45BE" w:rsidRPr="000605F4" w:rsidRDefault="00DC45BE" w:rsidP="009C70E5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Firms: QCBS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D365A" w14:textId="77777777" w:rsidR="00DC45BE" w:rsidRPr="000605F4" w:rsidRDefault="00DC45BE" w:rsidP="009C70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605F4">
              <w:rPr>
                <w:rFonts w:ascii="Times New Roman" w:hAnsi="Times New Roman"/>
                <w:sz w:val="22"/>
                <w:szCs w:val="22"/>
              </w:rPr>
              <w:t xml:space="preserve"> All Contracts 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DADAE9" w14:textId="77777777" w:rsidR="00DC45BE" w:rsidRPr="000605F4" w:rsidRDefault="00DC45BE" w:rsidP="009C70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605F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C45BE" w:rsidRPr="000605F4" w14:paraId="23E55895" w14:textId="77777777" w:rsidTr="00412122">
        <w:trPr>
          <w:trHeight w:val="300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6D3AD5" w14:textId="77777777" w:rsidR="00DC45BE" w:rsidRPr="000605F4" w:rsidRDefault="00DC45BE" w:rsidP="009C70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605F4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6E4EE" w14:textId="77777777" w:rsidR="00DC45BE" w:rsidRPr="000605F4" w:rsidRDefault="00DC45BE" w:rsidP="009C70E5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Individual Consultant Selection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9597F" w14:textId="77777777" w:rsidR="00DC45BE" w:rsidRPr="000605F4" w:rsidRDefault="00DC45BE" w:rsidP="009C70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605F4">
              <w:rPr>
                <w:rFonts w:ascii="Times New Roman" w:hAnsi="Times New Roman"/>
                <w:sz w:val="22"/>
                <w:szCs w:val="22"/>
              </w:rPr>
              <w:t xml:space="preserve"> All Contracts 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2B5194" w14:textId="77777777" w:rsidR="00DC45BE" w:rsidRPr="000605F4" w:rsidRDefault="00DC45BE" w:rsidP="009C70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605F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30842059" w14:textId="77777777" w:rsidR="00DC45BE" w:rsidRPr="000605F4" w:rsidRDefault="00DC45BE" w:rsidP="00DC45BE">
      <w:pPr>
        <w:pStyle w:val="ListParagraph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7D9D677" w14:textId="77777777" w:rsidR="00DC45BE" w:rsidRPr="000605F4" w:rsidRDefault="00DC45BE" w:rsidP="00DC45BE">
      <w:pPr>
        <w:pStyle w:val="ListParagraph"/>
        <w:ind w:left="360"/>
        <w:rPr>
          <w:rFonts w:ascii="Times New Roman" w:hAnsi="Times New Roman"/>
          <w:sz w:val="22"/>
          <w:szCs w:val="22"/>
        </w:rPr>
      </w:pPr>
    </w:p>
    <w:p w14:paraId="5B056ECB" w14:textId="6007BBC7" w:rsidR="00DC45BE" w:rsidRPr="009A018E" w:rsidRDefault="00DC45BE" w:rsidP="4BFDD5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left="1440" w:hanging="720"/>
        <w:jc w:val="both"/>
        <w:rPr>
          <w:rFonts w:ascii="Times New Roman" w:hAnsi="Times New Roman"/>
          <w:sz w:val="22"/>
          <w:szCs w:val="22"/>
        </w:rPr>
      </w:pPr>
      <w:r w:rsidRPr="4BFDD587">
        <w:rPr>
          <w:rFonts w:ascii="Times New Roman" w:hAnsi="Times New Roman"/>
          <w:b/>
          <w:bCs/>
          <w:sz w:val="22"/>
          <w:szCs w:val="22"/>
        </w:rPr>
        <w:t>Reference to (if any) Project Operational/Procurement Manual</w:t>
      </w:r>
      <w:r w:rsidRPr="4BFDD587">
        <w:rPr>
          <w:rFonts w:ascii="Times New Roman" w:hAnsi="Times New Roman"/>
          <w:sz w:val="22"/>
          <w:szCs w:val="22"/>
        </w:rPr>
        <w:t xml:space="preserve">: </w:t>
      </w:r>
      <w:r w:rsidRPr="4BFDD587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9A018E">
        <w:rPr>
          <w:rFonts w:ascii="Times New Roman" w:hAnsi="Times New Roman"/>
          <w:sz w:val="22"/>
          <w:szCs w:val="22"/>
        </w:rPr>
        <w:t>Procurement Policy for Projects Financed by CDB (2019) the Procurement Procedures for Projects Financed by CDB (January, 2021)</w:t>
      </w:r>
    </w:p>
    <w:p w14:paraId="7A783A3C" w14:textId="77777777" w:rsidR="00DC45BE" w:rsidRPr="000605F4" w:rsidRDefault="00DC45BE" w:rsidP="00412122">
      <w:pPr>
        <w:pStyle w:val="ListParagraph"/>
        <w:ind w:left="1440" w:hanging="720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0881E4CF" w14:textId="77777777" w:rsidR="00412122" w:rsidRPr="009A018E" w:rsidRDefault="00DC45BE" w:rsidP="4BFDD587">
      <w:pPr>
        <w:pStyle w:val="ListParagraph"/>
        <w:widowControl/>
        <w:numPr>
          <w:ilvl w:val="0"/>
          <w:numId w:val="2"/>
        </w:numPr>
        <w:autoSpaceDE/>
        <w:autoSpaceDN/>
        <w:adjustRightInd/>
        <w:ind w:left="1440" w:hanging="720"/>
        <w:jc w:val="both"/>
        <w:rPr>
          <w:rFonts w:ascii="Times New Roman" w:hAnsi="Times New Roman"/>
          <w:color w:val="002060"/>
          <w:sz w:val="22"/>
          <w:szCs w:val="22"/>
        </w:rPr>
      </w:pPr>
      <w:r w:rsidRPr="4BFDD587">
        <w:rPr>
          <w:rFonts w:ascii="Times New Roman" w:hAnsi="Times New Roman"/>
          <w:sz w:val="22"/>
          <w:szCs w:val="22"/>
        </w:rPr>
        <w:t xml:space="preserve"> </w:t>
      </w:r>
      <w:r w:rsidRPr="4BFDD587">
        <w:rPr>
          <w:rFonts w:ascii="Times New Roman" w:hAnsi="Times New Roman"/>
          <w:b/>
          <w:bCs/>
          <w:sz w:val="22"/>
          <w:szCs w:val="22"/>
        </w:rPr>
        <w:t>Any Other Special Procurement Arrangements</w:t>
      </w:r>
      <w:r w:rsidRPr="4BFDD587">
        <w:rPr>
          <w:rFonts w:ascii="Times New Roman" w:hAnsi="Times New Roman"/>
          <w:sz w:val="22"/>
          <w:szCs w:val="22"/>
        </w:rPr>
        <w:t xml:space="preserve">: </w:t>
      </w:r>
      <w:r w:rsidRPr="009A018E">
        <w:rPr>
          <w:rFonts w:ascii="Times New Roman" w:hAnsi="Times New Roman"/>
          <w:color w:val="002060"/>
          <w:sz w:val="22"/>
          <w:szCs w:val="22"/>
        </w:rPr>
        <w:t>None</w:t>
      </w:r>
    </w:p>
    <w:p w14:paraId="7A339224" w14:textId="77777777" w:rsidR="00412122" w:rsidRPr="00412122" w:rsidRDefault="00412122" w:rsidP="00412122">
      <w:pPr>
        <w:pStyle w:val="ListParagraph"/>
        <w:rPr>
          <w:rFonts w:ascii="Times New Roman" w:hAnsi="Times New Roman"/>
          <w:b/>
          <w:bCs/>
          <w:i/>
          <w:iCs/>
          <w:color w:val="002060"/>
          <w:sz w:val="22"/>
          <w:szCs w:val="22"/>
        </w:rPr>
      </w:pPr>
    </w:p>
    <w:p w14:paraId="715EFD7D" w14:textId="0363034A" w:rsidR="00DC45BE" w:rsidRPr="000605F4" w:rsidRDefault="00DC45BE" w:rsidP="00412122">
      <w:pPr>
        <w:pStyle w:val="ListParagraph"/>
        <w:widowControl/>
        <w:autoSpaceDE/>
        <w:autoSpaceDN/>
        <w:adjustRightInd/>
        <w:ind w:left="1440"/>
        <w:contextualSpacing w:val="0"/>
        <w:jc w:val="both"/>
        <w:rPr>
          <w:rFonts w:ascii="Times New Roman" w:hAnsi="Times New Roman"/>
          <w:b/>
          <w:bCs/>
          <w:i/>
          <w:iCs/>
          <w:color w:val="002060"/>
          <w:sz w:val="22"/>
          <w:szCs w:val="22"/>
        </w:rPr>
      </w:pPr>
      <w:r w:rsidRPr="000605F4">
        <w:rPr>
          <w:rFonts w:ascii="Times New Roman" w:hAnsi="Times New Roman"/>
          <w:b/>
          <w:bCs/>
          <w:i/>
          <w:iCs/>
          <w:color w:val="002060"/>
          <w:sz w:val="22"/>
          <w:szCs w:val="22"/>
        </w:rPr>
        <w:t xml:space="preserve"> </w:t>
      </w:r>
    </w:p>
    <w:p w14:paraId="642FA19D" w14:textId="77777777" w:rsidR="00DC45BE" w:rsidRPr="000605F4" w:rsidRDefault="00DC45BE" w:rsidP="7FD6293D">
      <w:pPr>
        <w:pStyle w:val="ListParagraph"/>
        <w:widowControl/>
        <w:autoSpaceDE/>
        <w:autoSpaceDN/>
        <w:adjustRightInd/>
        <w:ind w:left="360"/>
        <w:jc w:val="both"/>
        <w:rPr>
          <w:rFonts w:ascii="Times New Roman" w:hAnsi="Times New Roman"/>
          <w:sz w:val="22"/>
          <w:szCs w:val="22"/>
        </w:rPr>
        <w:sectPr w:rsidR="00DC45BE" w:rsidRPr="000605F4" w:rsidSect="009220EA">
          <w:headerReference w:type="first" r:id="rId14"/>
          <w:pgSz w:w="12240" w:h="20160" w:code="5"/>
          <w:pgMar w:top="1440" w:right="1440" w:bottom="1440" w:left="1440" w:header="720" w:footer="720" w:gutter="0"/>
          <w:pgNumType w:start="3"/>
          <w:cols w:space="720"/>
          <w:noEndnote/>
          <w:titlePg/>
          <w:docGrid w:linePitch="326"/>
        </w:sectPr>
      </w:pPr>
    </w:p>
    <w:p w14:paraId="1257F1F5" w14:textId="77777777" w:rsidR="00DC45BE" w:rsidRPr="000605F4" w:rsidRDefault="00DC45BE" w:rsidP="7FD6293D">
      <w:pPr>
        <w:pStyle w:val="ListParagraph"/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7FD6293D">
        <w:rPr>
          <w:rFonts w:ascii="Times New Roman" w:hAnsi="Times New Roman"/>
          <w:sz w:val="22"/>
          <w:szCs w:val="22"/>
        </w:rPr>
        <w:lastRenderedPageBreak/>
        <w:t xml:space="preserve"> </w:t>
      </w:r>
      <w:r w:rsidRPr="7FD6293D">
        <w:rPr>
          <w:rFonts w:ascii="Times New Roman" w:hAnsi="Times New Roman"/>
          <w:b/>
          <w:bCs/>
          <w:sz w:val="22"/>
          <w:szCs w:val="22"/>
          <w:u w:val="single"/>
        </w:rPr>
        <w:t>Procurement Packages with Selection Methods and Time Schedule for Consulting Services</w:t>
      </w:r>
    </w:p>
    <w:p w14:paraId="52EA0963" w14:textId="77777777" w:rsidR="00DC45BE" w:rsidRPr="000605F4" w:rsidRDefault="00DC45BE" w:rsidP="00DC45BE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15930" w:type="dxa"/>
        <w:tblLayout w:type="fixed"/>
        <w:tblLook w:val="04A0" w:firstRow="1" w:lastRow="0" w:firstColumn="1" w:lastColumn="0" w:noHBand="0" w:noVBand="1"/>
      </w:tblPr>
      <w:tblGrid>
        <w:gridCol w:w="1705"/>
        <w:gridCol w:w="3240"/>
        <w:gridCol w:w="1170"/>
        <w:gridCol w:w="2250"/>
        <w:gridCol w:w="2070"/>
        <w:gridCol w:w="5495"/>
      </w:tblGrid>
      <w:tr w:rsidR="007A2DDD" w:rsidRPr="000605F4" w14:paraId="297CBA76" w14:textId="77777777" w:rsidTr="007A2DDD">
        <w:trPr>
          <w:cantSplit/>
          <w:trHeight w:val="647"/>
        </w:trPr>
        <w:tc>
          <w:tcPr>
            <w:tcW w:w="1705" w:type="dxa"/>
          </w:tcPr>
          <w:p w14:paraId="7776FC72" w14:textId="77777777" w:rsidR="007A2DDD" w:rsidRPr="000605F4" w:rsidRDefault="007A2DDD" w:rsidP="009C70E5">
            <w:pPr>
              <w:pStyle w:val="ListParagraph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Ref No.</w:t>
            </w:r>
          </w:p>
        </w:tc>
        <w:tc>
          <w:tcPr>
            <w:tcW w:w="3240" w:type="dxa"/>
          </w:tcPr>
          <w:p w14:paraId="2ABF8751" w14:textId="77777777" w:rsidR="007A2DDD" w:rsidRPr="000605F4" w:rsidRDefault="007A2DDD" w:rsidP="009C70E5">
            <w:pPr>
              <w:pStyle w:val="ListParagraph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Assignment (Description)</w:t>
            </w:r>
          </w:p>
        </w:tc>
        <w:tc>
          <w:tcPr>
            <w:tcW w:w="1170" w:type="dxa"/>
          </w:tcPr>
          <w:p w14:paraId="58F2E84E" w14:textId="77777777" w:rsidR="007A2DDD" w:rsidRPr="000605F4" w:rsidRDefault="007A2DDD" w:rsidP="009C70E5">
            <w:pPr>
              <w:pStyle w:val="ListParagraph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Selection Method</w:t>
            </w:r>
          </w:p>
        </w:tc>
        <w:tc>
          <w:tcPr>
            <w:tcW w:w="2250" w:type="dxa"/>
          </w:tcPr>
          <w:p w14:paraId="79C6DC83" w14:textId="77777777" w:rsidR="007A2DDD" w:rsidRPr="000605F4" w:rsidRDefault="007A2DDD" w:rsidP="009C70E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Review Bank (Prior/Post)</w:t>
            </w:r>
          </w:p>
        </w:tc>
        <w:tc>
          <w:tcPr>
            <w:tcW w:w="2070" w:type="dxa"/>
          </w:tcPr>
          <w:p w14:paraId="5D06882C" w14:textId="77777777" w:rsidR="007A2DDD" w:rsidRPr="000605F4" w:rsidRDefault="007A2DDD" w:rsidP="009C70E5">
            <w:pPr>
              <w:pStyle w:val="ListParagraph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Expected Proposal Submission Date</w:t>
            </w:r>
          </w:p>
        </w:tc>
        <w:tc>
          <w:tcPr>
            <w:tcW w:w="5495" w:type="dxa"/>
          </w:tcPr>
          <w:p w14:paraId="5EA2E01E" w14:textId="77777777" w:rsidR="007A2DDD" w:rsidRPr="000605F4" w:rsidRDefault="007A2DDD" w:rsidP="009C70E5">
            <w:pPr>
              <w:pStyle w:val="ListParagraph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/>
                <w:bCs/>
                <w:sz w:val="22"/>
                <w:szCs w:val="22"/>
              </w:rPr>
              <w:t>Comment</w:t>
            </w:r>
          </w:p>
        </w:tc>
      </w:tr>
      <w:tr w:rsidR="007A2DDD" w:rsidRPr="000605F4" w14:paraId="6B677B09" w14:textId="77777777" w:rsidTr="007A2DDD">
        <w:trPr>
          <w:cantSplit/>
          <w:trHeight w:val="944"/>
        </w:trPr>
        <w:tc>
          <w:tcPr>
            <w:tcW w:w="1705" w:type="dxa"/>
            <w:tcBorders>
              <w:bottom w:val="single" w:sz="4" w:space="0" w:color="auto"/>
            </w:tcBorders>
          </w:tcPr>
          <w:p w14:paraId="310A195C" w14:textId="77777777" w:rsidR="007A2DDD" w:rsidRPr="000605F4" w:rsidRDefault="007A2DDD" w:rsidP="00DC45B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429"/>
              <w:contextualSpacing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B7BA5C0" w14:textId="77777777" w:rsidR="007A2DDD" w:rsidRPr="000605F4" w:rsidRDefault="007A2DDD" w:rsidP="009C70E5">
            <w:pPr>
              <w:pStyle w:val="ListParagraph"/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color w:val="000000"/>
                <w:sz w:val="22"/>
                <w:szCs w:val="22"/>
              </w:rPr>
              <w:t>Upgrade of the Hydrometeorological Network and Support to Implement IWRM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40E858F" w14:textId="77777777" w:rsidR="007A2DDD" w:rsidRPr="000605F4" w:rsidRDefault="007A2DDD" w:rsidP="00831F5A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Cs/>
                <w:sz w:val="22"/>
                <w:szCs w:val="22"/>
              </w:rPr>
              <w:t>QCBS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C26AAB2" w14:textId="77777777" w:rsidR="007A2DDD" w:rsidRPr="000605F4" w:rsidRDefault="007A2DDD" w:rsidP="00831F5A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Cs/>
                <w:sz w:val="22"/>
                <w:szCs w:val="22"/>
              </w:rPr>
              <w:t>Prior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BC03EF0" w14:textId="77777777" w:rsidR="007A2DDD" w:rsidRDefault="007A2DDD" w:rsidP="00831F5A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April 2026</w:t>
            </w:r>
          </w:p>
          <w:p w14:paraId="226F5BB0" w14:textId="74B63FFE" w:rsidR="007A2DDD" w:rsidRPr="000605F4" w:rsidRDefault="007A2DDD" w:rsidP="00831F5A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14:paraId="251D2D81" w14:textId="77777777" w:rsidR="007A2DDD" w:rsidRPr="000605F4" w:rsidRDefault="007A2DDD" w:rsidP="009C70E5">
            <w:pPr>
              <w:pStyle w:val="ListParagraph"/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A2DDD" w:rsidRPr="000605F4" w14:paraId="7C624BDA" w14:textId="77777777" w:rsidTr="007A2DDD">
        <w:trPr>
          <w:cantSplit/>
          <w:trHeight w:val="449"/>
        </w:trPr>
        <w:tc>
          <w:tcPr>
            <w:tcW w:w="1705" w:type="dxa"/>
            <w:tcBorders>
              <w:bottom w:val="single" w:sz="4" w:space="0" w:color="auto"/>
            </w:tcBorders>
          </w:tcPr>
          <w:p w14:paraId="7BE80BEA" w14:textId="77777777" w:rsidR="007A2DDD" w:rsidRPr="000605F4" w:rsidRDefault="007A2DDD" w:rsidP="00DC45B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64" w:firstLine="0"/>
              <w:contextualSpacing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01E15C2" w14:textId="77777777" w:rsidR="007A2DDD" w:rsidRPr="000605F4" w:rsidRDefault="007A2DDD" w:rsidP="009C70E5">
            <w:pPr>
              <w:pStyle w:val="ListParagraph"/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color w:val="000000"/>
                <w:sz w:val="22"/>
                <w:szCs w:val="22"/>
              </w:rPr>
              <w:t>Project Coordinator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60EA10E" w14:textId="77777777" w:rsidR="007A2DDD" w:rsidRPr="000605F4" w:rsidRDefault="007A2DDD" w:rsidP="00831F5A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Cs/>
                <w:sz w:val="22"/>
                <w:szCs w:val="22"/>
              </w:rPr>
              <w:t>ICS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A45558C" w14:textId="77777777" w:rsidR="007A2DDD" w:rsidRPr="000605F4" w:rsidRDefault="007A2DDD" w:rsidP="00831F5A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Cs/>
                <w:sz w:val="22"/>
                <w:szCs w:val="22"/>
              </w:rPr>
              <w:t>Prior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0EFD64C" w14:textId="3B95DFFE" w:rsidR="007A2DDD" w:rsidRPr="000605F4" w:rsidRDefault="007A2DDD" w:rsidP="00831F5A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December 2025</w:t>
            </w: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14:paraId="0BFCCD72" w14:textId="77777777" w:rsidR="007A2DDD" w:rsidRPr="000605F4" w:rsidRDefault="007A2DDD" w:rsidP="009C70E5">
            <w:pPr>
              <w:pStyle w:val="ListParagraph"/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A2DDD" w:rsidRPr="000605F4" w14:paraId="43BCF698" w14:textId="77777777" w:rsidTr="007A2DDD">
        <w:trPr>
          <w:cantSplit/>
          <w:trHeight w:val="440"/>
        </w:trPr>
        <w:tc>
          <w:tcPr>
            <w:tcW w:w="1705" w:type="dxa"/>
            <w:tcBorders>
              <w:bottom w:val="single" w:sz="4" w:space="0" w:color="auto"/>
            </w:tcBorders>
          </w:tcPr>
          <w:p w14:paraId="6204F3CD" w14:textId="77777777" w:rsidR="007A2DDD" w:rsidRPr="000605F4" w:rsidRDefault="007A2DDD" w:rsidP="00DC45B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64" w:firstLine="0"/>
              <w:contextualSpacing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309DC9B" w14:textId="77777777" w:rsidR="007A2DDD" w:rsidRPr="000605F4" w:rsidRDefault="007A2DDD" w:rsidP="009C70E5">
            <w:pPr>
              <w:pStyle w:val="ListParagraph"/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color w:val="000000"/>
                <w:sz w:val="22"/>
                <w:szCs w:val="22"/>
              </w:rPr>
              <w:t>Procurement Specialist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4CA7007" w14:textId="77777777" w:rsidR="007A2DDD" w:rsidRPr="000605F4" w:rsidRDefault="007A2DDD" w:rsidP="00831F5A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Cs/>
                <w:sz w:val="22"/>
                <w:szCs w:val="22"/>
              </w:rPr>
              <w:t>ICS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53882D4" w14:textId="77777777" w:rsidR="007A2DDD" w:rsidRPr="000605F4" w:rsidRDefault="007A2DDD" w:rsidP="00831F5A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Cs/>
                <w:sz w:val="22"/>
                <w:szCs w:val="22"/>
              </w:rPr>
              <w:t>Prior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3FFC107" w14:textId="5A940626" w:rsidR="007A2DDD" w:rsidRPr="000605F4" w:rsidRDefault="007A2DDD" w:rsidP="00831F5A">
            <w:pPr>
              <w:pStyle w:val="ListParagraph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January 2026</w:t>
            </w: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14:paraId="159D045C" w14:textId="77777777" w:rsidR="007A2DDD" w:rsidRPr="000605F4" w:rsidRDefault="007A2DDD" w:rsidP="009C70E5">
            <w:pPr>
              <w:pStyle w:val="ListParagraph"/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A2DDD" w:rsidRPr="000605F4" w14:paraId="48AD6D94" w14:textId="77777777" w:rsidTr="007A2DDD">
        <w:trPr>
          <w:cantSplit/>
          <w:trHeight w:val="710"/>
        </w:trPr>
        <w:tc>
          <w:tcPr>
            <w:tcW w:w="1705" w:type="dxa"/>
            <w:tcBorders>
              <w:bottom w:val="single" w:sz="4" w:space="0" w:color="auto"/>
            </w:tcBorders>
          </w:tcPr>
          <w:p w14:paraId="434CEF66" w14:textId="77777777" w:rsidR="007A2DDD" w:rsidRPr="000605F4" w:rsidRDefault="007A2DDD" w:rsidP="00DC45B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64" w:firstLine="0"/>
              <w:contextualSpacing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988EF26" w14:textId="77777777" w:rsidR="007A2DDD" w:rsidRPr="000605F4" w:rsidRDefault="007A2DDD" w:rsidP="009C70E5">
            <w:pPr>
              <w:pStyle w:val="ListParagraph"/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color w:val="000000"/>
                <w:sz w:val="22"/>
                <w:szCs w:val="22"/>
              </w:rPr>
              <w:t>Communications and Stakeholder Engagement Specialist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A017485" w14:textId="77777777" w:rsidR="007A2DDD" w:rsidRPr="000605F4" w:rsidRDefault="007A2DDD" w:rsidP="00831F5A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Cs/>
                <w:sz w:val="22"/>
                <w:szCs w:val="22"/>
              </w:rPr>
              <w:t>ICS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4DFBED2" w14:textId="77777777" w:rsidR="007A2DDD" w:rsidRPr="000605F4" w:rsidRDefault="007A2DDD" w:rsidP="00831F5A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5F4">
              <w:rPr>
                <w:rFonts w:ascii="Times New Roman" w:hAnsi="Times New Roman"/>
                <w:bCs/>
                <w:sz w:val="22"/>
                <w:szCs w:val="22"/>
              </w:rPr>
              <w:t>Prior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6A87A72" w14:textId="51E8DD13" w:rsidR="007A2DDD" w:rsidRPr="000605F4" w:rsidRDefault="007A2DDD" w:rsidP="00831F5A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February 2026</w:t>
            </w: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14:paraId="486E4081" w14:textId="77777777" w:rsidR="007A2DDD" w:rsidRPr="000605F4" w:rsidRDefault="007A2DDD" w:rsidP="009C70E5">
            <w:pPr>
              <w:pStyle w:val="ListParagraph"/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4051A301" w14:textId="77777777" w:rsidR="00DC45BE" w:rsidRDefault="00DC45BE" w:rsidP="00DC45BE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b/>
          <w:sz w:val="22"/>
          <w:szCs w:val="22"/>
        </w:rPr>
      </w:pPr>
    </w:p>
    <w:p w14:paraId="2BB67F83" w14:textId="77777777" w:rsidR="00137CC0" w:rsidRPr="000605F4" w:rsidRDefault="00137CC0" w:rsidP="00137CC0">
      <w:pPr>
        <w:pStyle w:val="ListParagraph"/>
        <w:widowControl/>
        <w:numPr>
          <w:ilvl w:val="0"/>
          <w:numId w:val="2"/>
        </w:numPr>
        <w:autoSpaceDE/>
        <w:autoSpaceDN/>
        <w:adjustRightInd/>
        <w:contextualSpacing w:val="0"/>
        <w:jc w:val="both"/>
        <w:rPr>
          <w:rFonts w:ascii="Times New Roman" w:hAnsi="Times New Roman"/>
          <w:b/>
          <w:sz w:val="22"/>
          <w:szCs w:val="22"/>
        </w:rPr>
      </w:pPr>
      <w:r w:rsidRPr="000605F4">
        <w:rPr>
          <w:rFonts w:ascii="Times New Roman" w:hAnsi="Times New Roman"/>
          <w:b/>
          <w:bCs/>
          <w:sz w:val="22"/>
          <w:szCs w:val="22"/>
          <w:u w:val="single"/>
        </w:rPr>
        <w:t>Implementing Agency Procurement Capacity Building Activities with Time Schedule</w:t>
      </w:r>
    </w:p>
    <w:p w14:paraId="1068EA84" w14:textId="77777777" w:rsidR="007D65BD" w:rsidRDefault="007D65BD" w:rsidP="00DC45BE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b/>
          <w:sz w:val="22"/>
          <w:szCs w:val="22"/>
        </w:rPr>
      </w:pPr>
    </w:p>
    <w:tbl>
      <w:tblPr>
        <w:tblW w:w="173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6215"/>
        <w:gridCol w:w="3150"/>
        <w:gridCol w:w="1620"/>
        <w:gridCol w:w="1890"/>
        <w:gridCol w:w="3960"/>
      </w:tblGrid>
      <w:tr w:rsidR="00137CC0" w:rsidRPr="000605F4" w14:paraId="166973F8" w14:textId="77777777" w:rsidTr="2A292F59">
        <w:trPr>
          <w:trHeight w:val="30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592BB3" w14:textId="77777777" w:rsidR="00137CC0" w:rsidRPr="000605F4" w:rsidRDefault="00137CC0" w:rsidP="009C70E5">
            <w:pPr>
              <w:pStyle w:val="NormalWeb"/>
              <w:spacing w:line="360" w:lineRule="auto"/>
              <w:rPr>
                <w:color w:val="000000"/>
                <w:sz w:val="22"/>
                <w:szCs w:val="22"/>
              </w:rPr>
            </w:pPr>
            <w:r w:rsidRPr="000605F4">
              <w:rPr>
                <w:b/>
                <w:bCs/>
                <w:color w:val="000000"/>
                <w:sz w:val="22"/>
                <w:szCs w:val="22"/>
              </w:rPr>
              <w:t>No. </w:t>
            </w:r>
            <w:r w:rsidRPr="000605F4">
              <w:rPr>
                <w:color w:val="000000"/>
                <w:sz w:val="22"/>
                <w:szCs w:val="22"/>
              </w:rPr>
              <w:t>   </w:t>
            </w:r>
          </w:p>
        </w:tc>
        <w:tc>
          <w:tcPr>
            <w:tcW w:w="6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EE46C6" w14:textId="77777777" w:rsidR="00137CC0" w:rsidRPr="000605F4" w:rsidRDefault="00137CC0" w:rsidP="009C70E5">
            <w:pPr>
              <w:pStyle w:val="NormalWeb"/>
              <w:spacing w:line="360" w:lineRule="auto"/>
              <w:ind w:left="96"/>
              <w:rPr>
                <w:color w:val="000000"/>
                <w:sz w:val="22"/>
                <w:szCs w:val="22"/>
              </w:rPr>
            </w:pPr>
            <w:r w:rsidRPr="000605F4">
              <w:rPr>
                <w:b/>
                <w:bCs/>
                <w:color w:val="000000"/>
                <w:sz w:val="22"/>
                <w:szCs w:val="22"/>
              </w:rPr>
              <w:t>Expected Outcome/ Activity Description</w:t>
            </w:r>
            <w:r w:rsidRPr="000605F4">
              <w:rPr>
                <w:color w:val="000000"/>
                <w:sz w:val="22"/>
                <w:szCs w:val="22"/>
              </w:rPr>
              <w:t>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91DDE1E" w14:textId="77777777" w:rsidR="00137CC0" w:rsidRPr="000605F4" w:rsidRDefault="00137CC0" w:rsidP="009C70E5">
            <w:pPr>
              <w:pStyle w:val="NormalWeb"/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0605F4">
              <w:rPr>
                <w:b/>
                <w:bCs/>
                <w:color w:val="000000"/>
                <w:sz w:val="22"/>
                <w:szCs w:val="22"/>
              </w:rPr>
              <w:t>Estimated Cost, USD</w:t>
            </w:r>
            <w:r w:rsidRPr="000605F4">
              <w:rPr>
                <w:color w:val="000000"/>
                <w:sz w:val="22"/>
                <w:szCs w:val="22"/>
              </w:rPr>
              <w:t>  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9DEE39C" w14:textId="77777777" w:rsidR="00137CC0" w:rsidRPr="000605F4" w:rsidRDefault="00137CC0" w:rsidP="009C70E5">
            <w:pPr>
              <w:pStyle w:val="NormalWeb"/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0605F4">
              <w:rPr>
                <w:b/>
                <w:bCs/>
                <w:color w:val="000000"/>
                <w:sz w:val="22"/>
                <w:szCs w:val="22"/>
              </w:rPr>
              <w:t>Estimated Duration (days)</w:t>
            </w:r>
            <w:r w:rsidRPr="000605F4">
              <w:rPr>
                <w:color w:val="000000"/>
                <w:sz w:val="22"/>
                <w:szCs w:val="22"/>
              </w:rPr>
              <w:t xml:space="preserve"> 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6CED925" w14:textId="77777777" w:rsidR="00137CC0" w:rsidRPr="000605F4" w:rsidRDefault="00137CC0" w:rsidP="009C70E5">
            <w:pPr>
              <w:pStyle w:val="NormalWeb"/>
              <w:spacing w:line="360" w:lineRule="auto"/>
              <w:rPr>
                <w:color w:val="000000"/>
                <w:sz w:val="22"/>
                <w:szCs w:val="22"/>
              </w:rPr>
            </w:pPr>
            <w:r w:rsidRPr="000605F4">
              <w:rPr>
                <w:b/>
                <w:bCs/>
                <w:color w:val="000000"/>
                <w:sz w:val="22"/>
                <w:szCs w:val="22"/>
              </w:rPr>
              <w:t>Start Date</w:t>
            </w:r>
            <w:r w:rsidRPr="000605F4">
              <w:rPr>
                <w:color w:val="000000"/>
                <w:sz w:val="22"/>
                <w:szCs w:val="22"/>
              </w:rPr>
              <w:t>  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6D5BD8" w14:textId="77777777" w:rsidR="00137CC0" w:rsidRPr="000605F4" w:rsidRDefault="00137CC0" w:rsidP="009C70E5">
            <w:pPr>
              <w:pStyle w:val="NormalWeb"/>
              <w:spacing w:line="360" w:lineRule="auto"/>
              <w:rPr>
                <w:color w:val="000000"/>
                <w:sz w:val="22"/>
                <w:szCs w:val="22"/>
              </w:rPr>
            </w:pPr>
            <w:r w:rsidRPr="000605F4">
              <w:rPr>
                <w:b/>
                <w:bCs/>
                <w:color w:val="000000"/>
                <w:sz w:val="22"/>
                <w:szCs w:val="22"/>
              </w:rPr>
              <w:t>Comments</w:t>
            </w:r>
            <w:r w:rsidRPr="000605F4">
              <w:rPr>
                <w:color w:val="000000"/>
                <w:sz w:val="22"/>
                <w:szCs w:val="22"/>
              </w:rPr>
              <w:t>   </w:t>
            </w:r>
          </w:p>
        </w:tc>
      </w:tr>
      <w:tr w:rsidR="00137CC0" w:rsidRPr="000605F4" w14:paraId="37A7BE36" w14:textId="77777777" w:rsidTr="2A292F59">
        <w:trPr>
          <w:trHeight w:val="30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2A65E" w14:textId="77777777" w:rsidR="00137CC0" w:rsidRPr="000605F4" w:rsidRDefault="00137CC0" w:rsidP="009C70E5">
            <w:pPr>
              <w:pStyle w:val="NormalWeb"/>
              <w:spacing w:line="360" w:lineRule="auto"/>
              <w:rPr>
                <w:color w:val="000000"/>
                <w:sz w:val="22"/>
                <w:szCs w:val="22"/>
              </w:rPr>
            </w:pPr>
            <w:r w:rsidRPr="000605F4">
              <w:rPr>
                <w:color w:val="000000"/>
                <w:sz w:val="22"/>
                <w:szCs w:val="22"/>
              </w:rPr>
              <w:t>1.   </w:t>
            </w:r>
          </w:p>
        </w:tc>
        <w:tc>
          <w:tcPr>
            <w:tcW w:w="6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6A4E4" w14:textId="77777777" w:rsidR="00137CC0" w:rsidRDefault="00137CC0" w:rsidP="009220EA">
            <w:pPr>
              <w:pStyle w:val="NormalWeb"/>
              <w:spacing w:before="0" w:beforeAutospacing="0" w:after="0" w:afterAutospacing="0"/>
              <w:ind w:left="96" w:right="60"/>
              <w:jc w:val="both"/>
              <w:rPr>
                <w:color w:val="000000" w:themeColor="text1"/>
                <w:sz w:val="22"/>
                <w:szCs w:val="22"/>
              </w:rPr>
            </w:pPr>
            <w:r w:rsidRPr="000605F4">
              <w:rPr>
                <w:color w:val="000000" w:themeColor="text1"/>
                <w:sz w:val="22"/>
                <w:szCs w:val="22"/>
              </w:rPr>
              <w:t>Virtual project kick-off meeting inclusive of CDB and Implementing Agency to increase the capacity of Implementing Agency to follow CDB’s procurement procedures     </w:t>
            </w:r>
          </w:p>
          <w:p w14:paraId="2305439C" w14:textId="77777777" w:rsidR="00AF41D3" w:rsidRPr="000605F4" w:rsidRDefault="00AF41D3" w:rsidP="009220EA">
            <w:pPr>
              <w:pStyle w:val="NormalWeb"/>
              <w:spacing w:before="0" w:beforeAutospacing="0" w:after="0" w:afterAutospacing="0"/>
              <w:ind w:left="96" w:right="6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F7AE3" w14:textId="77777777" w:rsidR="00137CC0" w:rsidRPr="000605F4" w:rsidRDefault="00137CC0" w:rsidP="009C70E5">
            <w:pPr>
              <w:pStyle w:val="NormalWeb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605F4">
              <w:rPr>
                <w:color w:val="000000"/>
                <w:sz w:val="22"/>
                <w:szCs w:val="22"/>
              </w:rPr>
              <w:t>Not applicable  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A0752" w14:textId="77777777" w:rsidR="00137CC0" w:rsidRPr="000605F4" w:rsidRDefault="00137CC0" w:rsidP="009C70E5">
            <w:pPr>
              <w:pStyle w:val="NormalWeb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605F4">
              <w:rPr>
                <w:color w:val="000000"/>
                <w:sz w:val="22"/>
                <w:szCs w:val="22"/>
              </w:rPr>
              <w:t>1 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798C1" w14:textId="0C7ADCF1" w:rsidR="00137CC0" w:rsidRPr="000605F4" w:rsidRDefault="00137CC0" w:rsidP="009C70E5">
            <w:pPr>
              <w:pStyle w:val="NormalWeb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7FD6293D">
              <w:rPr>
                <w:color w:val="000000" w:themeColor="text1"/>
                <w:sz w:val="22"/>
                <w:szCs w:val="22"/>
              </w:rPr>
              <w:t>Q1 202</w:t>
            </w:r>
            <w:r w:rsidR="2AA35A8D" w:rsidRPr="7FD6293D">
              <w:rPr>
                <w:color w:val="000000" w:themeColor="text1"/>
                <w:sz w:val="22"/>
                <w:szCs w:val="22"/>
              </w:rPr>
              <w:t>6</w:t>
            </w:r>
            <w:r w:rsidRPr="7FD6293D">
              <w:rPr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BCDED" w14:textId="77777777" w:rsidR="00137CC0" w:rsidRPr="000605F4" w:rsidRDefault="00137CC0" w:rsidP="009C70E5">
            <w:pPr>
              <w:pStyle w:val="NormalWeb"/>
              <w:spacing w:line="360" w:lineRule="auto"/>
              <w:rPr>
                <w:color w:val="000000"/>
                <w:sz w:val="22"/>
                <w:szCs w:val="22"/>
              </w:rPr>
            </w:pPr>
            <w:r w:rsidRPr="000605F4">
              <w:rPr>
                <w:color w:val="000000"/>
                <w:sz w:val="22"/>
                <w:szCs w:val="22"/>
              </w:rPr>
              <w:t>   </w:t>
            </w:r>
          </w:p>
        </w:tc>
      </w:tr>
      <w:tr w:rsidR="00137CC0" w:rsidRPr="000605F4" w14:paraId="5BD3F678" w14:textId="77777777" w:rsidTr="2A292F59">
        <w:trPr>
          <w:trHeight w:val="300"/>
        </w:trPr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938F18A" w14:textId="77777777" w:rsidR="00137CC0" w:rsidRPr="000605F4" w:rsidRDefault="00137CC0" w:rsidP="009C70E5">
            <w:pPr>
              <w:pStyle w:val="NormalWeb"/>
              <w:spacing w:line="360" w:lineRule="auto"/>
              <w:rPr>
                <w:color w:val="000000"/>
                <w:sz w:val="22"/>
                <w:szCs w:val="22"/>
              </w:rPr>
            </w:pPr>
            <w:r w:rsidRPr="000605F4">
              <w:rPr>
                <w:color w:val="000000"/>
                <w:sz w:val="22"/>
                <w:szCs w:val="22"/>
              </w:rPr>
              <w:t>2   </w:t>
            </w:r>
          </w:p>
        </w:tc>
        <w:tc>
          <w:tcPr>
            <w:tcW w:w="6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896FF64" w14:textId="77777777" w:rsidR="00137CC0" w:rsidRPr="000605F4" w:rsidRDefault="00137CC0" w:rsidP="009220EA">
            <w:pPr>
              <w:pStyle w:val="NormalWeb"/>
              <w:spacing w:before="0" w:beforeAutospacing="0" w:after="0" w:afterAutospacing="0"/>
              <w:ind w:left="180" w:right="140"/>
              <w:jc w:val="both"/>
              <w:rPr>
                <w:color w:val="000000"/>
                <w:sz w:val="22"/>
                <w:szCs w:val="22"/>
              </w:rPr>
            </w:pPr>
            <w:r w:rsidRPr="000605F4">
              <w:rPr>
                <w:color w:val="000000"/>
                <w:sz w:val="22"/>
                <w:szCs w:val="22"/>
              </w:rPr>
              <w:t>Increased capacity of Executing Agency to undertake procurement in accordance with CDB’s Procurement Procedures through CDB’s Online Procurement Training.   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3D08B60" w14:textId="77777777" w:rsidR="00137CC0" w:rsidRPr="000605F4" w:rsidRDefault="00137CC0" w:rsidP="009C70E5">
            <w:pPr>
              <w:pStyle w:val="NormalWeb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605F4">
              <w:rPr>
                <w:color w:val="000000"/>
                <w:sz w:val="22"/>
                <w:szCs w:val="22"/>
              </w:rPr>
              <w:t>Not applicable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7FB8DD" w14:textId="77777777" w:rsidR="00137CC0" w:rsidRPr="000605F4" w:rsidRDefault="00137CC0" w:rsidP="009C70E5">
            <w:pPr>
              <w:pStyle w:val="NormalWeb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0605F4">
              <w:rPr>
                <w:color w:val="000000"/>
                <w:sz w:val="22"/>
                <w:szCs w:val="22"/>
              </w:rPr>
              <w:t>5 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8E3F211" w14:textId="7F1F5102" w:rsidR="00137CC0" w:rsidRPr="000605F4" w:rsidRDefault="00137CC0" w:rsidP="009C70E5">
            <w:pPr>
              <w:pStyle w:val="NormalWeb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7FD6293D">
              <w:rPr>
                <w:color w:val="000000" w:themeColor="text1"/>
                <w:sz w:val="22"/>
                <w:szCs w:val="22"/>
              </w:rPr>
              <w:t>Q1 202</w:t>
            </w:r>
            <w:r w:rsidR="421AD1C8" w:rsidRPr="7FD6293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BCA52B6" w14:textId="7FE916EE" w:rsidR="00137CC0" w:rsidRPr="000605F4" w:rsidRDefault="00137CC0" w:rsidP="7FD6293D">
            <w:pPr>
              <w:pStyle w:val="NormalWeb"/>
              <w:spacing w:before="0" w:beforeAutospacing="0" w:after="0" w:afterAutospacing="0"/>
              <w:ind w:left="115" w:right="101"/>
              <w:jc w:val="both"/>
              <w:rPr>
                <w:color w:val="000000"/>
                <w:sz w:val="22"/>
                <w:szCs w:val="22"/>
              </w:rPr>
            </w:pPr>
            <w:r w:rsidRPr="2A292F59">
              <w:rPr>
                <w:color w:val="000000" w:themeColor="text1"/>
                <w:sz w:val="22"/>
                <w:szCs w:val="22"/>
              </w:rPr>
              <w:t xml:space="preserve">Persons from the WRMA </w:t>
            </w:r>
            <w:r w:rsidR="5DC77E2A" w:rsidRPr="2A292F59">
              <w:rPr>
                <w:color w:val="000000" w:themeColor="text1"/>
                <w:sz w:val="22"/>
                <w:szCs w:val="22"/>
              </w:rPr>
              <w:t>are</w:t>
            </w:r>
            <w:r w:rsidRPr="2A292F59">
              <w:rPr>
                <w:color w:val="000000" w:themeColor="text1"/>
                <w:sz w:val="22"/>
                <w:szCs w:val="22"/>
              </w:rPr>
              <w:t xml:space="preserve"> enrolled</w:t>
            </w:r>
            <w:r w:rsidR="179179CE" w:rsidRPr="2A292F59">
              <w:rPr>
                <w:color w:val="000000" w:themeColor="text1"/>
                <w:sz w:val="22"/>
                <w:szCs w:val="22"/>
              </w:rPr>
              <w:t xml:space="preserve">. </w:t>
            </w:r>
            <w:r w:rsidRPr="2A292F59">
              <w:rPr>
                <w:color w:val="000000" w:themeColor="text1"/>
                <w:sz w:val="22"/>
                <w:szCs w:val="22"/>
              </w:rPr>
              <w:t>All three courses can be completed in twenty (20) contact hours and are self-paced.  </w:t>
            </w:r>
          </w:p>
        </w:tc>
      </w:tr>
    </w:tbl>
    <w:p w14:paraId="578B8BDB" w14:textId="18604D2C" w:rsidR="00EA4963" w:rsidRPr="00204F72" w:rsidRDefault="00AF41D3" w:rsidP="00204F72">
      <w:pPr>
        <w:pStyle w:val="ListParagraph"/>
        <w:ind w:left="36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noProof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01E6B0" wp14:editId="3A5D9171">
                <wp:simplePos x="0" y="0"/>
                <wp:positionH relativeFrom="column">
                  <wp:posOffset>10382250</wp:posOffset>
                </wp:positionH>
                <wp:positionV relativeFrom="paragraph">
                  <wp:posOffset>153670</wp:posOffset>
                </wp:positionV>
                <wp:extent cx="692150" cy="1047750"/>
                <wp:effectExtent l="0" t="0" r="0" b="0"/>
                <wp:wrapNone/>
                <wp:docPr id="5099537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D7F27A" w14:textId="155AF902" w:rsidR="00AF41D3" w:rsidRPr="00D3536C" w:rsidRDefault="00AF41D3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3536C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Page 4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1E6B0" id="Text Box 2" o:spid="_x0000_s1027" type="#_x0000_t202" style="position:absolute;left:0;text-align:left;margin-left:817.5pt;margin-top:12.1pt;width:54.5pt;height:82.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" fillcolor="white [3201]" stroked="f" strokeweight=".5pt">
                <v:textbox style="layout-flow:vertical">
                  <w:txbxContent>
                    <w:p w14:paraId="02D7F27A" w14:textId="155AF902" w:rsidR="00AF41D3" w:rsidRPr="00D3536C" w:rsidRDefault="00AF41D3">
                      <w:pP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D3536C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Page 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A4963" w:rsidRPr="00204F72" w:rsidSect="008E679F">
      <w:headerReference w:type="default" r:id="rId15"/>
      <w:headerReference w:type="first" r:id="rId16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C567" w14:textId="77777777" w:rsidR="004D33A5" w:rsidRDefault="004D33A5" w:rsidP="00DC45BE">
      <w:r>
        <w:separator/>
      </w:r>
    </w:p>
  </w:endnote>
  <w:endnote w:type="continuationSeparator" w:id="0">
    <w:p w14:paraId="3E024F2B" w14:textId="77777777" w:rsidR="004D33A5" w:rsidRDefault="004D33A5" w:rsidP="00DC45BE">
      <w:r>
        <w:continuationSeparator/>
      </w:r>
    </w:p>
  </w:endnote>
  <w:endnote w:type="continuationNotice" w:id="1">
    <w:p w14:paraId="1FEAAEA2" w14:textId="77777777" w:rsidR="004D33A5" w:rsidRDefault="004D33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CA197" w14:textId="77777777" w:rsidR="004D33A5" w:rsidRDefault="004D33A5" w:rsidP="00DC45BE">
      <w:r>
        <w:separator/>
      </w:r>
    </w:p>
  </w:footnote>
  <w:footnote w:type="continuationSeparator" w:id="0">
    <w:p w14:paraId="3BD44A19" w14:textId="77777777" w:rsidR="004D33A5" w:rsidRDefault="004D33A5" w:rsidP="00DC45BE">
      <w:r>
        <w:continuationSeparator/>
      </w:r>
    </w:p>
  </w:footnote>
  <w:footnote w:type="continuationNotice" w:id="1">
    <w:p w14:paraId="4E9C3DFD" w14:textId="77777777" w:rsidR="004D33A5" w:rsidRDefault="004D33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369A" w14:textId="77777777" w:rsidR="00DC45BE" w:rsidRDefault="00DC45BE" w:rsidP="009C70E5">
    <w:pPr>
      <w:pStyle w:val="Header"/>
      <w:tabs>
        <w:tab w:val="left" w:pos="7200"/>
      </w:tabs>
      <w:jc w:val="right"/>
    </w:pPr>
    <w:r>
      <w:rPr>
        <w:rFonts w:ascii="Times New Roman" w:hAnsi="Times New Roman"/>
        <w:b/>
      </w:rPr>
      <w:tab/>
    </w:r>
    <w:r w:rsidRPr="00592F80">
      <w:rPr>
        <w:b/>
        <w:sz w:val="22"/>
        <w:szCs w:val="22"/>
        <w:u w:val="single"/>
      </w:rPr>
      <w:t xml:space="preserve">APPENDIX </w:t>
    </w:r>
    <w:r>
      <w:rPr>
        <w:b/>
        <w:sz w:val="22"/>
        <w:szCs w:val="22"/>
        <w:u w:val="single"/>
      </w:rPr>
      <w:t>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C9B6" w14:textId="1D78712B" w:rsidR="000605F4" w:rsidRPr="000605F4" w:rsidRDefault="000605F4" w:rsidP="000605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9595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E589B6" w14:textId="56B3D0E8" w:rsidR="009220EA" w:rsidRDefault="009220EA">
        <w:pPr>
          <w:pStyle w:val="Header"/>
          <w:jc w:val="right"/>
        </w:pPr>
        <w:r w:rsidRPr="009220EA">
          <w:rPr>
            <w:rFonts w:ascii="Times New Roman" w:hAnsi="Times New Roman"/>
            <w:b/>
            <w:bCs/>
            <w:sz w:val="22"/>
            <w:szCs w:val="22"/>
          </w:rPr>
          <w:t xml:space="preserve">Page </w:t>
        </w:r>
        <w:r w:rsidRPr="009220EA">
          <w:rPr>
            <w:rFonts w:ascii="Times New Roman" w:hAnsi="Times New Roman"/>
            <w:b/>
            <w:bCs/>
            <w:sz w:val="22"/>
            <w:szCs w:val="22"/>
          </w:rPr>
          <w:fldChar w:fldCharType="begin"/>
        </w:r>
        <w:r w:rsidRPr="009220EA">
          <w:rPr>
            <w:rFonts w:ascii="Times New Roman" w:hAnsi="Times New Roman"/>
            <w:b/>
            <w:bCs/>
            <w:sz w:val="22"/>
            <w:szCs w:val="22"/>
          </w:rPr>
          <w:instrText xml:space="preserve"> PAGE   \* MERGEFORMAT </w:instrText>
        </w:r>
        <w:r w:rsidRPr="009220EA">
          <w:rPr>
            <w:rFonts w:ascii="Times New Roman" w:hAnsi="Times New Roman"/>
            <w:b/>
            <w:bCs/>
            <w:sz w:val="22"/>
            <w:szCs w:val="22"/>
          </w:rPr>
          <w:fldChar w:fldCharType="separate"/>
        </w:r>
        <w:r w:rsidRPr="009220EA">
          <w:rPr>
            <w:rFonts w:ascii="Times New Roman" w:hAnsi="Times New Roman"/>
            <w:b/>
            <w:bCs/>
            <w:noProof/>
            <w:sz w:val="22"/>
            <w:szCs w:val="22"/>
          </w:rPr>
          <w:t>2</w:t>
        </w:r>
        <w:r w:rsidRPr="009220EA">
          <w:rPr>
            <w:rFonts w:ascii="Times New Roman" w:hAnsi="Times New Roman"/>
            <w:b/>
            <w:bCs/>
            <w:noProof/>
            <w:sz w:val="22"/>
            <w:szCs w:val="22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ED90" w14:textId="2B9781EB" w:rsidR="000605F4" w:rsidRDefault="000605F4" w:rsidP="009C70E5">
    <w:pPr>
      <w:pStyle w:val="Header"/>
      <w:tabs>
        <w:tab w:val="left" w:pos="7200"/>
      </w:tabs>
      <w:jc w:val="right"/>
    </w:pPr>
    <w:r>
      <w:rPr>
        <w:rFonts w:ascii="Times New Roman" w:hAnsi="Times New Roman"/>
        <w:b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AD6C" w14:textId="77777777" w:rsidR="00DC45BE" w:rsidRPr="00592F80" w:rsidRDefault="00DC45BE" w:rsidP="009C70E5">
    <w:pPr>
      <w:pStyle w:val="Header"/>
      <w:jc w:val="right"/>
      <w:rPr>
        <w:b/>
        <w:sz w:val="22"/>
        <w:szCs w:val="22"/>
        <w:u w:val="single"/>
      </w:rPr>
    </w:pPr>
    <w:r w:rsidRPr="00592F80">
      <w:rPr>
        <w:b/>
        <w:sz w:val="22"/>
        <w:szCs w:val="22"/>
        <w:u w:val="single"/>
      </w:rPr>
      <w:t>APPENDIX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3CD4"/>
    <w:multiLevelType w:val="hybridMultilevel"/>
    <w:tmpl w:val="24A4F768"/>
    <w:lvl w:ilvl="0" w:tplc="83E0BF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8627F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9EF002F4">
      <w:start w:val="1"/>
      <w:numFmt w:val="lowerRoman"/>
      <w:lvlText w:val="%3."/>
      <w:lvlJc w:val="right"/>
      <w:pPr>
        <w:ind w:left="1620" w:hanging="180"/>
      </w:pPr>
    </w:lvl>
    <w:lvl w:ilvl="3" w:tplc="91B668E4">
      <w:start w:val="5"/>
      <w:numFmt w:val="bullet"/>
      <w:lvlText w:val="·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4" w:tplc="8480910C" w:tentative="1">
      <w:start w:val="1"/>
      <w:numFmt w:val="lowerLetter"/>
      <w:lvlText w:val="%5."/>
      <w:lvlJc w:val="left"/>
      <w:pPr>
        <w:ind w:left="3060" w:hanging="360"/>
      </w:pPr>
    </w:lvl>
    <w:lvl w:ilvl="5" w:tplc="1ED8C0D8" w:tentative="1">
      <w:start w:val="1"/>
      <w:numFmt w:val="lowerRoman"/>
      <w:lvlText w:val="%6."/>
      <w:lvlJc w:val="right"/>
      <w:pPr>
        <w:ind w:left="3780" w:hanging="180"/>
      </w:pPr>
    </w:lvl>
    <w:lvl w:ilvl="6" w:tplc="8F64659E" w:tentative="1">
      <w:start w:val="1"/>
      <w:numFmt w:val="decimal"/>
      <w:lvlText w:val="%7."/>
      <w:lvlJc w:val="left"/>
      <w:pPr>
        <w:ind w:left="4500" w:hanging="360"/>
      </w:pPr>
    </w:lvl>
    <w:lvl w:ilvl="7" w:tplc="ECBA42DE" w:tentative="1">
      <w:start w:val="1"/>
      <w:numFmt w:val="lowerLetter"/>
      <w:lvlText w:val="%8."/>
      <w:lvlJc w:val="left"/>
      <w:pPr>
        <w:ind w:left="5220" w:hanging="360"/>
      </w:pPr>
    </w:lvl>
    <w:lvl w:ilvl="8" w:tplc="CD12B290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1EBA0C4D"/>
    <w:multiLevelType w:val="hybridMultilevel"/>
    <w:tmpl w:val="E22C6B02"/>
    <w:lvl w:ilvl="0" w:tplc="C7361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818AD02">
      <w:start w:val="1"/>
      <w:numFmt w:val="lowerLetter"/>
      <w:lvlText w:val="%2."/>
      <w:lvlJc w:val="left"/>
      <w:pPr>
        <w:ind w:left="1800" w:hanging="360"/>
      </w:pPr>
    </w:lvl>
    <w:lvl w:ilvl="2" w:tplc="9CCA8804" w:tentative="1">
      <w:start w:val="1"/>
      <w:numFmt w:val="lowerRoman"/>
      <w:lvlText w:val="%3."/>
      <w:lvlJc w:val="right"/>
      <w:pPr>
        <w:ind w:left="2520" w:hanging="180"/>
      </w:pPr>
    </w:lvl>
    <w:lvl w:ilvl="3" w:tplc="742E6352" w:tentative="1">
      <w:start w:val="1"/>
      <w:numFmt w:val="decimal"/>
      <w:lvlText w:val="%4."/>
      <w:lvlJc w:val="left"/>
      <w:pPr>
        <w:ind w:left="3240" w:hanging="360"/>
      </w:pPr>
    </w:lvl>
    <w:lvl w:ilvl="4" w:tplc="B5A28AB0" w:tentative="1">
      <w:start w:val="1"/>
      <w:numFmt w:val="lowerLetter"/>
      <w:lvlText w:val="%5."/>
      <w:lvlJc w:val="left"/>
      <w:pPr>
        <w:ind w:left="3960" w:hanging="360"/>
      </w:pPr>
    </w:lvl>
    <w:lvl w:ilvl="5" w:tplc="FE7A31EA" w:tentative="1">
      <w:start w:val="1"/>
      <w:numFmt w:val="lowerRoman"/>
      <w:lvlText w:val="%6."/>
      <w:lvlJc w:val="right"/>
      <w:pPr>
        <w:ind w:left="4680" w:hanging="180"/>
      </w:pPr>
    </w:lvl>
    <w:lvl w:ilvl="6" w:tplc="5378B7AC" w:tentative="1">
      <w:start w:val="1"/>
      <w:numFmt w:val="decimal"/>
      <w:lvlText w:val="%7."/>
      <w:lvlJc w:val="left"/>
      <w:pPr>
        <w:ind w:left="5400" w:hanging="360"/>
      </w:pPr>
    </w:lvl>
    <w:lvl w:ilvl="7" w:tplc="F67C9900" w:tentative="1">
      <w:start w:val="1"/>
      <w:numFmt w:val="lowerLetter"/>
      <w:lvlText w:val="%8."/>
      <w:lvlJc w:val="left"/>
      <w:pPr>
        <w:ind w:left="6120" w:hanging="360"/>
      </w:pPr>
    </w:lvl>
    <w:lvl w:ilvl="8" w:tplc="3E8A827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274995"/>
    <w:multiLevelType w:val="hybridMultilevel"/>
    <w:tmpl w:val="4F82BAFC"/>
    <w:lvl w:ilvl="0" w:tplc="A2C4C31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E1977"/>
    <w:multiLevelType w:val="hybridMultilevel"/>
    <w:tmpl w:val="9D6CE936"/>
    <w:lvl w:ilvl="0" w:tplc="040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E6E530E">
      <w:start w:val="1"/>
      <w:numFmt w:val="lowerLetter"/>
      <w:lvlText w:val="%2."/>
      <w:lvlJc w:val="left"/>
      <w:pPr>
        <w:ind w:left="720" w:hanging="360"/>
      </w:pPr>
    </w:lvl>
    <w:lvl w:ilvl="2" w:tplc="97E25AAA" w:tentative="1">
      <w:start w:val="1"/>
      <w:numFmt w:val="lowerRoman"/>
      <w:lvlText w:val="%3."/>
      <w:lvlJc w:val="right"/>
      <w:pPr>
        <w:ind w:left="1440" w:hanging="180"/>
      </w:pPr>
    </w:lvl>
    <w:lvl w:ilvl="3" w:tplc="868053A8" w:tentative="1">
      <w:start w:val="1"/>
      <w:numFmt w:val="decimal"/>
      <w:lvlText w:val="%4."/>
      <w:lvlJc w:val="left"/>
      <w:pPr>
        <w:ind w:left="2160" w:hanging="360"/>
      </w:pPr>
    </w:lvl>
    <w:lvl w:ilvl="4" w:tplc="AF0E457A" w:tentative="1">
      <w:start w:val="1"/>
      <w:numFmt w:val="lowerLetter"/>
      <w:lvlText w:val="%5."/>
      <w:lvlJc w:val="left"/>
      <w:pPr>
        <w:ind w:left="2880" w:hanging="360"/>
      </w:pPr>
    </w:lvl>
    <w:lvl w:ilvl="5" w:tplc="A8623A8E" w:tentative="1">
      <w:start w:val="1"/>
      <w:numFmt w:val="lowerRoman"/>
      <w:lvlText w:val="%6."/>
      <w:lvlJc w:val="right"/>
      <w:pPr>
        <w:ind w:left="3600" w:hanging="180"/>
      </w:pPr>
    </w:lvl>
    <w:lvl w:ilvl="6" w:tplc="E2742616" w:tentative="1">
      <w:start w:val="1"/>
      <w:numFmt w:val="decimal"/>
      <w:lvlText w:val="%7."/>
      <w:lvlJc w:val="left"/>
      <w:pPr>
        <w:ind w:left="4320" w:hanging="360"/>
      </w:pPr>
    </w:lvl>
    <w:lvl w:ilvl="7" w:tplc="6810BB6A" w:tentative="1">
      <w:start w:val="1"/>
      <w:numFmt w:val="lowerLetter"/>
      <w:lvlText w:val="%8."/>
      <w:lvlJc w:val="left"/>
      <w:pPr>
        <w:ind w:left="5040" w:hanging="360"/>
      </w:pPr>
    </w:lvl>
    <w:lvl w:ilvl="8" w:tplc="6AA24122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F9E315E"/>
    <w:multiLevelType w:val="hybridMultilevel"/>
    <w:tmpl w:val="8D64AA2A"/>
    <w:lvl w:ilvl="0" w:tplc="9140A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F94ED0"/>
    <w:multiLevelType w:val="hybridMultilevel"/>
    <w:tmpl w:val="FFFFFFFF"/>
    <w:lvl w:ilvl="0" w:tplc="2D6AAE42">
      <w:start w:val="5"/>
      <w:numFmt w:val="decimal"/>
      <w:lvlText w:val="%1."/>
      <w:lvlJc w:val="left"/>
      <w:pPr>
        <w:ind w:left="720" w:hanging="360"/>
      </w:pPr>
    </w:lvl>
    <w:lvl w:ilvl="1" w:tplc="B2A87FB6">
      <w:start w:val="1"/>
      <w:numFmt w:val="lowerLetter"/>
      <w:lvlText w:val="%2."/>
      <w:lvlJc w:val="left"/>
      <w:pPr>
        <w:ind w:left="1440" w:hanging="360"/>
      </w:pPr>
    </w:lvl>
    <w:lvl w:ilvl="2" w:tplc="EFE0EEF0">
      <w:start w:val="1"/>
      <w:numFmt w:val="lowerRoman"/>
      <w:lvlText w:val="%3."/>
      <w:lvlJc w:val="right"/>
      <w:pPr>
        <w:ind w:left="2160" w:hanging="180"/>
      </w:pPr>
    </w:lvl>
    <w:lvl w:ilvl="3" w:tplc="35FA409E">
      <w:start w:val="1"/>
      <w:numFmt w:val="decimal"/>
      <w:lvlText w:val="%4."/>
      <w:lvlJc w:val="left"/>
      <w:pPr>
        <w:ind w:left="2880" w:hanging="360"/>
      </w:pPr>
    </w:lvl>
    <w:lvl w:ilvl="4" w:tplc="47283184">
      <w:start w:val="1"/>
      <w:numFmt w:val="lowerLetter"/>
      <w:lvlText w:val="%5."/>
      <w:lvlJc w:val="left"/>
      <w:pPr>
        <w:ind w:left="3600" w:hanging="360"/>
      </w:pPr>
    </w:lvl>
    <w:lvl w:ilvl="5" w:tplc="250C8EF2">
      <w:start w:val="1"/>
      <w:numFmt w:val="lowerRoman"/>
      <w:lvlText w:val="%6."/>
      <w:lvlJc w:val="right"/>
      <w:pPr>
        <w:ind w:left="4320" w:hanging="180"/>
      </w:pPr>
    </w:lvl>
    <w:lvl w:ilvl="6" w:tplc="66AAECD0">
      <w:start w:val="1"/>
      <w:numFmt w:val="decimal"/>
      <w:lvlText w:val="%7."/>
      <w:lvlJc w:val="left"/>
      <w:pPr>
        <w:ind w:left="5040" w:hanging="360"/>
      </w:pPr>
    </w:lvl>
    <w:lvl w:ilvl="7" w:tplc="773A77CC">
      <w:start w:val="1"/>
      <w:numFmt w:val="lowerLetter"/>
      <w:lvlText w:val="%8."/>
      <w:lvlJc w:val="left"/>
      <w:pPr>
        <w:ind w:left="5760" w:hanging="360"/>
      </w:pPr>
    </w:lvl>
    <w:lvl w:ilvl="8" w:tplc="633448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30EBA"/>
    <w:multiLevelType w:val="hybridMultilevel"/>
    <w:tmpl w:val="BD445276"/>
    <w:lvl w:ilvl="0" w:tplc="FFFFFFFF">
      <w:start w:val="1"/>
      <w:numFmt w:val="decimal"/>
      <w:suff w:val="nothing"/>
      <w:lvlText w:val="300180-XX-%1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76755"/>
    <w:multiLevelType w:val="hybridMultilevel"/>
    <w:tmpl w:val="FFFFFFFF"/>
    <w:lvl w:ilvl="0" w:tplc="AF92FC72">
      <w:start w:val="2"/>
      <w:numFmt w:val="decimal"/>
      <w:lvlText w:val="%1."/>
      <w:lvlJc w:val="left"/>
      <w:pPr>
        <w:ind w:left="1080" w:hanging="360"/>
      </w:pPr>
    </w:lvl>
    <w:lvl w:ilvl="1" w:tplc="41326E06">
      <w:start w:val="1"/>
      <w:numFmt w:val="lowerLetter"/>
      <w:lvlText w:val="%2."/>
      <w:lvlJc w:val="left"/>
      <w:pPr>
        <w:ind w:left="1800" w:hanging="360"/>
      </w:pPr>
    </w:lvl>
    <w:lvl w:ilvl="2" w:tplc="3CB2C378">
      <w:start w:val="1"/>
      <w:numFmt w:val="lowerRoman"/>
      <w:lvlText w:val="%3."/>
      <w:lvlJc w:val="right"/>
      <w:pPr>
        <w:ind w:left="2520" w:hanging="180"/>
      </w:pPr>
    </w:lvl>
    <w:lvl w:ilvl="3" w:tplc="6FC2F450">
      <w:start w:val="1"/>
      <w:numFmt w:val="decimal"/>
      <w:lvlText w:val="%4."/>
      <w:lvlJc w:val="left"/>
      <w:pPr>
        <w:ind w:left="3240" w:hanging="360"/>
      </w:pPr>
    </w:lvl>
    <w:lvl w:ilvl="4" w:tplc="56A08C32">
      <w:start w:val="1"/>
      <w:numFmt w:val="lowerLetter"/>
      <w:lvlText w:val="%5."/>
      <w:lvlJc w:val="left"/>
      <w:pPr>
        <w:ind w:left="3960" w:hanging="360"/>
      </w:pPr>
    </w:lvl>
    <w:lvl w:ilvl="5" w:tplc="FF8C2F5C">
      <w:start w:val="1"/>
      <w:numFmt w:val="lowerRoman"/>
      <w:lvlText w:val="%6."/>
      <w:lvlJc w:val="right"/>
      <w:pPr>
        <w:ind w:left="4680" w:hanging="180"/>
      </w:pPr>
    </w:lvl>
    <w:lvl w:ilvl="6" w:tplc="674087FA">
      <w:start w:val="1"/>
      <w:numFmt w:val="decimal"/>
      <w:lvlText w:val="%7."/>
      <w:lvlJc w:val="left"/>
      <w:pPr>
        <w:ind w:left="5400" w:hanging="360"/>
      </w:pPr>
    </w:lvl>
    <w:lvl w:ilvl="7" w:tplc="E9F85344">
      <w:start w:val="1"/>
      <w:numFmt w:val="lowerLetter"/>
      <w:lvlText w:val="%8."/>
      <w:lvlJc w:val="left"/>
      <w:pPr>
        <w:ind w:left="6120" w:hanging="360"/>
      </w:pPr>
    </w:lvl>
    <w:lvl w:ilvl="8" w:tplc="E488D82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E43068"/>
    <w:multiLevelType w:val="hybridMultilevel"/>
    <w:tmpl w:val="C1929288"/>
    <w:lvl w:ilvl="0" w:tplc="04AEE614">
      <w:start w:val="4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32251"/>
    <w:multiLevelType w:val="hybridMultilevel"/>
    <w:tmpl w:val="BD445276"/>
    <w:lvl w:ilvl="0" w:tplc="A134C5EA">
      <w:start w:val="1"/>
      <w:numFmt w:val="decimal"/>
      <w:suff w:val="nothing"/>
      <w:lvlText w:val="300180-XX-%1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84317">
    <w:abstractNumId w:val="1"/>
  </w:num>
  <w:num w:numId="2" w16cid:durableId="867138064">
    <w:abstractNumId w:val="3"/>
  </w:num>
  <w:num w:numId="3" w16cid:durableId="77756209">
    <w:abstractNumId w:val="0"/>
  </w:num>
  <w:num w:numId="4" w16cid:durableId="1355422637">
    <w:abstractNumId w:val="9"/>
  </w:num>
  <w:num w:numId="5" w16cid:durableId="407306652">
    <w:abstractNumId w:val="6"/>
  </w:num>
  <w:num w:numId="6" w16cid:durableId="1056009775">
    <w:abstractNumId w:val="5"/>
  </w:num>
  <w:num w:numId="7" w16cid:durableId="483935789">
    <w:abstractNumId w:val="7"/>
  </w:num>
  <w:num w:numId="8" w16cid:durableId="1936282774">
    <w:abstractNumId w:val="2"/>
  </w:num>
  <w:num w:numId="9" w16cid:durableId="255329117">
    <w:abstractNumId w:val="4"/>
  </w:num>
  <w:num w:numId="10" w16cid:durableId="342516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BE"/>
    <w:rsid w:val="000605F4"/>
    <w:rsid w:val="000852AE"/>
    <w:rsid w:val="00137CC0"/>
    <w:rsid w:val="0016029A"/>
    <w:rsid w:val="001A13F2"/>
    <w:rsid w:val="001D48DD"/>
    <w:rsid w:val="001E2DD0"/>
    <w:rsid w:val="00204F72"/>
    <w:rsid w:val="00216870"/>
    <w:rsid w:val="002A791F"/>
    <w:rsid w:val="003000DF"/>
    <w:rsid w:val="003B17E4"/>
    <w:rsid w:val="003B5187"/>
    <w:rsid w:val="003D149F"/>
    <w:rsid w:val="00412122"/>
    <w:rsid w:val="00421C71"/>
    <w:rsid w:val="00455D5D"/>
    <w:rsid w:val="00473041"/>
    <w:rsid w:val="00493801"/>
    <w:rsid w:val="004D33A5"/>
    <w:rsid w:val="00573C37"/>
    <w:rsid w:val="005B5262"/>
    <w:rsid w:val="005E1D5B"/>
    <w:rsid w:val="005E4F36"/>
    <w:rsid w:val="0066049B"/>
    <w:rsid w:val="00692B50"/>
    <w:rsid w:val="006C2D40"/>
    <w:rsid w:val="006C39EF"/>
    <w:rsid w:val="006C674A"/>
    <w:rsid w:val="007032DE"/>
    <w:rsid w:val="0070561C"/>
    <w:rsid w:val="007A2DDD"/>
    <w:rsid w:val="007D65BD"/>
    <w:rsid w:val="00831F5A"/>
    <w:rsid w:val="00841E7F"/>
    <w:rsid w:val="0084505C"/>
    <w:rsid w:val="008E679F"/>
    <w:rsid w:val="008F08CD"/>
    <w:rsid w:val="009220EA"/>
    <w:rsid w:val="0098397A"/>
    <w:rsid w:val="009A018E"/>
    <w:rsid w:val="009A2908"/>
    <w:rsid w:val="009C70E5"/>
    <w:rsid w:val="00A10264"/>
    <w:rsid w:val="00A70007"/>
    <w:rsid w:val="00A74D57"/>
    <w:rsid w:val="00AA1CA5"/>
    <w:rsid w:val="00AD4877"/>
    <w:rsid w:val="00AD6A13"/>
    <w:rsid w:val="00AF41D3"/>
    <w:rsid w:val="00B01289"/>
    <w:rsid w:val="00B641E4"/>
    <w:rsid w:val="00B65057"/>
    <w:rsid w:val="00BE00CF"/>
    <w:rsid w:val="00BF3CF7"/>
    <w:rsid w:val="00C11852"/>
    <w:rsid w:val="00C17F76"/>
    <w:rsid w:val="00C641EC"/>
    <w:rsid w:val="00CA06B1"/>
    <w:rsid w:val="00CF39A2"/>
    <w:rsid w:val="00D12CA7"/>
    <w:rsid w:val="00D3536C"/>
    <w:rsid w:val="00D3742C"/>
    <w:rsid w:val="00D71B28"/>
    <w:rsid w:val="00D767D2"/>
    <w:rsid w:val="00D83EB6"/>
    <w:rsid w:val="00DB68AA"/>
    <w:rsid w:val="00DC45BE"/>
    <w:rsid w:val="00E9477D"/>
    <w:rsid w:val="00EA4963"/>
    <w:rsid w:val="00F20DC8"/>
    <w:rsid w:val="00FF7120"/>
    <w:rsid w:val="03A13092"/>
    <w:rsid w:val="04AE42DA"/>
    <w:rsid w:val="050FE839"/>
    <w:rsid w:val="0A1DCFBE"/>
    <w:rsid w:val="127C1832"/>
    <w:rsid w:val="13DF12BE"/>
    <w:rsid w:val="179179CE"/>
    <w:rsid w:val="24787EFF"/>
    <w:rsid w:val="25C68B66"/>
    <w:rsid w:val="2A292F59"/>
    <w:rsid w:val="2AA35A8D"/>
    <w:rsid w:val="2AC58D28"/>
    <w:rsid w:val="2B64EC74"/>
    <w:rsid w:val="421AD1C8"/>
    <w:rsid w:val="487F0C61"/>
    <w:rsid w:val="4A268545"/>
    <w:rsid w:val="4BFDD587"/>
    <w:rsid w:val="4F337345"/>
    <w:rsid w:val="5DC77E2A"/>
    <w:rsid w:val="79E23E61"/>
    <w:rsid w:val="7D3AEDCB"/>
    <w:rsid w:val="7E3A9328"/>
    <w:rsid w:val="7FA2A133"/>
    <w:rsid w:val="7FD6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E4B45"/>
  <w15:chartTrackingRefBased/>
  <w15:docId w15:val="{9C6F1EED-2791-42E9-B3BA-4DBF73A8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5BE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5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5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5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5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5B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5B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5B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5B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5B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5B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5B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5B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5B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C4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5B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5B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C4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5BE"/>
    <w:rPr>
      <w:i/>
      <w:iCs/>
      <w:color w:val="404040" w:themeColor="text1" w:themeTint="BF"/>
      <w:lang w:val="en-GB"/>
    </w:rPr>
  </w:style>
  <w:style w:type="paragraph" w:styleId="ListParagraph">
    <w:name w:val="List Paragraph"/>
    <w:aliases w:val="123 List Paragraph,Bullet 1,Bullet Points,Bullets,Celula,Colorful List - Accent 11,Dot pt,Indicator Text,List Paragraph Char Char Char,List Paragraph1,List Paragraph12,MAIN CONTENT,Numbered List Paragraph,Numbered Para 1,text,Normal 2"/>
    <w:basedOn w:val="Normal"/>
    <w:link w:val="ListParagraphChar"/>
    <w:uiPriority w:val="34"/>
    <w:qFormat/>
    <w:rsid w:val="00DC4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5B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C45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qFormat/>
    <w:rsid w:val="00DC45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DC45BE"/>
    <w:rPr>
      <w:rFonts w:ascii="Times" w:eastAsia="Times New Roman" w:hAnsi="Times" w:cs="Times New Roman"/>
      <w:kern w:val="0"/>
      <w:lang w:val="en-GB"/>
      <w14:ligatures w14:val="none"/>
    </w:rPr>
  </w:style>
  <w:style w:type="table" w:styleId="TableGrid">
    <w:name w:val="Table Grid"/>
    <w:basedOn w:val="TableNormal"/>
    <w:uiPriority w:val="39"/>
    <w:qFormat/>
    <w:rsid w:val="00DC45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C45B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ListParagraphChar">
    <w:name w:val="List Paragraph Char"/>
    <w:aliases w:val="123 List Paragraph Char,Bullet 1 Char,Bullet Points Char,Bullets Char,Celula Char,Colorful List - Accent 11 Char,Dot pt Char,Indicator Text Char,List Paragraph Char Char Char Char,List Paragraph1 Char,List Paragraph12 Char,text Char"/>
    <w:link w:val="ListParagraph"/>
    <w:uiPriority w:val="34"/>
    <w:qFormat/>
    <w:locked/>
    <w:rsid w:val="00DC45B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C45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5BE"/>
    <w:rPr>
      <w:rFonts w:ascii="Times" w:eastAsia="Times New Roman" w:hAnsi="Times" w:cs="Times New Roman"/>
      <w:kern w:val="0"/>
      <w:lang w:val="en-GB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" w:eastAsia="Times New Roman" w:hAnsi="Times" w:cs="Times New Roman"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F39A2"/>
    <w:pPr>
      <w:spacing w:after="0" w:line="240" w:lineRule="auto"/>
    </w:pPr>
    <w:rPr>
      <w:rFonts w:ascii="Times" w:eastAsia="Times New Roman" w:hAnsi="Times" w:cs="Times New Roman"/>
      <w:kern w:val="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9A2"/>
    <w:rPr>
      <w:rFonts w:ascii="Times" w:eastAsia="Times New Roman" w:hAnsi="Times" w:cs="Times New Roma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7848A30E7664F89551280E0838DA8" ma:contentTypeVersion="5" ma:contentTypeDescription="Create a new document." ma:contentTypeScope="" ma:versionID="469d86a4a8b3ae3c32a64eaa6c2f6ca9">
  <xsd:schema xmlns:xsd="http://www.w3.org/2001/XMLSchema" xmlns:xs="http://www.w3.org/2001/XMLSchema" xmlns:p="http://schemas.microsoft.com/office/2006/metadata/properties" xmlns:ns2="d7c79300-af82-4651-8bb4-0962fed79a64" targetNamespace="http://schemas.microsoft.com/office/2006/metadata/properties" ma:root="true" ma:fieldsID="b9ad51598d0ec5e7ff404e436627d267" ns2:_="">
    <xsd:import namespace="d7c79300-af82-4651-8bb4-0962fed79a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79300-af82-4651-8bb4-0962fed79a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c79300-af82-4651-8bb4-0962fed79a64">OP365-1965873398-3</_dlc_DocId>
    <_dlc_DocIdUrl xmlns="d7c79300-af82-4651-8bb4-0962fed79a64">
      <Url>https://caribank.sharepoint.com/sites/LC/PRN300180/_layouts/15/DocIdRedir.aspx?ID=OP365-1965873398-3</Url>
      <Description>OP365-1965873398-3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1ea6748-af05-4a75-9b44-37e5618d313b" ContentTypeId="0x0101" PreviousValue="false"/>
</file>

<file path=customXml/itemProps1.xml><?xml version="1.0" encoding="utf-8"?>
<ds:datastoreItem xmlns:ds="http://schemas.openxmlformats.org/officeDocument/2006/customXml" ds:itemID="{0B40395B-8AD1-494D-B2AA-4FDACB811C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7B4564-E355-453C-9F77-159A8D1B9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79300-af82-4651-8bb4-0962fed79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C0F69-95BD-4305-A75D-9B2F7F6F4E4D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7c79300-af82-4651-8bb4-0962fed79a6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200E930-2935-4585-A12E-7F2276A975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412B40-C352-4BD5-A3F1-B85A0F1D9C1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3225</Characters>
  <Application>Microsoft Office Word</Application>
  <DocSecurity>0</DocSecurity>
  <Lines>230</Lines>
  <Paragraphs>150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Sara-Jade Govia</dc:creator>
  <cp:keywords/>
  <dc:description/>
  <cp:lastModifiedBy>Sonia Harrison</cp:lastModifiedBy>
  <cp:revision>2</cp:revision>
  <dcterms:created xsi:type="dcterms:W3CDTF">2025-11-15T00:26:00Z</dcterms:created>
  <dcterms:modified xsi:type="dcterms:W3CDTF">2025-11-15T00:26:00Z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0x0101005A87848A30E7664F89551280E0838DA8</vt:lpwstr>
  </property>
  <property fmtid="{D5CDD505-2E9C-101B-9397-08002B2CF9AE}" pid="3" name="_dlc_DocIdItemGuid">
    <vt:lpwstr>6a9a6806-2049-4486-8824-bab04d3e8657</vt:lpwstr>
  </property>
  <property fmtid="{D5CDD505-2E9C-101B-9397-08002B2CF9AE}" pid="4" name="GrammarlyDocumentId">
    <vt:lpwstr>fe2dd866-72f5-438f-a552-74de1a16eb4b</vt:lpwstr>
  </property>
</Properties>
</file>