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9B" w:rsidRPr="00EF6369" w:rsidRDefault="0014650C" w:rsidP="00A04074">
      <w:pPr>
        <w:jc w:val="center"/>
        <w:rPr>
          <w:rFonts w:asciiTheme="minorHAnsi" w:hAnsiTheme="minorHAnsi" w:cstheme="minorHAnsi"/>
          <w:smallCaps/>
          <w:sz w:val="28"/>
          <w:szCs w:val="28"/>
        </w:rPr>
      </w:pPr>
      <w:bookmarkStart w:id="0" w:name="_Toc8447441"/>
      <w:bookmarkStart w:id="1" w:name="_GoBack"/>
      <w:bookmarkEnd w:id="1"/>
      <w:r>
        <w:rPr>
          <w:rFonts w:asciiTheme="minorHAnsi" w:hAnsiTheme="minorHAnsi" w:cstheme="minorHAnsi"/>
          <w:smallCaps/>
          <w:sz w:val="28"/>
          <w:szCs w:val="28"/>
        </w:rPr>
        <w:t xml:space="preserve"> </w:t>
      </w:r>
      <w:r w:rsidR="00772E91" w:rsidRPr="00EF6369">
        <w:rPr>
          <w:rFonts w:asciiTheme="minorHAnsi" w:hAnsiTheme="minorHAnsi" w:cstheme="minorHAnsi"/>
          <w:noProof/>
          <w:lang w:val="en-US"/>
        </w:rPr>
        <w:drawing>
          <wp:inline distT="0" distB="0" distL="0" distR="0" wp14:anchorId="41E7F6E9" wp14:editId="7AF813B8">
            <wp:extent cx="2265943" cy="2209800"/>
            <wp:effectExtent l="0" t="0" r="1270" b="0"/>
            <wp:docPr id="1" name="Picture 2"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CONTINUE T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4850" cy="2218486"/>
                    </a:xfrm>
                    <a:prstGeom prst="rect">
                      <a:avLst/>
                    </a:prstGeom>
                    <a:noFill/>
                    <a:ln w="9525">
                      <a:noFill/>
                      <a:miter lim="800000"/>
                      <a:headEnd/>
                      <a:tailEnd/>
                    </a:ln>
                  </pic:spPr>
                </pic:pic>
              </a:graphicData>
            </a:graphic>
          </wp:inline>
        </w:drawing>
      </w:r>
    </w:p>
    <w:p w:rsidR="00B95A06" w:rsidRPr="00EF6369" w:rsidRDefault="00B95A06">
      <w:pPr>
        <w:jc w:val="center"/>
        <w:rPr>
          <w:rFonts w:asciiTheme="minorHAnsi" w:hAnsiTheme="minorHAnsi" w:cstheme="minorHAnsi"/>
          <w:b/>
          <w:smallCaps/>
          <w:sz w:val="44"/>
          <w:szCs w:val="44"/>
        </w:rPr>
      </w:pPr>
    </w:p>
    <w:p w:rsidR="00B95A06" w:rsidRPr="00EF6369" w:rsidRDefault="00B95A06">
      <w:pPr>
        <w:jc w:val="center"/>
        <w:rPr>
          <w:rFonts w:asciiTheme="minorHAnsi" w:hAnsiTheme="minorHAnsi" w:cstheme="minorHAnsi"/>
          <w:b/>
          <w:smallCaps/>
          <w:sz w:val="44"/>
          <w:szCs w:val="44"/>
        </w:rPr>
      </w:pPr>
    </w:p>
    <w:p w:rsidR="00161D16" w:rsidRPr="005C2164" w:rsidRDefault="00161D16" w:rsidP="00EF6369">
      <w:pPr>
        <w:spacing w:before="0" w:after="160"/>
        <w:jc w:val="center"/>
        <w:rPr>
          <w:rFonts w:eastAsiaTheme="minorHAnsi"/>
          <w:b/>
          <w:sz w:val="52"/>
          <w:szCs w:val="52"/>
        </w:rPr>
      </w:pPr>
      <w:r w:rsidRPr="005C2164">
        <w:rPr>
          <w:rFonts w:eastAsiaTheme="minorHAnsi"/>
          <w:b/>
          <w:sz w:val="52"/>
          <w:szCs w:val="52"/>
        </w:rPr>
        <w:t>C</w:t>
      </w:r>
      <w:r w:rsidR="00EF6369" w:rsidRPr="005C2164">
        <w:rPr>
          <w:rFonts w:eastAsiaTheme="minorHAnsi"/>
          <w:b/>
          <w:sz w:val="52"/>
          <w:szCs w:val="52"/>
        </w:rPr>
        <w:t>ARIBBEAN</w:t>
      </w:r>
      <w:r w:rsidRPr="005C2164">
        <w:rPr>
          <w:rFonts w:eastAsiaTheme="minorHAnsi"/>
          <w:b/>
          <w:sz w:val="52"/>
          <w:szCs w:val="52"/>
        </w:rPr>
        <w:t xml:space="preserve"> D</w:t>
      </w:r>
      <w:r w:rsidR="00EF6369" w:rsidRPr="005C2164">
        <w:rPr>
          <w:rFonts w:eastAsiaTheme="minorHAnsi"/>
          <w:b/>
          <w:sz w:val="52"/>
          <w:szCs w:val="52"/>
        </w:rPr>
        <w:t>EVELOPMENT</w:t>
      </w:r>
      <w:r w:rsidRPr="005C2164">
        <w:rPr>
          <w:rFonts w:eastAsiaTheme="minorHAnsi"/>
          <w:b/>
          <w:sz w:val="52"/>
          <w:szCs w:val="52"/>
        </w:rPr>
        <w:t xml:space="preserve"> B</w:t>
      </w:r>
      <w:r w:rsidR="00EF6369" w:rsidRPr="005C2164">
        <w:rPr>
          <w:rFonts w:eastAsiaTheme="minorHAnsi"/>
          <w:b/>
          <w:sz w:val="52"/>
          <w:szCs w:val="52"/>
        </w:rPr>
        <w:t>ANK</w:t>
      </w:r>
    </w:p>
    <w:p w:rsidR="00161D16" w:rsidRPr="005C2164" w:rsidRDefault="00161D16">
      <w:pPr>
        <w:jc w:val="center"/>
        <w:rPr>
          <w:b/>
          <w:smallCaps/>
          <w:sz w:val="52"/>
          <w:szCs w:val="52"/>
        </w:rPr>
      </w:pPr>
    </w:p>
    <w:p w:rsidR="00010024" w:rsidRPr="005C2164" w:rsidRDefault="00010024">
      <w:pPr>
        <w:jc w:val="center"/>
        <w:rPr>
          <w:b/>
          <w:smallCaps/>
          <w:sz w:val="52"/>
          <w:szCs w:val="52"/>
        </w:rPr>
      </w:pPr>
    </w:p>
    <w:p w:rsidR="005A078E" w:rsidRPr="005C2164" w:rsidRDefault="005A078E">
      <w:pPr>
        <w:jc w:val="center"/>
        <w:rPr>
          <w:b/>
          <w:smallCaps/>
          <w:sz w:val="52"/>
          <w:szCs w:val="52"/>
        </w:rPr>
      </w:pPr>
    </w:p>
    <w:p w:rsidR="005743DC" w:rsidRPr="005C2164" w:rsidRDefault="003E507C">
      <w:pPr>
        <w:jc w:val="center"/>
        <w:rPr>
          <w:b/>
          <w:smallCaps/>
          <w:sz w:val="52"/>
          <w:szCs w:val="52"/>
        </w:rPr>
      </w:pPr>
      <w:r w:rsidRPr="005C2164">
        <w:rPr>
          <w:b/>
          <w:smallCaps/>
          <w:sz w:val="52"/>
          <w:szCs w:val="52"/>
        </w:rPr>
        <w:t>Procurement Policy for projects Financed by CDB</w:t>
      </w:r>
    </w:p>
    <w:p w:rsidR="005743DC" w:rsidRPr="005C2164" w:rsidRDefault="005743DC">
      <w:pPr>
        <w:jc w:val="center"/>
        <w:rPr>
          <w:b/>
          <w:smallCaps/>
          <w:sz w:val="52"/>
          <w:szCs w:val="52"/>
        </w:rPr>
      </w:pPr>
    </w:p>
    <w:bookmarkEnd w:id="0"/>
    <w:p w:rsidR="005358EA" w:rsidRPr="005C2164" w:rsidRDefault="007708EA" w:rsidP="004937D9">
      <w:pPr>
        <w:jc w:val="center"/>
        <w:rPr>
          <w:sz w:val="52"/>
          <w:szCs w:val="52"/>
        </w:rPr>
      </w:pPr>
      <w:r w:rsidRPr="005C2164">
        <w:rPr>
          <w:b/>
          <w:smallCaps/>
          <w:sz w:val="52"/>
          <w:szCs w:val="52"/>
          <w:highlight w:val="green"/>
        </w:rPr>
        <w:t>XXX</w:t>
      </w:r>
      <w:r w:rsidR="0073744C" w:rsidRPr="005C2164">
        <w:rPr>
          <w:b/>
          <w:smallCaps/>
          <w:sz w:val="52"/>
          <w:szCs w:val="52"/>
          <w:highlight w:val="green"/>
        </w:rPr>
        <w:t xml:space="preserve"> 201</w:t>
      </w:r>
      <w:r w:rsidR="00375CCF" w:rsidRPr="005C2164">
        <w:rPr>
          <w:b/>
          <w:smallCaps/>
          <w:sz w:val="52"/>
          <w:szCs w:val="52"/>
          <w:highlight w:val="green"/>
        </w:rPr>
        <w:t>9</w:t>
      </w:r>
    </w:p>
    <w:p w:rsidR="004937D9" w:rsidRPr="00EF6369" w:rsidRDefault="004937D9">
      <w:pPr>
        <w:rPr>
          <w:rFonts w:asciiTheme="minorHAnsi" w:hAnsiTheme="minorHAnsi" w:cstheme="minorHAnsi"/>
        </w:rPr>
        <w:sectPr w:rsidR="004937D9" w:rsidRPr="00EF6369" w:rsidSect="001A7A7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1440" w:footer="720" w:gutter="0"/>
          <w:pgNumType w:fmt="lowerRoman" w:start="3"/>
          <w:cols w:space="720"/>
          <w:noEndnote/>
          <w:titlePg/>
          <w:docGrid w:linePitch="326"/>
        </w:sect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A0021" w:rsidRPr="00EF6369" w:rsidRDefault="001A0021" w:rsidP="00125A85">
      <w:pPr>
        <w:spacing w:before="0"/>
        <w:rPr>
          <w:rFonts w:asciiTheme="minorHAnsi" w:hAnsiTheme="minorHAnsi" w:cstheme="minorHAnsi"/>
          <w:b/>
          <w:sz w:val="28"/>
          <w:szCs w:val="28"/>
        </w:rPr>
      </w:pPr>
    </w:p>
    <w:p w:rsidR="001A0021" w:rsidRPr="00EF6369" w:rsidRDefault="001A0021" w:rsidP="00125A85">
      <w:pPr>
        <w:spacing w:before="0"/>
        <w:rPr>
          <w:rFonts w:asciiTheme="minorHAnsi" w:hAnsiTheme="minorHAnsi" w:cstheme="minorHAnsi"/>
          <w:b/>
          <w:sz w:val="28"/>
          <w:szCs w:val="28"/>
        </w:rPr>
      </w:pPr>
    </w:p>
    <w:p w:rsidR="00125A85" w:rsidRPr="00EF6369" w:rsidRDefault="00125A85" w:rsidP="00125A85">
      <w:pPr>
        <w:spacing w:before="0"/>
        <w:rPr>
          <w:rFonts w:asciiTheme="minorHAnsi" w:hAnsiTheme="minorHAnsi" w:cstheme="minorHAnsi"/>
          <w:b/>
          <w:sz w:val="28"/>
          <w:szCs w:val="28"/>
        </w:rPr>
      </w:pPr>
    </w:p>
    <w:p w:rsidR="00125A85" w:rsidRPr="0066699A" w:rsidRDefault="00125A85" w:rsidP="00125A85">
      <w:pPr>
        <w:spacing w:before="0"/>
        <w:rPr>
          <w:b/>
          <w:sz w:val="28"/>
          <w:szCs w:val="28"/>
        </w:rPr>
      </w:pPr>
    </w:p>
    <w:p w:rsidR="006F12F5" w:rsidRPr="0066699A" w:rsidRDefault="0073744C" w:rsidP="004B0BEC">
      <w:pPr>
        <w:spacing w:before="0" w:line="252" w:lineRule="auto"/>
        <w:rPr>
          <w:szCs w:val="24"/>
        </w:rPr>
      </w:pPr>
      <w:r w:rsidRPr="0066699A">
        <w:rPr>
          <w:szCs w:val="24"/>
        </w:rPr>
        <w:t>This policy</w:t>
      </w:r>
      <w:r w:rsidR="00125A85" w:rsidRPr="0066699A">
        <w:rPr>
          <w:szCs w:val="24"/>
        </w:rPr>
        <w:t xml:space="preserve"> appl</w:t>
      </w:r>
      <w:r w:rsidR="00E742CA" w:rsidRPr="0066699A">
        <w:rPr>
          <w:szCs w:val="24"/>
        </w:rPr>
        <w:t>ies</w:t>
      </w:r>
      <w:r w:rsidR="00125A85" w:rsidRPr="0066699A">
        <w:rPr>
          <w:szCs w:val="24"/>
        </w:rPr>
        <w:t xml:space="preserve"> to CDB</w:t>
      </w:r>
      <w:r w:rsidR="003705C5">
        <w:rPr>
          <w:szCs w:val="24"/>
        </w:rPr>
        <w:t xml:space="preserve"> </w:t>
      </w:r>
      <w:r w:rsidR="00125A85" w:rsidRPr="0066699A">
        <w:rPr>
          <w:szCs w:val="24"/>
        </w:rPr>
        <w:t xml:space="preserve">financed projects approved </w:t>
      </w:r>
      <w:r w:rsidRPr="0066699A">
        <w:rPr>
          <w:szCs w:val="24"/>
        </w:rPr>
        <w:t xml:space="preserve">on or </w:t>
      </w:r>
      <w:r w:rsidR="00125A85" w:rsidRPr="0066699A">
        <w:rPr>
          <w:szCs w:val="24"/>
        </w:rPr>
        <w:t xml:space="preserve">after </w:t>
      </w:r>
      <w:r w:rsidR="007708EA" w:rsidRPr="0066699A">
        <w:rPr>
          <w:szCs w:val="24"/>
          <w:highlight w:val="green"/>
        </w:rPr>
        <w:t xml:space="preserve">XXX </w:t>
      </w:r>
      <w:r w:rsidR="005D2F17" w:rsidRPr="0066699A">
        <w:rPr>
          <w:szCs w:val="24"/>
          <w:highlight w:val="green"/>
        </w:rPr>
        <w:t>1</w:t>
      </w:r>
      <w:r w:rsidR="000A1A2F" w:rsidRPr="0066699A">
        <w:rPr>
          <w:szCs w:val="24"/>
          <w:highlight w:val="green"/>
        </w:rPr>
        <w:t>, 201</w:t>
      </w:r>
      <w:r w:rsidR="00375CCF">
        <w:rPr>
          <w:szCs w:val="24"/>
          <w:highlight w:val="green"/>
        </w:rPr>
        <w:t>9</w:t>
      </w:r>
    </w:p>
    <w:p w:rsidR="004B0BEC" w:rsidRPr="0066699A" w:rsidRDefault="004B0BEC" w:rsidP="004B0BEC">
      <w:pPr>
        <w:spacing w:before="0" w:line="252" w:lineRule="auto"/>
        <w:rPr>
          <w:szCs w:val="24"/>
        </w:rPr>
      </w:pPr>
      <w:r w:rsidRPr="0066699A">
        <w:rPr>
          <w:szCs w:val="24"/>
        </w:rPr>
        <w:t>First Edition</w:t>
      </w:r>
    </w:p>
    <w:p w:rsidR="00125A85" w:rsidRPr="0066699A" w:rsidRDefault="00125A85" w:rsidP="004B0BEC">
      <w:pPr>
        <w:spacing w:before="0" w:line="252" w:lineRule="auto"/>
        <w:rPr>
          <w:szCs w:val="24"/>
        </w:rPr>
      </w:pPr>
      <w:r w:rsidRPr="0066699A">
        <w:rPr>
          <w:szCs w:val="24"/>
        </w:rPr>
        <w:t>Copyright</w:t>
      </w:r>
      <w:r w:rsidR="0007686F" w:rsidRPr="0066699A">
        <w:rPr>
          <w:szCs w:val="24"/>
        </w:rPr>
        <w:t xml:space="preserve"> ©</w:t>
      </w:r>
      <w:r w:rsidRPr="0066699A">
        <w:rPr>
          <w:szCs w:val="24"/>
        </w:rPr>
        <w:t xml:space="preserve"> 201</w:t>
      </w:r>
      <w:r w:rsidR="00375CCF">
        <w:rPr>
          <w:szCs w:val="24"/>
        </w:rPr>
        <w:t>9</w:t>
      </w:r>
    </w:p>
    <w:p w:rsidR="00125A85" w:rsidRPr="0066699A" w:rsidRDefault="00125A85" w:rsidP="004B0BEC">
      <w:pPr>
        <w:spacing w:before="0" w:line="252" w:lineRule="auto"/>
        <w:rPr>
          <w:szCs w:val="24"/>
        </w:rPr>
      </w:pPr>
      <w:r w:rsidRPr="0066699A">
        <w:rPr>
          <w:szCs w:val="24"/>
        </w:rPr>
        <w:t>Caribbean Development Bank</w:t>
      </w:r>
    </w:p>
    <w:p w:rsidR="00125A85" w:rsidRPr="0066699A" w:rsidRDefault="00125A85" w:rsidP="004B0BEC">
      <w:pPr>
        <w:spacing w:before="0" w:line="252" w:lineRule="auto"/>
        <w:rPr>
          <w:szCs w:val="24"/>
        </w:rPr>
      </w:pPr>
      <w:r w:rsidRPr="0066699A">
        <w:rPr>
          <w:szCs w:val="24"/>
        </w:rPr>
        <w:t>P.O. Box 408</w:t>
      </w:r>
    </w:p>
    <w:p w:rsidR="00125A85" w:rsidRPr="0066699A" w:rsidRDefault="00125A85" w:rsidP="004B0BEC">
      <w:pPr>
        <w:spacing w:before="0" w:line="252" w:lineRule="auto"/>
        <w:rPr>
          <w:szCs w:val="24"/>
        </w:rPr>
      </w:pPr>
      <w:r w:rsidRPr="0066699A">
        <w:rPr>
          <w:szCs w:val="24"/>
        </w:rPr>
        <w:t>Wildey, St. Michael</w:t>
      </w:r>
      <w:r w:rsidR="009C30E1" w:rsidRPr="0066699A">
        <w:rPr>
          <w:szCs w:val="24"/>
        </w:rPr>
        <w:t>, BB11000</w:t>
      </w:r>
    </w:p>
    <w:p w:rsidR="00125A85" w:rsidRPr="0066699A" w:rsidRDefault="00125A85" w:rsidP="004B0BEC">
      <w:pPr>
        <w:spacing w:before="0" w:line="252" w:lineRule="auto"/>
        <w:rPr>
          <w:szCs w:val="24"/>
        </w:rPr>
      </w:pPr>
      <w:r w:rsidRPr="0066699A">
        <w:rPr>
          <w:szCs w:val="24"/>
        </w:rPr>
        <w:t>Barbados, W.I.</w:t>
      </w:r>
      <w:r w:rsidR="009C30E1" w:rsidRPr="0066699A" w:rsidDel="009C30E1">
        <w:rPr>
          <w:szCs w:val="24"/>
        </w:rPr>
        <w:t xml:space="preserve"> </w:t>
      </w:r>
    </w:p>
    <w:p w:rsidR="005D2F17" w:rsidRPr="0066699A" w:rsidRDefault="005D2F17" w:rsidP="004B0BEC">
      <w:pPr>
        <w:spacing w:before="0" w:line="252" w:lineRule="auto"/>
        <w:rPr>
          <w:szCs w:val="24"/>
        </w:rPr>
      </w:pPr>
    </w:p>
    <w:p w:rsidR="00125A85" w:rsidRPr="0066699A" w:rsidRDefault="00125A85" w:rsidP="004B0BEC">
      <w:pPr>
        <w:spacing w:before="0" w:line="252" w:lineRule="auto"/>
        <w:rPr>
          <w:szCs w:val="24"/>
        </w:rPr>
      </w:pPr>
      <w:r w:rsidRPr="0066699A">
        <w:rPr>
          <w:szCs w:val="24"/>
        </w:rPr>
        <w:t xml:space="preserve">First Printing, </w:t>
      </w:r>
      <w:r w:rsidR="007708EA" w:rsidRPr="0066699A">
        <w:rPr>
          <w:szCs w:val="24"/>
          <w:highlight w:val="green"/>
        </w:rPr>
        <w:t xml:space="preserve">XXX </w:t>
      </w:r>
      <w:r w:rsidRPr="0066699A">
        <w:rPr>
          <w:szCs w:val="24"/>
          <w:highlight w:val="green"/>
        </w:rPr>
        <w:t>201</w:t>
      </w:r>
      <w:r w:rsidR="00375CCF">
        <w:rPr>
          <w:szCs w:val="24"/>
          <w:highlight w:val="green"/>
        </w:rPr>
        <w:t>9</w:t>
      </w:r>
    </w:p>
    <w:p w:rsidR="004B69AB" w:rsidRDefault="00125A85" w:rsidP="004B0BEC">
      <w:pPr>
        <w:spacing w:before="0" w:line="252" w:lineRule="auto"/>
        <w:rPr>
          <w:rFonts w:asciiTheme="minorHAnsi" w:hAnsiTheme="minorHAnsi" w:cstheme="minorHAnsi"/>
          <w:szCs w:val="24"/>
        </w:rPr>
        <w:sectPr w:rsidR="004B69AB" w:rsidSect="00023A5A">
          <w:headerReference w:type="even" r:id="rId15"/>
          <w:headerReference w:type="default" r:id="rId16"/>
          <w:headerReference w:type="first" r:id="rId17"/>
          <w:endnotePr>
            <w:numFmt w:val="decimal"/>
          </w:endnotePr>
          <w:pgSz w:w="12240" w:h="15840" w:code="1"/>
          <w:pgMar w:top="1440" w:right="1440" w:bottom="1440" w:left="1440" w:header="1296" w:footer="1296" w:gutter="0"/>
          <w:pgNumType w:fmt="lowerRoman" w:start="1"/>
          <w:cols w:space="720"/>
          <w:noEndnote/>
          <w:titlePg/>
          <w:docGrid w:linePitch="360"/>
        </w:sectPr>
      </w:pPr>
      <w:r w:rsidRPr="0066699A">
        <w:rPr>
          <w:szCs w:val="24"/>
        </w:rPr>
        <w:t>All rights reserved</w:t>
      </w:r>
    </w:p>
    <w:sdt>
      <w:sdtPr>
        <w:rPr>
          <w:rFonts w:ascii="Times New Roman" w:eastAsia="Times New Roman" w:hAnsi="Times New Roman" w:cs="Times New Roman"/>
          <w:b w:val="0"/>
          <w:bCs w:val="0"/>
          <w:color w:val="auto"/>
          <w:sz w:val="24"/>
          <w:szCs w:val="20"/>
        </w:rPr>
        <w:id w:val="148021722"/>
        <w:docPartObj>
          <w:docPartGallery w:val="Table of Contents"/>
          <w:docPartUnique/>
        </w:docPartObj>
      </w:sdtPr>
      <w:sdtEndPr/>
      <w:sdtContent>
        <w:p w:rsidR="0026072F" w:rsidRDefault="00E128FC" w:rsidP="0026072F">
          <w:pPr>
            <w:pStyle w:val="TOCHeading"/>
            <w:jc w:val="center"/>
            <w:rPr>
              <w:rFonts w:ascii="Times New Roman" w:hAnsi="Times New Roman" w:cs="Times New Roman"/>
              <w:color w:val="000000" w:themeColor="text1"/>
              <w:u w:val="single"/>
            </w:rPr>
          </w:pPr>
          <w:r w:rsidRPr="00E128FC">
            <w:rPr>
              <w:rFonts w:ascii="Times New Roman" w:hAnsi="Times New Roman" w:cs="Times New Roman"/>
              <w:color w:val="000000" w:themeColor="text1"/>
              <w:u w:val="single"/>
            </w:rPr>
            <w:t>TABLE OF CONTENTS</w:t>
          </w:r>
        </w:p>
        <w:p w:rsidR="00E128FC" w:rsidRPr="00E128FC" w:rsidRDefault="00E128FC" w:rsidP="00E128FC"/>
        <w:p w:rsidR="0026072F" w:rsidRPr="0026072F" w:rsidRDefault="0026072F">
          <w:pPr>
            <w:pStyle w:val="TOC1"/>
          </w:pPr>
          <w:r w:rsidRPr="0026072F">
            <w:rPr>
              <w:bCs/>
            </w:rPr>
            <w:t>COMMON ABBREVIATIONS AND DEFINED TERMS</w:t>
          </w:r>
          <w:r w:rsidRPr="0026072F">
            <w:rPr>
              <w:b w:val="0"/>
            </w:rPr>
            <w:ptab w:relativeTo="margin" w:alignment="right" w:leader="dot"/>
          </w:r>
          <w:r w:rsidRPr="00E128FC">
            <w:rPr>
              <w:bCs/>
            </w:rPr>
            <w:t>1</w:t>
          </w:r>
        </w:p>
        <w:p w:rsidR="0026072F" w:rsidRDefault="0026072F" w:rsidP="0026072F">
          <w:pPr>
            <w:pStyle w:val="TOC2"/>
            <w:numPr>
              <w:ilvl w:val="0"/>
              <w:numId w:val="46"/>
            </w:numPr>
          </w:pPr>
          <w:r>
            <w:rPr>
              <w:b/>
            </w:rPr>
            <w:t>INTRODUCTION</w:t>
          </w:r>
          <w:r>
            <w:ptab w:relativeTo="margin" w:alignment="right" w:leader="dot"/>
          </w:r>
          <w:r w:rsidR="00FC7063">
            <w:t>4</w:t>
          </w:r>
        </w:p>
        <w:p w:rsidR="0026072F" w:rsidRDefault="0026072F" w:rsidP="0026072F">
          <w:pPr>
            <w:pStyle w:val="TOC3"/>
            <w:ind w:left="630" w:hanging="90"/>
            <w:rPr>
              <w:i w:val="0"/>
            </w:rPr>
          </w:pPr>
          <w:r w:rsidRPr="00E42551">
            <w:rPr>
              <w:b/>
              <w:i w:val="0"/>
            </w:rPr>
            <w:t>PURPOSE</w:t>
          </w:r>
          <w:r>
            <w:ptab w:relativeTo="margin" w:alignment="right" w:leader="dot"/>
          </w:r>
          <w:r w:rsidR="00FC7063">
            <w:rPr>
              <w:i w:val="0"/>
            </w:rPr>
            <w:t>4</w:t>
          </w:r>
        </w:p>
        <w:p w:rsidR="00FC7063" w:rsidRDefault="00FC7063" w:rsidP="00FC7063">
          <w:pPr>
            <w:pStyle w:val="TOC3"/>
            <w:ind w:left="630" w:hanging="90"/>
            <w:rPr>
              <w:i w:val="0"/>
            </w:rPr>
          </w:pPr>
          <w:r w:rsidRPr="00E42551">
            <w:rPr>
              <w:b/>
              <w:i w:val="0"/>
            </w:rPr>
            <w:t>PROCUREMENT</w:t>
          </w:r>
          <w:r w:rsidR="006D6C74" w:rsidRPr="00E42551">
            <w:rPr>
              <w:b/>
              <w:i w:val="0"/>
            </w:rPr>
            <w:t xml:space="preserve"> FRAMEWORK</w:t>
          </w:r>
          <w:r w:rsidR="006D6C74">
            <w:t xml:space="preserve"> </w:t>
          </w:r>
          <w:r>
            <w:ptab w:relativeTo="margin" w:alignment="right" w:leader="dot"/>
          </w:r>
          <w:r>
            <w:rPr>
              <w:i w:val="0"/>
            </w:rPr>
            <w:t>4</w:t>
          </w:r>
        </w:p>
        <w:p w:rsidR="00FC7063" w:rsidRDefault="00FC7063" w:rsidP="00FC7063">
          <w:pPr>
            <w:pStyle w:val="TOC3"/>
            <w:ind w:left="630" w:hanging="90"/>
            <w:rPr>
              <w:i w:val="0"/>
            </w:rPr>
          </w:pPr>
          <w:r w:rsidRPr="00E42551">
            <w:rPr>
              <w:b/>
              <w:i w:val="0"/>
            </w:rPr>
            <w:t>APPLICABILITY</w:t>
          </w:r>
          <w:r>
            <w:ptab w:relativeTo="margin" w:alignment="right" w:leader="dot"/>
          </w:r>
          <w:r>
            <w:rPr>
              <w:i w:val="0"/>
            </w:rPr>
            <w:t>4</w:t>
          </w:r>
        </w:p>
        <w:p w:rsidR="00FC7063" w:rsidRPr="00FC7063" w:rsidRDefault="00FC7063" w:rsidP="00FC7063"/>
        <w:p w:rsidR="0026072F" w:rsidRPr="00FC7063" w:rsidRDefault="00FC7063" w:rsidP="00E42551">
          <w:pPr>
            <w:pStyle w:val="TOC2"/>
            <w:numPr>
              <w:ilvl w:val="0"/>
              <w:numId w:val="46"/>
            </w:numPr>
            <w:ind w:left="540" w:hanging="324"/>
          </w:pPr>
          <w:r w:rsidRPr="00FC7063">
            <w:rPr>
              <w:b/>
              <w:bCs/>
            </w:rPr>
            <w:t>ROLES AND RESPONSIBILITIES</w:t>
          </w:r>
          <w:r w:rsidR="0026072F" w:rsidRPr="00FC7063">
            <w:rPr>
              <w:b/>
            </w:rPr>
            <w:ptab w:relativeTo="margin" w:alignment="right" w:leader="dot"/>
          </w:r>
          <w:r w:rsidR="006D6C74">
            <w:rPr>
              <w:b/>
            </w:rPr>
            <w:t>5</w:t>
          </w:r>
        </w:p>
        <w:p w:rsidR="0026072F" w:rsidRDefault="003D2D43" w:rsidP="003D2D43">
          <w:pPr>
            <w:pStyle w:val="TOC2"/>
            <w:ind w:left="216" w:firstLine="324"/>
          </w:pPr>
          <w:r w:rsidRPr="00E42551">
            <w:rPr>
              <w:b/>
            </w:rPr>
            <w:t>FINANCING</w:t>
          </w:r>
          <w:r w:rsidR="006D6C74" w:rsidRPr="00E42551">
            <w:rPr>
              <w:b/>
            </w:rPr>
            <w:t xml:space="preserve"> AGREEMENT</w:t>
          </w:r>
          <w:r w:rsidR="0026072F">
            <w:ptab w:relativeTo="margin" w:alignment="right" w:leader="dot"/>
          </w:r>
          <w:r w:rsidR="0026072F">
            <w:t>5</w:t>
          </w:r>
        </w:p>
        <w:p w:rsidR="003D2D43" w:rsidRDefault="003D2D43" w:rsidP="003D2D43">
          <w:pPr>
            <w:pStyle w:val="TOC2"/>
            <w:ind w:left="630" w:hanging="90"/>
          </w:pPr>
          <w:r w:rsidRPr="00E42551">
            <w:rPr>
              <w:b/>
            </w:rPr>
            <w:t>RECIPIENT’S</w:t>
          </w:r>
          <w:r>
            <w:t xml:space="preserve"> </w:t>
          </w:r>
          <w:r w:rsidRPr="00E42551">
            <w:rPr>
              <w:b/>
            </w:rPr>
            <w:t>ROLE</w:t>
          </w:r>
          <w:r>
            <w:ptab w:relativeTo="margin" w:alignment="right" w:leader="dot"/>
          </w:r>
          <w:r>
            <w:t>5</w:t>
          </w:r>
        </w:p>
        <w:p w:rsidR="003D2D43" w:rsidRDefault="003D2D43" w:rsidP="003D2D43">
          <w:pPr>
            <w:pStyle w:val="TOC2"/>
            <w:ind w:left="216" w:firstLine="324"/>
          </w:pPr>
          <w:r w:rsidRPr="00E42551">
            <w:rPr>
              <w:b/>
            </w:rPr>
            <w:t>CDB’S ROLE</w:t>
          </w:r>
          <w:r>
            <w:ptab w:relativeTo="margin" w:alignment="right" w:leader="dot"/>
          </w:r>
          <w:r>
            <w:t>5</w:t>
          </w:r>
        </w:p>
        <w:p w:rsidR="003D2D43" w:rsidRDefault="003D2D43" w:rsidP="003D2D43"/>
        <w:p w:rsidR="003D2D43" w:rsidRPr="00254B83" w:rsidRDefault="00254B83" w:rsidP="003D2D43">
          <w:pPr>
            <w:pStyle w:val="TOC2"/>
            <w:numPr>
              <w:ilvl w:val="0"/>
              <w:numId w:val="46"/>
            </w:numPr>
            <w:rPr>
              <w:bCs/>
            </w:rPr>
          </w:pPr>
          <w:r w:rsidRPr="00254B83">
            <w:rPr>
              <w:b/>
              <w:bCs/>
            </w:rPr>
            <w:t>CORE PROCUREMENT PRINCIPLES</w:t>
          </w:r>
          <w:r w:rsidR="003D2D43" w:rsidRPr="00254B83">
            <w:rPr>
              <w:b/>
            </w:rPr>
            <w:ptab w:relativeTo="margin" w:alignment="right" w:leader="dot"/>
          </w:r>
          <w:r w:rsidRPr="00E128FC">
            <w:rPr>
              <w:b/>
              <w:bCs/>
            </w:rPr>
            <w:t>5</w:t>
          </w:r>
        </w:p>
        <w:p w:rsidR="00254B83" w:rsidRPr="00254B83" w:rsidRDefault="00254B83" w:rsidP="00254B83">
          <w:pPr>
            <w:rPr>
              <w:highlight w:val="yellow"/>
            </w:rPr>
          </w:pPr>
        </w:p>
        <w:p w:rsidR="00254B83" w:rsidRPr="00254B83" w:rsidRDefault="00254B83" w:rsidP="00254B83">
          <w:pPr>
            <w:pStyle w:val="TOC2"/>
            <w:numPr>
              <w:ilvl w:val="0"/>
              <w:numId w:val="46"/>
            </w:numPr>
          </w:pPr>
          <w:r w:rsidRPr="00254B83">
            <w:rPr>
              <w:b/>
              <w:bCs/>
            </w:rPr>
            <w:t>ELIGIBILITY</w:t>
          </w:r>
          <w:r w:rsidRPr="00254B83">
            <w:rPr>
              <w:b/>
            </w:rPr>
            <w:ptab w:relativeTo="margin" w:alignment="right" w:leader="dot"/>
          </w:r>
          <w:r w:rsidRPr="00E128FC">
            <w:rPr>
              <w:b/>
              <w:bCs/>
            </w:rPr>
            <w:t>6</w:t>
          </w:r>
        </w:p>
        <w:p w:rsidR="00254B83" w:rsidRPr="00254B83" w:rsidRDefault="00254B83" w:rsidP="00254B83">
          <w:pPr>
            <w:pStyle w:val="TOC2"/>
            <w:ind w:left="216" w:firstLine="324"/>
          </w:pPr>
          <w:r w:rsidRPr="00E42551">
            <w:rPr>
              <w:b/>
            </w:rPr>
            <w:t>ELIGIBLE BIDDGERS/PROPOSERS</w:t>
          </w:r>
          <w:r w:rsidRPr="00254B83">
            <w:ptab w:relativeTo="margin" w:alignment="right" w:leader="dot"/>
          </w:r>
          <w:r w:rsidRPr="00254B83">
            <w:t>6</w:t>
          </w:r>
        </w:p>
        <w:p w:rsidR="00254B83" w:rsidRPr="00254B83" w:rsidRDefault="00254B83" w:rsidP="00254B83">
          <w:pPr>
            <w:rPr>
              <w:highlight w:val="yellow"/>
            </w:rPr>
          </w:pPr>
        </w:p>
        <w:p w:rsidR="00254B83" w:rsidRPr="00953E2B" w:rsidRDefault="00254B83" w:rsidP="00254B83">
          <w:pPr>
            <w:pStyle w:val="TOC2"/>
            <w:numPr>
              <w:ilvl w:val="0"/>
              <w:numId w:val="46"/>
            </w:numPr>
          </w:pPr>
          <w:r w:rsidRPr="00953E2B">
            <w:rPr>
              <w:b/>
              <w:bCs/>
            </w:rPr>
            <w:t>PROHIBITED PRACTICES, CONFLICTS OF INTEREST AND NON-COMPLIANCE</w:t>
          </w:r>
          <w:r w:rsidRPr="00953E2B">
            <w:rPr>
              <w:b/>
            </w:rPr>
            <w:ptab w:relativeTo="margin" w:alignment="right" w:leader="dot"/>
          </w:r>
          <w:r w:rsidRPr="00E128FC">
            <w:rPr>
              <w:b/>
              <w:bCs/>
            </w:rPr>
            <w:t>7</w:t>
          </w:r>
        </w:p>
        <w:p w:rsidR="00254B83" w:rsidRPr="00953E2B" w:rsidRDefault="00254B83" w:rsidP="00254B83">
          <w:pPr>
            <w:pStyle w:val="TOC2"/>
            <w:ind w:left="216" w:firstLine="324"/>
          </w:pPr>
          <w:r w:rsidRPr="00E42551">
            <w:rPr>
              <w:b/>
            </w:rPr>
            <w:t>PROHIBITED</w:t>
          </w:r>
          <w:r w:rsidRPr="00953E2B">
            <w:t xml:space="preserve"> </w:t>
          </w:r>
          <w:r w:rsidRPr="00E42551">
            <w:rPr>
              <w:b/>
            </w:rPr>
            <w:t>PRACTICES</w:t>
          </w:r>
          <w:r w:rsidRPr="00953E2B">
            <w:ptab w:relativeTo="margin" w:alignment="right" w:leader="dot"/>
          </w:r>
          <w:r w:rsidRPr="00953E2B">
            <w:t>7</w:t>
          </w:r>
        </w:p>
        <w:p w:rsidR="00254B83" w:rsidRPr="00953E2B" w:rsidRDefault="00254B83" w:rsidP="00254B83">
          <w:pPr>
            <w:pStyle w:val="TOC2"/>
            <w:ind w:left="630" w:hanging="90"/>
          </w:pPr>
          <w:r w:rsidRPr="00953E2B">
            <w:t>Scope and Definitions</w:t>
          </w:r>
          <w:r w:rsidRPr="00953E2B">
            <w:ptab w:relativeTo="margin" w:alignment="right" w:leader="dot"/>
          </w:r>
          <w:r w:rsidRPr="00953E2B">
            <w:t>7</w:t>
          </w:r>
        </w:p>
        <w:p w:rsidR="00254B83" w:rsidRPr="00953E2B" w:rsidRDefault="00254B83" w:rsidP="00254B83">
          <w:pPr>
            <w:pStyle w:val="TOC2"/>
            <w:ind w:left="216" w:firstLine="324"/>
          </w:pPr>
          <w:r w:rsidRPr="00953E2B">
            <w:t>Sanctions</w:t>
          </w:r>
          <w:r w:rsidRPr="00953E2B">
            <w:ptab w:relativeTo="margin" w:alignment="right" w:leader="dot"/>
          </w:r>
          <w:r w:rsidRPr="00953E2B">
            <w:t>7</w:t>
          </w:r>
        </w:p>
        <w:p w:rsidR="00254B83" w:rsidRPr="00953E2B" w:rsidRDefault="00254B83" w:rsidP="00254B83">
          <w:pPr>
            <w:pStyle w:val="TOC2"/>
            <w:ind w:left="216" w:firstLine="324"/>
          </w:pPr>
          <w:r w:rsidRPr="00953E2B">
            <w:t>Regional and International Organisations</w:t>
          </w:r>
          <w:r w:rsidRPr="00953E2B">
            <w:ptab w:relativeTo="margin" w:alignment="right" w:leader="dot"/>
          </w:r>
          <w:r w:rsidR="00953E2B" w:rsidRPr="00953E2B">
            <w:t>7</w:t>
          </w:r>
        </w:p>
        <w:p w:rsidR="00953E2B" w:rsidRPr="00953E2B" w:rsidRDefault="00953E2B" w:rsidP="00953E2B">
          <w:pPr>
            <w:pStyle w:val="TOC2"/>
            <w:ind w:left="216" w:firstLine="324"/>
          </w:pPr>
          <w:r w:rsidRPr="00953E2B">
            <w:rPr>
              <w:b/>
            </w:rPr>
            <w:t>CONFLICTS OF INTEREST</w:t>
          </w:r>
          <w:r w:rsidRPr="00953E2B">
            <w:ptab w:relativeTo="margin" w:alignment="right" w:leader="dot"/>
          </w:r>
          <w:r w:rsidRPr="00953E2B">
            <w:t>7</w:t>
          </w:r>
        </w:p>
        <w:p w:rsidR="00254B83" w:rsidRDefault="00953E2B" w:rsidP="00953E2B">
          <w:pPr>
            <w:spacing w:before="0"/>
            <w:ind w:firstLine="540"/>
          </w:pPr>
          <w:r w:rsidRPr="00953E2B">
            <w:rPr>
              <w:b/>
            </w:rPr>
            <w:t>NON-COMPLIANCE</w:t>
          </w:r>
          <w:r w:rsidRPr="00953E2B">
            <w:ptab w:relativeTo="margin" w:alignment="right" w:leader="dot"/>
          </w:r>
          <w:r w:rsidRPr="00953E2B">
            <w:t>7</w:t>
          </w:r>
        </w:p>
        <w:p w:rsidR="00953E2B" w:rsidRDefault="00953E2B" w:rsidP="00953E2B">
          <w:pPr>
            <w:spacing w:before="0"/>
            <w:ind w:firstLine="540"/>
          </w:pPr>
        </w:p>
        <w:p w:rsidR="00953E2B" w:rsidRPr="00FC7063" w:rsidRDefault="00953E2B" w:rsidP="00953E2B">
          <w:pPr>
            <w:pStyle w:val="TOC2"/>
            <w:numPr>
              <w:ilvl w:val="0"/>
              <w:numId w:val="46"/>
            </w:numPr>
          </w:pPr>
          <w:r>
            <w:rPr>
              <w:b/>
              <w:bCs/>
            </w:rPr>
            <w:t>PROCUREMENT PLANNING</w:t>
          </w:r>
          <w:r w:rsidRPr="00FC7063">
            <w:rPr>
              <w:b/>
            </w:rPr>
            <w:ptab w:relativeTo="margin" w:alignment="right" w:leader="dot"/>
          </w:r>
          <w:r w:rsidRPr="00E128FC">
            <w:rPr>
              <w:b/>
            </w:rPr>
            <w:t>8</w:t>
          </w:r>
        </w:p>
        <w:p w:rsidR="00953E2B" w:rsidRDefault="00953E2B" w:rsidP="00953E2B">
          <w:pPr>
            <w:pStyle w:val="TOC2"/>
            <w:ind w:left="216" w:firstLine="324"/>
          </w:pPr>
          <w:r w:rsidRPr="00E42551">
            <w:rPr>
              <w:b/>
            </w:rPr>
            <w:t>PROCUREMENT PLAN AND</w:t>
          </w:r>
          <w:r>
            <w:t xml:space="preserve"> </w:t>
          </w:r>
          <w:r w:rsidRPr="00E42551">
            <w:rPr>
              <w:b/>
            </w:rPr>
            <w:t>PROCUREMENT STRATEGY</w:t>
          </w:r>
          <w:r>
            <w:ptab w:relativeTo="margin" w:alignment="right" w:leader="dot"/>
          </w:r>
          <w:r>
            <w:t>8</w:t>
          </w:r>
        </w:p>
        <w:p w:rsidR="00E455CF" w:rsidRPr="00E455CF" w:rsidRDefault="00E455CF" w:rsidP="00E455CF"/>
        <w:p w:rsidR="00E455CF" w:rsidRPr="00FC7063" w:rsidRDefault="00E455CF" w:rsidP="00E455CF">
          <w:pPr>
            <w:pStyle w:val="TOC2"/>
            <w:numPr>
              <w:ilvl w:val="0"/>
              <w:numId w:val="46"/>
            </w:numPr>
          </w:pPr>
          <w:r>
            <w:rPr>
              <w:b/>
              <w:bCs/>
            </w:rPr>
            <w:t>PROCUREMENT UNDER PRIVATE SECTOR OPERATIONS</w:t>
          </w:r>
          <w:r w:rsidRPr="00FC7063">
            <w:rPr>
              <w:b/>
            </w:rPr>
            <w:ptab w:relativeTo="margin" w:alignment="right" w:leader="dot"/>
          </w:r>
          <w:r w:rsidRPr="00E128FC">
            <w:rPr>
              <w:b/>
            </w:rPr>
            <w:t>8</w:t>
          </w:r>
        </w:p>
        <w:p w:rsidR="00E455CF" w:rsidRDefault="00E455CF" w:rsidP="00E455CF">
          <w:pPr>
            <w:pStyle w:val="TOC2"/>
            <w:ind w:left="216" w:firstLine="324"/>
          </w:pPr>
          <w:r w:rsidRPr="00E42551">
            <w:rPr>
              <w:b/>
            </w:rPr>
            <w:t>PRIVATE SECTOR</w:t>
          </w:r>
          <w:r>
            <w:t xml:space="preserve"> </w:t>
          </w:r>
          <w:r w:rsidRPr="00E42551">
            <w:rPr>
              <w:b/>
            </w:rPr>
            <w:t>FINANCING</w:t>
          </w:r>
          <w:r>
            <w:ptab w:relativeTo="margin" w:alignment="right" w:leader="dot"/>
          </w:r>
          <w:r>
            <w:t>8</w:t>
          </w:r>
        </w:p>
        <w:p w:rsidR="00953E2B" w:rsidRDefault="00953E2B" w:rsidP="00953E2B">
          <w:pPr>
            <w:pStyle w:val="TOC2"/>
            <w:ind w:left="216" w:firstLine="324"/>
          </w:pPr>
        </w:p>
        <w:p w:rsidR="00E455CF" w:rsidRDefault="00E455CF" w:rsidP="00E455CF">
          <w:pPr>
            <w:pStyle w:val="TOC2"/>
            <w:numPr>
              <w:ilvl w:val="0"/>
              <w:numId w:val="46"/>
            </w:numPr>
          </w:pPr>
          <w:r>
            <w:rPr>
              <w:b/>
              <w:bCs/>
            </w:rPr>
            <w:t>ALTERNATIVE PROCUREMENT ARRANGEMENTS</w:t>
          </w:r>
          <w:r w:rsidRPr="00FC7063">
            <w:rPr>
              <w:b/>
            </w:rPr>
            <w:ptab w:relativeTo="margin" w:alignment="right" w:leader="dot"/>
          </w:r>
          <w:r w:rsidRPr="00E128FC">
            <w:rPr>
              <w:b/>
            </w:rPr>
            <w:t>8</w:t>
          </w:r>
        </w:p>
        <w:p w:rsidR="00953E2B" w:rsidRDefault="00953E2B" w:rsidP="00953E2B">
          <w:pPr>
            <w:spacing w:before="0"/>
            <w:ind w:firstLine="540"/>
          </w:pPr>
        </w:p>
        <w:p w:rsidR="00953E2B" w:rsidRPr="00254B83" w:rsidRDefault="00E455CF" w:rsidP="00E455CF">
          <w:pPr>
            <w:pStyle w:val="TOC2"/>
            <w:numPr>
              <w:ilvl w:val="0"/>
              <w:numId w:val="46"/>
            </w:numPr>
          </w:pPr>
          <w:r>
            <w:rPr>
              <w:b/>
              <w:bCs/>
            </w:rPr>
            <w:t>INTERPRETATION AND MODIFICATION OF THE POLICY</w:t>
          </w:r>
          <w:r w:rsidRPr="00FC7063">
            <w:rPr>
              <w:b/>
            </w:rPr>
            <w:ptab w:relativeTo="margin" w:alignment="right" w:leader="dot"/>
          </w:r>
          <w:r w:rsidRPr="00E128FC">
            <w:rPr>
              <w:b/>
            </w:rPr>
            <w:t>9</w:t>
          </w:r>
        </w:p>
        <w:p w:rsidR="003D2D43" w:rsidRPr="003D2D43" w:rsidRDefault="003D2D43" w:rsidP="003D2D43"/>
        <w:p w:rsidR="003D2D43" w:rsidRPr="00E455CF" w:rsidRDefault="003D2D43">
          <w:pPr>
            <w:pStyle w:val="TOC3"/>
            <w:ind w:left="446"/>
            <w:rPr>
              <w:i w:val="0"/>
            </w:rPr>
          </w:pPr>
        </w:p>
        <w:p w:rsidR="0026072F" w:rsidRPr="003D2D43" w:rsidRDefault="002423E5" w:rsidP="003D2D43"/>
      </w:sdtContent>
    </w:sdt>
    <w:p w:rsidR="004D378B" w:rsidRDefault="004D378B" w:rsidP="0066003E">
      <w:pPr>
        <w:spacing w:before="0"/>
        <w:ind w:left="360" w:hanging="360"/>
        <w:rPr>
          <w:rFonts w:asciiTheme="minorHAnsi" w:hAnsiTheme="minorHAnsi" w:cstheme="minorHAnsi"/>
          <w:b/>
          <w:szCs w:val="24"/>
        </w:rPr>
        <w:sectPr w:rsidR="004D378B" w:rsidSect="001A7A7C">
          <w:headerReference w:type="even" r:id="rId18"/>
          <w:headerReference w:type="default" r:id="rId19"/>
          <w:headerReference w:type="first" r:id="rId20"/>
          <w:endnotePr>
            <w:numFmt w:val="decimal"/>
          </w:endnotePr>
          <w:pgSz w:w="12240" w:h="15840" w:code="1"/>
          <w:pgMar w:top="1440" w:right="1440" w:bottom="1440" w:left="1440" w:header="720" w:footer="720" w:gutter="0"/>
          <w:pgNumType w:fmt="lowerRoman" w:start="1"/>
          <w:cols w:space="720"/>
          <w:noEndnote/>
          <w:docGrid w:linePitch="360"/>
        </w:sectPr>
      </w:pPr>
    </w:p>
    <w:p w:rsidR="0073744C" w:rsidRPr="00242505" w:rsidRDefault="004B0BEC" w:rsidP="0054088C">
      <w:pPr>
        <w:pStyle w:val="Heading1"/>
        <w:rPr>
          <w:sz w:val="24"/>
          <w:szCs w:val="24"/>
          <w:u w:val="single"/>
          <w:lang w:val="en-US"/>
        </w:rPr>
      </w:pPr>
      <w:bookmarkStart w:id="2" w:name="_Toc527715672"/>
      <w:r w:rsidRPr="00242505">
        <w:rPr>
          <w:sz w:val="24"/>
          <w:szCs w:val="24"/>
          <w:u w:val="single"/>
          <w:lang w:val="en-US"/>
        </w:rPr>
        <w:lastRenderedPageBreak/>
        <w:t xml:space="preserve">COMMON </w:t>
      </w:r>
      <w:r w:rsidR="009A569B" w:rsidRPr="00242505">
        <w:rPr>
          <w:sz w:val="24"/>
          <w:szCs w:val="24"/>
          <w:u w:val="single"/>
          <w:lang w:val="en-US"/>
        </w:rPr>
        <w:t>ABBREVIATIONS</w:t>
      </w:r>
      <w:r w:rsidRPr="00242505">
        <w:rPr>
          <w:sz w:val="24"/>
          <w:szCs w:val="24"/>
          <w:u w:val="single"/>
          <w:lang w:val="en-US"/>
        </w:rPr>
        <w:t xml:space="preserve"> </w:t>
      </w:r>
      <w:r w:rsidR="00F16621" w:rsidRPr="00242505">
        <w:rPr>
          <w:sz w:val="24"/>
          <w:szCs w:val="24"/>
          <w:u w:val="single"/>
          <w:lang w:val="en-US"/>
        </w:rPr>
        <w:t>AND DEFINED TERMS</w:t>
      </w:r>
      <w:bookmarkEnd w:id="2"/>
    </w:p>
    <w:p w:rsidR="004342C5" w:rsidRPr="00EF6369" w:rsidRDefault="004B0BEC" w:rsidP="004342C5">
      <w:pPr>
        <w:spacing w:after="240"/>
        <w:jc w:val="both"/>
        <w:rPr>
          <w:szCs w:val="24"/>
        </w:rPr>
      </w:pPr>
      <w:r w:rsidRPr="00242505">
        <w:rPr>
          <w:szCs w:val="24"/>
        </w:rPr>
        <w:t xml:space="preserve">Common abbreviations </w:t>
      </w:r>
      <w:r w:rsidR="004342C5" w:rsidRPr="00242505">
        <w:rPr>
          <w:szCs w:val="24"/>
        </w:rPr>
        <w:t>and defined terms used in this Procurement Policy. Defined terms are</w:t>
      </w:r>
      <w:r w:rsidR="00275903" w:rsidRPr="00242505">
        <w:rPr>
          <w:szCs w:val="24"/>
        </w:rPr>
        <w:t xml:space="preserve"> </w:t>
      </w:r>
      <w:r w:rsidR="004342C5" w:rsidRPr="00242505">
        <w:rPr>
          <w:szCs w:val="24"/>
        </w:rPr>
        <w:t>written using capital letters.</w:t>
      </w:r>
    </w:p>
    <w:tbl>
      <w:tblPr>
        <w:tblStyle w:val="TableGrid"/>
        <w:tblW w:w="0" w:type="auto"/>
        <w:tblLook w:val="04A0" w:firstRow="1" w:lastRow="0" w:firstColumn="1" w:lastColumn="0" w:noHBand="0" w:noVBand="1"/>
      </w:tblPr>
      <w:tblGrid>
        <w:gridCol w:w="3685"/>
        <w:gridCol w:w="5665"/>
      </w:tblGrid>
      <w:tr w:rsidR="00F16621" w:rsidRPr="00EF6369" w:rsidTr="00242505">
        <w:trPr>
          <w:tblHeader/>
        </w:trPr>
        <w:tc>
          <w:tcPr>
            <w:tcW w:w="3685" w:type="dxa"/>
            <w:shd w:val="clear" w:color="auto" w:fill="F2F2F2" w:themeFill="background1" w:themeFillShade="F2"/>
          </w:tcPr>
          <w:p w:rsidR="00F16621" w:rsidRPr="00EF6369" w:rsidRDefault="00F16621" w:rsidP="002154D9">
            <w:pPr>
              <w:rPr>
                <w:b/>
                <w:bCs/>
                <w:color w:val="000000"/>
                <w:szCs w:val="24"/>
              </w:rPr>
            </w:pPr>
            <w:r w:rsidRPr="00EF6369">
              <w:rPr>
                <w:b/>
                <w:bCs/>
                <w:color w:val="000000"/>
                <w:szCs w:val="24"/>
              </w:rPr>
              <w:t>TERM</w:t>
            </w:r>
          </w:p>
        </w:tc>
        <w:tc>
          <w:tcPr>
            <w:tcW w:w="5665" w:type="dxa"/>
            <w:shd w:val="clear" w:color="auto" w:fill="F2F2F2" w:themeFill="background1" w:themeFillShade="F2"/>
          </w:tcPr>
          <w:p w:rsidR="00F16621" w:rsidRPr="00EF6369" w:rsidRDefault="00F16621" w:rsidP="00B6124C">
            <w:pPr>
              <w:spacing w:after="120"/>
              <w:jc w:val="both"/>
              <w:rPr>
                <w:b/>
                <w:szCs w:val="24"/>
              </w:rPr>
            </w:pPr>
            <w:r w:rsidRPr="00EF6369">
              <w:rPr>
                <w:b/>
                <w:szCs w:val="24"/>
              </w:rPr>
              <w:t>DEFINITION / TERMINOLOGY</w:t>
            </w:r>
          </w:p>
        </w:tc>
      </w:tr>
      <w:tr w:rsidR="00DA6B0E" w:rsidRPr="00EF6369" w:rsidTr="00242505">
        <w:tc>
          <w:tcPr>
            <w:tcW w:w="3685" w:type="dxa"/>
            <w:shd w:val="clear" w:color="auto" w:fill="FFFFFF" w:themeFill="background1"/>
          </w:tcPr>
          <w:p w:rsidR="00DA6B0E" w:rsidRPr="00EF6369" w:rsidRDefault="00DA6B0E" w:rsidP="00E51B8E">
            <w:pPr>
              <w:spacing w:before="40" w:after="40"/>
              <w:rPr>
                <w:b/>
                <w:bCs/>
                <w:color w:val="000000"/>
                <w:szCs w:val="24"/>
              </w:rPr>
            </w:pPr>
            <w:r>
              <w:rPr>
                <w:b/>
                <w:bCs/>
                <w:color w:val="000000"/>
                <w:szCs w:val="24"/>
              </w:rPr>
              <w:t>APA</w:t>
            </w:r>
          </w:p>
        </w:tc>
        <w:tc>
          <w:tcPr>
            <w:tcW w:w="5665" w:type="dxa"/>
            <w:shd w:val="clear" w:color="auto" w:fill="FFFFFF" w:themeFill="background1"/>
          </w:tcPr>
          <w:p w:rsidR="00DA6B0E" w:rsidRPr="00EF6369" w:rsidRDefault="00DA6B0E" w:rsidP="00E51B8E">
            <w:pPr>
              <w:spacing w:before="40" w:after="40"/>
              <w:jc w:val="both"/>
              <w:rPr>
                <w:bCs/>
                <w:color w:val="000000"/>
                <w:szCs w:val="24"/>
              </w:rPr>
            </w:pPr>
            <w:r w:rsidRPr="00DA6B0E">
              <w:rPr>
                <w:bCs/>
                <w:color w:val="000000"/>
                <w:szCs w:val="24"/>
              </w:rPr>
              <w:t>Alternative Procurement Arrangements</w:t>
            </w:r>
            <w:r w:rsidR="00F20FC4">
              <w:rPr>
                <w:bCs/>
                <w:color w:val="000000"/>
                <w:szCs w:val="24"/>
              </w:rPr>
              <w:t>.</w:t>
            </w:r>
          </w:p>
        </w:tc>
      </w:tr>
      <w:tr w:rsidR="004342C5" w:rsidRPr="00EF6369" w:rsidTr="00242505">
        <w:tc>
          <w:tcPr>
            <w:tcW w:w="3685" w:type="dxa"/>
            <w:shd w:val="clear" w:color="auto" w:fill="FFFFFF" w:themeFill="background1"/>
          </w:tcPr>
          <w:p w:rsidR="004342C5" w:rsidRPr="00EF6369" w:rsidRDefault="004342C5" w:rsidP="00E51B8E">
            <w:pPr>
              <w:spacing w:before="40" w:after="40"/>
              <w:rPr>
                <w:b/>
                <w:bCs/>
                <w:color w:val="000000"/>
                <w:szCs w:val="24"/>
              </w:rPr>
            </w:pPr>
            <w:r w:rsidRPr="00EF6369">
              <w:rPr>
                <w:b/>
                <w:bCs/>
                <w:color w:val="000000"/>
                <w:szCs w:val="24"/>
              </w:rPr>
              <w:t>Bid</w:t>
            </w:r>
          </w:p>
        </w:tc>
        <w:tc>
          <w:tcPr>
            <w:tcW w:w="5665" w:type="dxa"/>
            <w:shd w:val="clear" w:color="auto" w:fill="FFFFFF" w:themeFill="background1"/>
          </w:tcPr>
          <w:p w:rsidR="004342C5" w:rsidRPr="00EF6369" w:rsidRDefault="004342C5" w:rsidP="00E51B8E">
            <w:pPr>
              <w:spacing w:before="40" w:after="40"/>
              <w:jc w:val="both"/>
              <w:rPr>
                <w:b/>
                <w:szCs w:val="24"/>
              </w:rPr>
            </w:pPr>
            <w:r w:rsidRPr="00EF6369">
              <w:rPr>
                <w:bCs/>
                <w:color w:val="000000"/>
                <w:szCs w:val="24"/>
              </w:rPr>
              <w:t>An offer, by a Bidder, in response to a</w:t>
            </w:r>
            <w:r w:rsidR="009E2D1C" w:rsidRPr="00EF6369">
              <w:rPr>
                <w:bCs/>
                <w:color w:val="000000"/>
                <w:szCs w:val="24"/>
              </w:rPr>
              <w:t>n Invitation</w:t>
            </w:r>
            <w:r w:rsidRPr="00EF6369">
              <w:rPr>
                <w:bCs/>
                <w:color w:val="000000"/>
                <w:szCs w:val="24"/>
              </w:rPr>
              <w:t xml:space="preserve"> </w:t>
            </w:r>
            <w:r w:rsidR="009E2D1C" w:rsidRPr="00EF6369">
              <w:rPr>
                <w:bCs/>
                <w:color w:val="000000"/>
                <w:szCs w:val="24"/>
              </w:rPr>
              <w:t>to</w:t>
            </w:r>
            <w:r w:rsidRPr="00EF6369">
              <w:rPr>
                <w:bCs/>
                <w:color w:val="000000"/>
                <w:szCs w:val="24"/>
              </w:rPr>
              <w:t xml:space="preserve"> Bid</w:t>
            </w:r>
            <w:r w:rsidR="007A2172" w:rsidRPr="00EF6369">
              <w:rPr>
                <w:bCs/>
                <w:color w:val="000000"/>
                <w:szCs w:val="24"/>
              </w:rPr>
              <w:t xml:space="preserve"> or equivalent</w:t>
            </w:r>
            <w:r w:rsidRPr="00EF6369">
              <w:rPr>
                <w:bCs/>
                <w:color w:val="000000"/>
                <w:szCs w:val="24"/>
              </w:rPr>
              <w:t>, to provide the required Goods,</w:t>
            </w:r>
            <w:r w:rsidRPr="00EF6369" w:rsidDel="005E0C07">
              <w:rPr>
                <w:bCs/>
                <w:color w:val="000000"/>
                <w:szCs w:val="24"/>
              </w:rPr>
              <w:t xml:space="preserve"> </w:t>
            </w:r>
            <w:r w:rsidRPr="00EF6369">
              <w:rPr>
                <w:bCs/>
                <w:color w:val="000000"/>
                <w:szCs w:val="24"/>
              </w:rPr>
              <w:t xml:space="preserve">Works or </w:t>
            </w:r>
            <w:r w:rsidR="009E2D1C" w:rsidRPr="00EF6369">
              <w:rPr>
                <w:bCs/>
                <w:color w:val="000000"/>
                <w:szCs w:val="24"/>
              </w:rPr>
              <w:t>Non-</w:t>
            </w:r>
            <w:r w:rsidR="00983570">
              <w:rPr>
                <w:bCs/>
                <w:color w:val="000000"/>
                <w:szCs w:val="24"/>
              </w:rPr>
              <w:t>C</w:t>
            </w:r>
            <w:r w:rsidR="009E2D1C" w:rsidRPr="00EF6369">
              <w:rPr>
                <w:bCs/>
                <w:color w:val="000000"/>
                <w:szCs w:val="24"/>
              </w:rPr>
              <w:t xml:space="preserve">onsulting </w:t>
            </w:r>
            <w:r w:rsidR="00983570">
              <w:rPr>
                <w:bCs/>
                <w:color w:val="000000"/>
                <w:szCs w:val="24"/>
              </w:rPr>
              <w:t>S</w:t>
            </w:r>
            <w:r w:rsidRPr="00EF6369">
              <w:rPr>
                <w:bCs/>
                <w:color w:val="000000"/>
                <w:szCs w:val="24"/>
              </w:rPr>
              <w:t>ervices</w:t>
            </w:r>
            <w:r w:rsidR="00F20FC4">
              <w:rPr>
                <w:bCs/>
                <w:color w:val="000000"/>
                <w:szCs w:val="24"/>
              </w:rPr>
              <w:t>.</w:t>
            </w:r>
          </w:p>
        </w:tc>
      </w:tr>
      <w:tr w:rsidR="00B6124C" w:rsidRPr="00EF6369" w:rsidTr="00242505">
        <w:tc>
          <w:tcPr>
            <w:tcW w:w="3685" w:type="dxa"/>
          </w:tcPr>
          <w:p w:rsidR="00B6124C" w:rsidRPr="00EF6369" w:rsidRDefault="00B6124C" w:rsidP="00E51B8E">
            <w:pPr>
              <w:spacing w:before="40" w:after="40"/>
              <w:rPr>
                <w:b/>
                <w:bCs/>
                <w:color w:val="000000"/>
                <w:szCs w:val="24"/>
              </w:rPr>
            </w:pPr>
            <w:r w:rsidRPr="00EF6369">
              <w:rPr>
                <w:b/>
                <w:bCs/>
                <w:color w:val="000000"/>
                <w:szCs w:val="24"/>
              </w:rPr>
              <w:t>Bidder</w:t>
            </w:r>
          </w:p>
        </w:tc>
        <w:tc>
          <w:tcPr>
            <w:tcW w:w="5665" w:type="dxa"/>
          </w:tcPr>
          <w:p w:rsidR="00B6124C" w:rsidRPr="00EF6369" w:rsidRDefault="00B6124C" w:rsidP="00E51B8E">
            <w:pPr>
              <w:spacing w:before="40" w:after="40"/>
              <w:jc w:val="both"/>
              <w:rPr>
                <w:szCs w:val="24"/>
              </w:rPr>
            </w:pPr>
            <w:r w:rsidRPr="00EF6369">
              <w:rPr>
                <w:szCs w:val="24"/>
              </w:rPr>
              <w:t>A Firm</w:t>
            </w:r>
            <w:r w:rsidRPr="00EF6369" w:rsidDel="005E0C07">
              <w:rPr>
                <w:szCs w:val="24"/>
              </w:rPr>
              <w:t xml:space="preserve"> </w:t>
            </w:r>
            <w:r w:rsidR="00604F19" w:rsidRPr="00EF6369">
              <w:rPr>
                <w:szCs w:val="24"/>
              </w:rPr>
              <w:t>or</w:t>
            </w:r>
            <w:r w:rsidR="009E2D1C" w:rsidRPr="00EF6369">
              <w:rPr>
                <w:szCs w:val="24"/>
              </w:rPr>
              <w:t xml:space="preserve"> </w:t>
            </w:r>
            <w:r w:rsidR="005744A7">
              <w:rPr>
                <w:szCs w:val="24"/>
              </w:rPr>
              <w:t>j</w:t>
            </w:r>
            <w:r w:rsidR="009E2D1C" w:rsidRPr="00EF6369">
              <w:rPr>
                <w:szCs w:val="24"/>
              </w:rPr>
              <w:t xml:space="preserve">oint </w:t>
            </w:r>
            <w:r w:rsidR="005744A7">
              <w:rPr>
                <w:szCs w:val="24"/>
              </w:rPr>
              <w:t>v</w:t>
            </w:r>
            <w:r w:rsidR="009E2D1C" w:rsidRPr="00EF6369">
              <w:rPr>
                <w:szCs w:val="24"/>
              </w:rPr>
              <w:t xml:space="preserve">enture </w:t>
            </w:r>
            <w:r w:rsidRPr="00EF6369">
              <w:rPr>
                <w:szCs w:val="24"/>
              </w:rPr>
              <w:t xml:space="preserve">that submits a Bid for the provision of Goods, Works or </w:t>
            </w:r>
            <w:r w:rsidR="009E2D1C" w:rsidRPr="00EF6369">
              <w:rPr>
                <w:szCs w:val="24"/>
              </w:rPr>
              <w:t>Non-</w:t>
            </w:r>
            <w:r w:rsidR="00983570">
              <w:rPr>
                <w:szCs w:val="24"/>
              </w:rPr>
              <w:t>C</w:t>
            </w:r>
            <w:r w:rsidR="009E2D1C" w:rsidRPr="00EF6369">
              <w:rPr>
                <w:szCs w:val="24"/>
              </w:rPr>
              <w:t xml:space="preserve">onsulting </w:t>
            </w:r>
            <w:r w:rsidR="00983570">
              <w:rPr>
                <w:szCs w:val="24"/>
              </w:rPr>
              <w:t>S</w:t>
            </w:r>
            <w:r w:rsidRPr="00EF6369">
              <w:rPr>
                <w:szCs w:val="24"/>
              </w:rPr>
              <w:t>ervices</w:t>
            </w:r>
            <w:r w:rsidR="007A2172" w:rsidRPr="00EF6369">
              <w:rPr>
                <w:szCs w:val="24"/>
              </w:rPr>
              <w:t xml:space="preserve"> in response to an Invitation to Bid or equivalent</w:t>
            </w:r>
            <w:r w:rsidR="00F20FC4">
              <w:rPr>
                <w:szCs w:val="24"/>
              </w:rPr>
              <w:t>.</w:t>
            </w:r>
          </w:p>
        </w:tc>
      </w:tr>
      <w:tr w:rsidR="009E464D" w:rsidRPr="00EF6369" w:rsidTr="00242505">
        <w:tc>
          <w:tcPr>
            <w:tcW w:w="3685" w:type="dxa"/>
          </w:tcPr>
          <w:p w:rsidR="009E464D" w:rsidRPr="007D6DC5" w:rsidRDefault="009E464D" w:rsidP="00E51B8E">
            <w:pPr>
              <w:spacing w:before="40" w:after="40"/>
              <w:rPr>
                <w:b/>
                <w:bCs/>
                <w:color w:val="000000"/>
                <w:szCs w:val="24"/>
              </w:rPr>
            </w:pPr>
            <w:r w:rsidRPr="007D6DC5">
              <w:rPr>
                <w:b/>
                <w:bCs/>
                <w:color w:val="000000"/>
                <w:szCs w:val="24"/>
              </w:rPr>
              <w:t>BMCs</w:t>
            </w:r>
          </w:p>
        </w:tc>
        <w:tc>
          <w:tcPr>
            <w:tcW w:w="5665" w:type="dxa"/>
          </w:tcPr>
          <w:p w:rsidR="009E464D" w:rsidRDefault="009E464D" w:rsidP="006B145F">
            <w:pPr>
              <w:spacing w:before="40" w:after="40"/>
              <w:jc w:val="both"/>
              <w:rPr>
                <w:szCs w:val="24"/>
              </w:rPr>
            </w:pPr>
            <w:r>
              <w:rPr>
                <w:szCs w:val="24"/>
              </w:rPr>
              <w:t>CDB Borrowing Member Countries</w:t>
            </w:r>
            <w:r w:rsidR="00F20FC4">
              <w:rPr>
                <w:szCs w:val="24"/>
              </w:rPr>
              <w:t>.</w:t>
            </w:r>
          </w:p>
        </w:tc>
      </w:tr>
      <w:tr w:rsidR="004B0BEC" w:rsidRPr="00EF6369" w:rsidTr="00242505">
        <w:tc>
          <w:tcPr>
            <w:tcW w:w="3685" w:type="dxa"/>
          </w:tcPr>
          <w:p w:rsidR="004B0BEC" w:rsidRPr="00EF6369" w:rsidRDefault="009E464D" w:rsidP="00E51B8E">
            <w:pPr>
              <w:spacing w:before="40" w:after="40"/>
              <w:rPr>
                <w:b/>
                <w:bCs/>
                <w:color w:val="000000"/>
                <w:szCs w:val="24"/>
              </w:rPr>
            </w:pPr>
            <w:r>
              <w:rPr>
                <w:b/>
                <w:bCs/>
                <w:color w:val="000000"/>
                <w:szCs w:val="24"/>
              </w:rPr>
              <w:t>Borrowing Member Countries</w:t>
            </w:r>
          </w:p>
        </w:tc>
        <w:tc>
          <w:tcPr>
            <w:tcW w:w="5665" w:type="dxa"/>
          </w:tcPr>
          <w:p w:rsidR="004B0BEC" w:rsidRPr="00EF6369" w:rsidRDefault="000A1A2F" w:rsidP="00F20FC4">
            <w:pPr>
              <w:spacing w:before="40" w:after="40"/>
              <w:jc w:val="both"/>
              <w:rPr>
                <w:szCs w:val="24"/>
              </w:rPr>
            </w:pPr>
            <w:r>
              <w:rPr>
                <w:szCs w:val="24"/>
              </w:rPr>
              <w:t xml:space="preserve">CDB </w:t>
            </w:r>
            <w:r w:rsidR="004B0BEC" w:rsidRPr="00EF6369">
              <w:rPr>
                <w:szCs w:val="24"/>
              </w:rPr>
              <w:t>Borrowing Member Countries</w:t>
            </w:r>
            <w:r w:rsidR="007D6DC5">
              <w:rPr>
                <w:szCs w:val="24"/>
              </w:rPr>
              <w:t xml:space="preserve"> </w:t>
            </w:r>
            <w:r w:rsidR="009E464D">
              <w:rPr>
                <w:szCs w:val="24"/>
              </w:rPr>
              <w:t>are</w:t>
            </w:r>
            <w:r w:rsidR="007D6DC5" w:rsidRPr="00EF6369">
              <w:rPr>
                <w:szCs w:val="24"/>
              </w:rPr>
              <w:t xml:space="preserve"> those Regional Members described as such in Annex 1 of </w:t>
            </w:r>
            <w:r w:rsidR="007D6DC5">
              <w:rPr>
                <w:szCs w:val="24"/>
              </w:rPr>
              <w:t>T</w:t>
            </w:r>
            <w:r w:rsidR="007D6DC5" w:rsidRPr="00EF6369">
              <w:rPr>
                <w:szCs w:val="24"/>
              </w:rPr>
              <w:t>he Procedures</w:t>
            </w:r>
            <w:r w:rsidR="00F20FC4">
              <w:rPr>
                <w:szCs w:val="24"/>
              </w:rPr>
              <w:t>.</w:t>
            </w:r>
          </w:p>
        </w:tc>
      </w:tr>
      <w:tr w:rsidR="0066556C" w:rsidRPr="00EF6369" w:rsidTr="00242505">
        <w:tc>
          <w:tcPr>
            <w:tcW w:w="3685" w:type="dxa"/>
          </w:tcPr>
          <w:p w:rsidR="0066556C" w:rsidRPr="00EF6369" w:rsidRDefault="0066556C" w:rsidP="00E51B8E">
            <w:pPr>
              <w:spacing w:before="40" w:after="40"/>
              <w:rPr>
                <w:b/>
                <w:bCs/>
                <w:color w:val="000000"/>
                <w:szCs w:val="24"/>
              </w:rPr>
            </w:pPr>
            <w:r w:rsidRPr="00EF6369">
              <w:rPr>
                <w:b/>
                <w:bCs/>
                <w:color w:val="000000"/>
                <w:szCs w:val="24"/>
              </w:rPr>
              <w:t>CDB</w:t>
            </w:r>
          </w:p>
        </w:tc>
        <w:tc>
          <w:tcPr>
            <w:tcW w:w="5665" w:type="dxa"/>
          </w:tcPr>
          <w:p w:rsidR="0066556C" w:rsidRPr="00EF6369" w:rsidRDefault="0066556C" w:rsidP="00E51B8E">
            <w:pPr>
              <w:spacing w:before="40" w:after="40"/>
              <w:jc w:val="both"/>
              <w:rPr>
                <w:szCs w:val="24"/>
              </w:rPr>
            </w:pPr>
            <w:r w:rsidRPr="00EF6369">
              <w:rPr>
                <w:szCs w:val="24"/>
              </w:rPr>
              <w:t>Caribbean Development Bank</w:t>
            </w:r>
            <w:r w:rsidR="00F20FC4">
              <w:rPr>
                <w:szCs w:val="24"/>
              </w:rPr>
              <w:t>.</w:t>
            </w:r>
          </w:p>
        </w:tc>
      </w:tr>
      <w:tr w:rsidR="0066556C" w:rsidRPr="00EF6369" w:rsidTr="00242505">
        <w:trPr>
          <w:trHeight w:val="1268"/>
        </w:trPr>
        <w:tc>
          <w:tcPr>
            <w:tcW w:w="3685" w:type="dxa"/>
          </w:tcPr>
          <w:p w:rsidR="0066556C" w:rsidRPr="00EF6369" w:rsidRDefault="0066556C" w:rsidP="00E51B8E">
            <w:pPr>
              <w:spacing w:before="40" w:after="40"/>
              <w:jc w:val="both"/>
              <w:rPr>
                <w:b/>
                <w:szCs w:val="24"/>
              </w:rPr>
            </w:pPr>
            <w:r w:rsidRPr="00EF6369">
              <w:rPr>
                <w:b/>
                <w:szCs w:val="24"/>
              </w:rPr>
              <w:t>Consultant</w:t>
            </w:r>
          </w:p>
        </w:tc>
        <w:tc>
          <w:tcPr>
            <w:tcW w:w="5665" w:type="dxa"/>
          </w:tcPr>
          <w:p w:rsidR="0066556C" w:rsidRPr="00EF6369" w:rsidRDefault="0066556C" w:rsidP="009A569B">
            <w:pPr>
              <w:spacing w:before="40" w:after="40"/>
              <w:jc w:val="both"/>
              <w:rPr>
                <w:szCs w:val="24"/>
              </w:rPr>
            </w:pPr>
            <w:r w:rsidRPr="00EF6369">
              <w:rPr>
                <w:szCs w:val="24"/>
              </w:rPr>
              <w:t xml:space="preserve">Includes a wide variety of private and public entities, including consulting </w:t>
            </w:r>
            <w:r w:rsidR="005744A7">
              <w:rPr>
                <w:szCs w:val="24"/>
              </w:rPr>
              <w:t>F</w:t>
            </w:r>
            <w:r w:rsidRPr="00EF6369">
              <w:rPr>
                <w:szCs w:val="24"/>
              </w:rPr>
              <w:t xml:space="preserve">irms, engineering </w:t>
            </w:r>
            <w:r w:rsidR="005744A7">
              <w:rPr>
                <w:szCs w:val="24"/>
              </w:rPr>
              <w:t>F</w:t>
            </w:r>
            <w:r w:rsidRPr="00EF6369">
              <w:rPr>
                <w:szCs w:val="24"/>
              </w:rPr>
              <w:t xml:space="preserve">irms, construction managers, management </w:t>
            </w:r>
            <w:r w:rsidR="005744A7">
              <w:rPr>
                <w:szCs w:val="24"/>
              </w:rPr>
              <w:t>F</w:t>
            </w:r>
            <w:r w:rsidRPr="00EF6369">
              <w:rPr>
                <w:szCs w:val="24"/>
              </w:rPr>
              <w:t xml:space="preserve">irms, procurement agents, inspection agents, auditors, United Nations (UN) </w:t>
            </w:r>
            <w:r w:rsidR="009A569B">
              <w:rPr>
                <w:szCs w:val="24"/>
              </w:rPr>
              <w:t>A</w:t>
            </w:r>
            <w:r w:rsidRPr="00EF6369">
              <w:rPr>
                <w:szCs w:val="24"/>
              </w:rPr>
              <w:t xml:space="preserve">gencies and other </w:t>
            </w:r>
            <w:r w:rsidR="00375CCF">
              <w:rPr>
                <w:szCs w:val="24"/>
              </w:rPr>
              <w:t xml:space="preserve">regional and </w:t>
            </w:r>
            <w:r w:rsidRPr="00EF6369">
              <w:rPr>
                <w:szCs w:val="24"/>
              </w:rPr>
              <w:t xml:space="preserve">multinational organisations, investment and merchant banks, universities, research institutions, government agencies, NGOs, as well as individuals, that provide </w:t>
            </w:r>
            <w:r w:rsidR="009A569B">
              <w:rPr>
                <w:szCs w:val="24"/>
              </w:rPr>
              <w:t>Consulting S</w:t>
            </w:r>
            <w:r w:rsidRPr="00EF6369">
              <w:rPr>
                <w:szCs w:val="24"/>
              </w:rPr>
              <w:t>ervices</w:t>
            </w:r>
            <w:r w:rsidR="00F20FC4">
              <w:rPr>
                <w:szCs w:val="24"/>
              </w:rPr>
              <w:t>.</w:t>
            </w:r>
            <w:r w:rsidRPr="00EF6369">
              <w:rPr>
                <w:szCs w:val="24"/>
              </w:rPr>
              <w:t xml:space="preserve"> </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Consulting Services</w:t>
            </w:r>
          </w:p>
        </w:tc>
        <w:tc>
          <w:tcPr>
            <w:tcW w:w="5665" w:type="dxa"/>
          </w:tcPr>
          <w:p w:rsidR="0066556C" w:rsidRPr="00EF6369" w:rsidRDefault="0066556C" w:rsidP="00E51B8E">
            <w:pPr>
              <w:spacing w:before="40" w:after="40"/>
              <w:jc w:val="both"/>
              <w:rPr>
                <w:szCs w:val="24"/>
              </w:rPr>
            </w:pPr>
            <w:r w:rsidRPr="00EF6369">
              <w:rPr>
                <w:color w:val="000000"/>
                <w:szCs w:val="24"/>
              </w:rPr>
              <w:t>Consulting Services</w:t>
            </w:r>
            <w:r w:rsidRPr="00EF6369">
              <w:rPr>
                <w:bCs/>
                <w:color w:val="000000"/>
                <w:szCs w:val="24"/>
              </w:rPr>
              <w:t xml:space="preserve"> are those </w:t>
            </w:r>
            <w:r w:rsidR="00AE116C">
              <w:rPr>
                <w:bCs/>
                <w:color w:val="000000"/>
                <w:szCs w:val="24"/>
              </w:rPr>
              <w:t xml:space="preserve">advisory or </w:t>
            </w:r>
            <w:r w:rsidRPr="00EF6369">
              <w:rPr>
                <w:bCs/>
                <w:color w:val="000000"/>
                <w:szCs w:val="24"/>
              </w:rPr>
              <w:t xml:space="preserve">intellectual </w:t>
            </w:r>
            <w:r w:rsidRPr="00EF6369">
              <w:rPr>
                <w:color w:val="000000"/>
                <w:szCs w:val="24"/>
              </w:rPr>
              <w:t>services</w:t>
            </w:r>
            <w:r w:rsidRPr="00EF6369">
              <w:rPr>
                <w:bCs/>
                <w:color w:val="000000"/>
                <w:szCs w:val="24"/>
              </w:rPr>
              <w:t xml:space="preserve"> delivered by a Consultant Firm or an</w:t>
            </w:r>
            <w:r w:rsidRPr="00EF6369" w:rsidDel="00E941D8">
              <w:rPr>
                <w:bCs/>
                <w:color w:val="000000"/>
                <w:szCs w:val="24"/>
              </w:rPr>
              <w:t xml:space="preserve"> </w:t>
            </w:r>
            <w:r w:rsidRPr="00EF6369">
              <w:rPr>
                <w:bCs/>
                <w:color w:val="000000"/>
                <w:szCs w:val="24"/>
              </w:rPr>
              <w:t>Individual Consultant</w:t>
            </w:r>
            <w:r w:rsidR="00F20FC4">
              <w:rPr>
                <w:bCs/>
                <w:color w:val="000000"/>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bCs/>
                <w:color w:val="000000"/>
                <w:szCs w:val="24"/>
              </w:rPr>
              <w:t>Contractor</w:t>
            </w:r>
          </w:p>
        </w:tc>
        <w:tc>
          <w:tcPr>
            <w:tcW w:w="5665" w:type="dxa"/>
          </w:tcPr>
          <w:p w:rsidR="0066556C" w:rsidRPr="00EF6369" w:rsidRDefault="0066556C" w:rsidP="00E51B8E">
            <w:pPr>
              <w:spacing w:before="40" w:after="40"/>
              <w:jc w:val="both"/>
              <w:rPr>
                <w:szCs w:val="24"/>
              </w:rPr>
            </w:pPr>
            <w:r w:rsidRPr="00EF6369">
              <w:rPr>
                <w:color w:val="000000"/>
                <w:szCs w:val="24"/>
              </w:rPr>
              <w:t xml:space="preserve">A </w:t>
            </w:r>
            <w:r w:rsidR="005744A7">
              <w:rPr>
                <w:color w:val="000000"/>
                <w:szCs w:val="24"/>
              </w:rPr>
              <w:t>F</w:t>
            </w:r>
            <w:r w:rsidRPr="00EF6369">
              <w:rPr>
                <w:color w:val="000000"/>
                <w:szCs w:val="24"/>
              </w:rPr>
              <w:t>irm that is contracted to provide Works</w:t>
            </w:r>
            <w:r w:rsidR="00F20FC4">
              <w:rPr>
                <w:color w:val="000000"/>
                <w:szCs w:val="24"/>
              </w:rPr>
              <w:t>.</w:t>
            </w:r>
          </w:p>
        </w:tc>
      </w:tr>
      <w:tr w:rsidR="0066556C" w:rsidRPr="00EF6369" w:rsidTr="00242505">
        <w:tc>
          <w:tcPr>
            <w:tcW w:w="3685" w:type="dxa"/>
          </w:tcPr>
          <w:p w:rsidR="0066556C" w:rsidRPr="00EF6369" w:rsidRDefault="0066556C" w:rsidP="00E51B8E">
            <w:pPr>
              <w:spacing w:before="40" w:after="40"/>
              <w:jc w:val="both"/>
              <w:rPr>
                <w:szCs w:val="24"/>
              </w:rPr>
            </w:pPr>
            <w:r w:rsidRPr="00EF6369">
              <w:rPr>
                <w:b/>
                <w:szCs w:val="24"/>
              </w:rPr>
              <w:t xml:space="preserve">Core Procurement Principles </w:t>
            </w:r>
          </w:p>
        </w:tc>
        <w:tc>
          <w:tcPr>
            <w:tcW w:w="5665" w:type="dxa"/>
          </w:tcPr>
          <w:p w:rsidR="0066556C" w:rsidRPr="00EF6369" w:rsidRDefault="0066556C" w:rsidP="00555ED9">
            <w:pPr>
              <w:spacing w:before="40" w:after="40"/>
              <w:jc w:val="both"/>
              <w:rPr>
                <w:szCs w:val="24"/>
              </w:rPr>
            </w:pPr>
            <w:r w:rsidRPr="00EF6369">
              <w:rPr>
                <w:szCs w:val="24"/>
              </w:rPr>
              <w:t xml:space="preserve">The principles set out </w:t>
            </w:r>
            <w:r w:rsidRPr="003705C5">
              <w:rPr>
                <w:szCs w:val="24"/>
              </w:rPr>
              <w:t>in Section 3</w:t>
            </w:r>
            <w:r w:rsidR="00F20FC4">
              <w:rPr>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Financing Agreement</w:t>
            </w:r>
          </w:p>
        </w:tc>
        <w:tc>
          <w:tcPr>
            <w:tcW w:w="5665" w:type="dxa"/>
          </w:tcPr>
          <w:p w:rsidR="0066556C" w:rsidRPr="00EF6369" w:rsidRDefault="00583C40" w:rsidP="00E51B8E">
            <w:pPr>
              <w:spacing w:before="40" w:after="40"/>
              <w:jc w:val="both"/>
              <w:rPr>
                <w:szCs w:val="24"/>
              </w:rPr>
            </w:pPr>
            <w:r w:rsidRPr="00583C40">
              <w:rPr>
                <w:szCs w:val="24"/>
              </w:rPr>
              <w:t>The legal agreement between CDB and the Recipient of CDB financing, which governs the provision of such financing</w:t>
            </w:r>
            <w:r w:rsidR="00F20FC4">
              <w:rPr>
                <w:szCs w:val="24"/>
              </w:rPr>
              <w:t>.</w:t>
            </w:r>
          </w:p>
        </w:tc>
      </w:tr>
      <w:tr w:rsidR="005744A7" w:rsidRPr="00EF6369" w:rsidTr="00242505">
        <w:tc>
          <w:tcPr>
            <w:tcW w:w="3685" w:type="dxa"/>
          </w:tcPr>
          <w:p w:rsidR="005744A7" w:rsidRPr="00EF6369" w:rsidRDefault="005744A7" w:rsidP="00E51B8E">
            <w:pPr>
              <w:spacing w:before="40" w:after="40"/>
              <w:jc w:val="both"/>
              <w:rPr>
                <w:b/>
                <w:szCs w:val="24"/>
              </w:rPr>
            </w:pPr>
            <w:r>
              <w:rPr>
                <w:b/>
                <w:szCs w:val="24"/>
              </w:rPr>
              <w:t>Firm</w:t>
            </w:r>
          </w:p>
        </w:tc>
        <w:tc>
          <w:tcPr>
            <w:tcW w:w="5665" w:type="dxa"/>
          </w:tcPr>
          <w:p w:rsidR="005744A7" w:rsidRPr="00583C40" w:rsidRDefault="00EF16F8" w:rsidP="00E51B8E">
            <w:pPr>
              <w:spacing w:before="40" w:after="40"/>
              <w:jc w:val="both"/>
              <w:rPr>
                <w:szCs w:val="24"/>
              </w:rPr>
            </w:pPr>
            <w:r w:rsidRPr="00EF16F8">
              <w:rPr>
                <w:szCs w:val="24"/>
              </w:rPr>
              <w:t xml:space="preserve">Any eligible private, public or government-owned legal entity, or any combination thereof, that formally intends to enter into an agreement or is bound by an existing agreement in the form of a joint venture, consortium or association, for-profit or not, that supply Goods, </w:t>
            </w:r>
            <w:r w:rsidRPr="00EF16F8">
              <w:rPr>
                <w:szCs w:val="24"/>
              </w:rPr>
              <w:lastRenderedPageBreak/>
              <w:t>undertakes Works, or provides Consulting Services or related services</w:t>
            </w:r>
            <w:r w:rsidR="00F20FC4">
              <w:rPr>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lastRenderedPageBreak/>
              <w:t>Goods</w:t>
            </w:r>
          </w:p>
        </w:tc>
        <w:tc>
          <w:tcPr>
            <w:tcW w:w="5665" w:type="dxa"/>
          </w:tcPr>
          <w:p w:rsidR="0066556C" w:rsidRPr="00EF6369" w:rsidRDefault="00A26110" w:rsidP="00E51B8E">
            <w:pPr>
              <w:spacing w:before="40" w:after="40"/>
              <w:jc w:val="both"/>
              <w:rPr>
                <w:szCs w:val="24"/>
              </w:rPr>
            </w:pPr>
            <w:r>
              <w:rPr>
                <w:bCs/>
                <w:color w:val="000000"/>
                <w:szCs w:val="24"/>
              </w:rPr>
              <w:t>Includes c</w:t>
            </w:r>
            <w:r w:rsidR="0066556C" w:rsidRPr="00EF6369">
              <w:rPr>
                <w:bCs/>
                <w:color w:val="000000"/>
                <w:szCs w:val="24"/>
              </w:rPr>
              <w:t>ommodities,</w:t>
            </w:r>
            <w:r w:rsidR="0066556C" w:rsidRPr="00EF6369" w:rsidDel="00390775">
              <w:rPr>
                <w:bCs/>
                <w:color w:val="000000"/>
                <w:szCs w:val="24"/>
              </w:rPr>
              <w:t xml:space="preserve"> </w:t>
            </w:r>
            <w:r w:rsidR="0066556C" w:rsidRPr="00EF6369">
              <w:rPr>
                <w:bCs/>
                <w:color w:val="000000"/>
                <w:szCs w:val="24"/>
              </w:rPr>
              <w:t>raw materials, machinery, equipment, vehicles, plant and equivalent. The term may also include related services, such as: transportation, insurance, installation, commissioning, training or initial maintenance</w:t>
            </w:r>
            <w:r w:rsidR="00F20FC4">
              <w:rPr>
                <w:bCs/>
                <w:color w:val="000000"/>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Goods, Works and Services</w:t>
            </w:r>
          </w:p>
        </w:tc>
        <w:tc>
          <w:tcPr>
            <w:tcW w:w="5665" w:type="dxa"/>
          </w:tcPr>
          <w:p w:rsidR="0066556C" w:rsidRPr="00EF6369" w:rsidRDefault="0066556C" w:rsidP="00E51B8E">
            <w:pPr>
              <w:spacing w:before="40" w:after="40"/>
              <w:jc w:val="both"/>
              <w:rPr>
                <w:szCs w:val="24"/>
              </w:rPr>
            </w:pPr>
            <w:r w:rsidRPr="00EF6369">
              <w:rPr>
                <w:szCs w:val="24"/>
              </w:rPr>
              <w:t>Goods, Works, Non-Consulting Services and Consulting Services</w:t>
            </w:r>
            <w:r w:rsidR="00F20FC4">
              <w:rPr>
                <w:szCs w:val="24"/>
              </w:rPr>
              <w:t>.</w:t>
            </w:r>
          </w:p>
        </w:tc>
      </w:tr>
      <w:tr w:rsidR="00375CCF" w:rsidRPr="00EF6369" w:rsidTr="00242505">
        <w:tc>
          <w:tcPr>
            <w:tcW w:w="3685" w:type="dxa"/>
          </w:tcPr>
          <w:p w:rsidR="00375CCF" w:rsidRPr="00EF6369" w:rsidRDefault="00375CCF" w:rsidP="00E51B8E">
            <w:pPr>
              <w:spacing w:before="40" w:after="40"/>
              <w:jc w:val="both"/>
              <w:rPr>
                <w:b/>
                <w:szCs w:val="24"/>
              </w:rPr>
            </w:pPr>
            <w:r w:rsidRPr="00375CCF">
              <w:rPr>
                <w:b/>
                <w:szCs w:val="24"/>
              </w:rPr>
              <w:t>Implementing/Executing</w:t>
            </w:r>
            <w:r>
              <w:rPr>
                <w:b/>
                <w:szCs w:val="24"/>
              </w:rPr>
              <w:t xml:space="preserve"> </w:t>
            </w:r>
            <w:r w:rsidRPr="00375CCF">
              <w:rPr>
                <w:b/>
                <w:szCs w:val="24"/>
              </w:rPr>
              <w:t>Agency</w:t>
            </w:r>
          </w:p>
        </w:tc>
        <w:tc>
          <w:tcPr>
            <w:tcW w:w="5665" w:type="dxa"/>
          </w:tcPr>
          <w:p w:rsidR="00375CCF" w:rsidRPr="00EF6369" w:rsidRDefault="00375CCF" w:rsidP="00E51B8E">
            <w:pPr>
              <w:spacing w:before="40" w:after="40"/>
              <w:jc w:val="both"/>
              <w:rPr>
                <w:szCs w:val="24"/>
              </w:rPr>
            </w:pPr>
            <w:r w:rsidRPr="00375CCF">
              <w:rPr>
                <w:szCs w:val="24"/>
              </w:rPr>
              <w:t>The entity appointed by the Recipient to carry out the Project and provide its day-to-day management</w:t>
            </w:r>
            <w:r w:rsidR="00F20FC4">
              <w:rPr>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MDBs</w:t>
            </w:r>
          </w:p>
        </w:tc>
        <w:tc>
          <w:tcPr>
            <w:tcW w:w="5665" w:type="dxa"/>
          </w:tcPr>
          <w:p w:rsidR="0066556C" w:rsidRPr="00EF6369" w:rsidRDefault="0066556C" w:rsidP="00E51B8E">
            <w:pPr>
              <w:spacing w:before="40" w:after="40"/>
              <w:jc w:val="both"/>
              <w:rPr>
                <w:szCs w:val="24"/>
              </w:rPr>
            </w:pPr>
            <w:r w:rsidRPr="00EF6369">
              <w:rPr>
                <w:szCs w:val="24"/>
              </w:rPr>
              <w:t>Multilateral Development Banks</w:t>
            </w:r>
            <w:r w:rsidR="00F20FC4">
              <w:rPr>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Misprocurement</w:t>
            </w:r>
          </w:p>
        </w:tc>
        <w:tc>
          <w:tcPr>
            <w:tcW w:w="5665" w:type="dxa"/>
          </w:tcPr>
          <w:p w:rsidR="0066556C" w:rsidRPr="00EF6369" w:rsidRDefault="009A569B" w:rsidP="00E51B8E">
            <w:pPr>
              <w:spacing w:before="40" w:after="40"/>
              <w:jc w:val="both"/>
              <w:rPr>
                <w:szCs w:val="24"/>
              </w:rPr>
            </w:pPr>
            <w:r>
              <w:rPr>
                <w:szCs w:val="24"/>
              </w:rPr>
              <w:t>A determination by</w:t>
            </w:r>
            <w:r w:rsidR="0066556C" w:rsidRPr="00EF6369">
              <w:rPr>
                <w:szCs w:val="24"/>
              </w:rPr>
              <w:t xml:space="preserve"> CDB that a contract has been awarded otherwise than in conformity with the Financing Agreement</w:t>
            </w:r>
            <w:r w:rsidR="00F20FC4">
              <w:rPr>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Non-Consulting Services</w:t>
            </w:r>
          </w:p>
        </w:tc>
        <w:tc>
          <w:tcPr>
            <w:tcW w:w="5665" w:type="dxa"/>
          </w:tcPr>
          <w:p w:rsidR="0066556C" w:rsidRPr="00EF6369" w:rsidRDefault="0066556C" w:rsidP="00275903">
            <w:pPr>
              <w:spacing w:before="40" w:after="40"/>
              <w:jc w:val="both"/>
              <w:rPr>
                <w:szCs w:val="24"/>
              </w:rPr>
            </w:pPr>
            <w:r w:rsidRPr="00EF6369">
              <w:rPr>
                <w:szCs w:val="24"/>
              </w:rPr>
              <w:t xml:space="preserve">Services </w:t>
            </w:r>
            <w:r w:rsidR="00275903">
              <w:rPr>
                <w:szCs w:val="24"/>
              </w:rPr>
              <w:t>that</w:t>
            </w:r>
            <w:r w:rsidRPr="00EF6369">
              <w:rPr>
                <w:szCs w:val="24"/>
              </w:rPr>
              <w:t xml:space="preserve"> are not Consulting Services</w:t>
            </w:r>
            <w:r w:rsidR="00983570">
              <w:rPr>
                <w:szCs w:val="24"/>
              </w:rPr>
              <w:t>.</w:t>
            </w:r>
            <w:r w:rsidRPr="00EF6369">
              <w:rPr>
                <w:szCs w:val="24"/>
              </w:rPr>
              <w:t xml:space="preserve"> Non-</w:t>
            </w:r>
            <w:r w:rsidR="00983570">
              <w:rPr>
                <w:szCs w:val="24"/>
              </w:rPr>
              <w:t>C</w:t>
            </w:r>
            <w:r w:rsidRPr="00EF6369">
              <w:rPr>
                <w:szCs w:val="24"/>
              </w:rPr>
              <w:t xml:space="preserve">onsulting </w:t>
            </w:r>
            <w:r w:rsidR="00983570">
              <w:rPr>
                <w:szCs w:val="24"/>
              </w:rPr>
              <w:t>S</w:t>
            </w:r>
            <w:r w:rsidRPr="00EF6369">
              <w:rPr>
                <w:szCs w:val="24"/>
              </w:rPr>
              <w:t xml:space="preserve">ervices are normally </w:t>
            </w:r>
            <w:r w:rsidR="000E2D33">
              <w:rPr>
                <w:szCs w:val="24"/>
              </w:rPr>
              <w:t>B</w:t>
            </w:r>
            <w:r w:rsidRPr="00EF6369">
              <w:rPr>
                <w:szCs w:val="24"/>
              </w:rPr>
              <w:t xml:space="preserve">id and contracted </w:t>
            </w:r>
            <w:r w:rsidR="00F01570">
              <w:rPr>
                <w:szCs w:val="24"/>
              </w:rPr>
              <w:t xml:space="preserve">based </w:t>
            </w:r>
            <w:r w:rsidRPr="00EF6369">
              <w:rPr>
                <w:szCs w:val="24"/>
              </w:rPr>
              <w:t xml:space="preserve">on </w:t>
            </w:r>
            <w:r w:rsidR="00F01570">
              <w:rPr>
                <w:szCs w:val="24"/>
              </w:rPr>
              <w:t xml:space="preserve">the </w:t>
            </w:r>
            <w:r w:rsidRPr="00EF6369">
              <w:rPr>
                <w:szCs w:val="24"/>
              </w:rPr>
              <w:t>performance of measurable outputs, and for which performance standards can be clearly identified and consistently applied, for example drilling, aerial photography, satellite imagery, mapping and similar operations</w:t>
            </w:r>
            <w:r w:rsidR="00F20FC4">
              <w:rPr>
                <w:szCs w:val="24"/>
              </w:rPr>
              <w:t>.</w:t>
            </w:r>
          </w:p>
        </w:tc>
      </w:tr>
      <w:tr w:rsidR="006D5193" w:rsidRPr="00EF6369" w:rsidTr="00242505">
        <w:tc>
          <w:tcPr>
            <w:tcW w:w="3685" w:type="dxa"/>
          </w:tcPr>
          <w:p w:rsidR="006D5193" w:rsidRPr="00EF6369" w:rsidRDefault="006D5193" w:rsidP="00E51B8E">
            <w:pPr>
              <w:spacing w:before="40" w:after="40"/>
              <w:jc w:val="both"/>
              <w:rPr>
                <w:b/>
                <w:szCs w:val="24"/>
              </w:rPr>
            </w:pPr>
            <w:r>
              <w:rPr>
                <w:b/>
                <w:szCs w:val="24"/>
              </w:rPr>
              <w:t>NGOs</w:t>
            </w:r>
          </w:p>
        </w:tc>
        <w:tc>
          <w:tcPr>
            <w:tcW w:w="5665" w:type="dxa"/>
          </w:tcPr>
          <w:p w:rsidR="006D5193" w:rsidRPr="00EF6369" w:rsidRDefault="006D5193" w:rsidP="00E51B8E">
            <w:pPr>
              <w:spacing w:before="40" w:after="40"/>
              <w:jc w:val="both"/>
              <w:rPr>
                <w:szCs w:val="24"/>
              </w:rPr>
            </w:pPr>
            <w:r w:rsidRPr="006D5193">
              <w:rPr>
                <w:szCs w:val="24"/>
              </w:rPr>
              <w:t>Non</w:t>
            </w:r>
            <w:r>
              <w:rPr>
                <w:szCs w:val="24"/>
              </w:rPr>
              <w:t>-</w:t>
            </w:r>
            <w:r w:rsidRPr="006D5193">
              <w:rPr>
                <w:szCs w:val="24"/>
              </w:rPr>
              <w:t>governmental Organisation</w:t>
            </w:r>
            <w:r w:rsidR="006C20F2">
              <w:rPr>
                <w:szCs w:val="24"/>
              </w:rPr>
              <w:t>s</w:t>
            </w:r>
            <w:r w:rsidR="00F20FC4">
              <w:rPr>
                <w:szCs w:val="24"/>
              </w:rPr>
              <w:t>.</w:t>
            </w:r>
          </w:p>
        </w:tc>
      </w:tr>
      <w:tr w:rsidR="00D84D47" w:rsidRPr="00EF6369" w:rsidTr="00242505">
        <w:tc>
          <w:tcPr>
            <w:tcW w:w="3685" w:type="dxa"/>
          </w:tcPr>
          <w:p w:rsidR="00D84D47" w:rsidRPr="00EF6369" w:rsidRDefault="00D84D47" w:rsidP="00E51B8E">
            <w:pPr>
              <w:spacing w:before="40" w:after="40"/>
              <w:jc w:val="both"/>
              <w:rPr>
                <w:b/>
                <w:szCs w:val="24"/>
              </w:rPr>
            </w:pPr>
            <w:r>
              <w:rPr>
                <w:b/>
                <w:szCs w:val="24"/>
              </w:rPr>
              <w:t>Paragraph</w:t>
            </w:r>
          </w:p>
        </w:tc>
        <w:tc>
          <w:tcPr>
            <w:tcW w:w="5665" w:type="dxa"/>
          </w:tcPr>
          <w:p w:rsidR="00D84D47" w:rsidRPr="00EF6369" w:rsidRDefault="009A569B" w:rsidP="00E51B8E">
            <w:pPr>
              <w:spacing w:before="40" w:after="40"/>
              <w:jc w:val="both"/>
              <w:rPr>
                <w:szCs w:val="24"/>
              </w:rPr>
            </w:pPr>
            <w:r>
              <w:rPr>
                <w:szCs w:val="24"/>
              </w:rPr>
              <w:t>T</w:t>
            </w:r>
            <w:r w:rsidR="00D84D47" w:rsidRPr="00D84D47">
              <w:rPr>
                <w:szCs w:val="24"/>
              </w:rPr>
              <w:t>hese are par</w:t>
            </w:r>
            <w:r w:rsidR="00D84D47">
              <w:rPr>
                <w:szCs w:val="24"/>
              </w:rPr>
              <w:t>agraphs numbers in the Policy</w:t>
            </w:r>
            <w:r w:rsidR="00F20FC4">
              <w:rPr>
                <w:szCs w:val="24"/>
              </w:rPr>
              <w:t>.</w:t>
            </w:r>
          </w:p>
        </w:tc>
      </w:tr>
      <w:tr w:rsidR="009A569B" w:rsidRPr="00EF6369" w:rsidTr="00242505">
        <w:tc>
          <w:tcPr>
            <w:tcW w:w="3685" w:type="dxa"/>
          </w:tcPr>
          <w:p w:rsidR="009A569B" w:rsidRDefault="009A569B" w:rsidP="00E51B8E">
            <w:pPr>
              <w:spacing w:before="40" w:after="40"/>
              <w:jc w:val="both"/>
              <w:rPr>
                <w:b/>
                <w:szCs w:val="24"/>
              </w:rPr>
            </w:pPr>
            <w:r>
              <w:rPr>
                <w:b/>
                <w:szCs w:val="24"/>
              </w:rPr>
              <w:t>Policy</w:t>
            </w:r>
          </w:p>
        </w:tc>
        <w:tc>
          <w:tcPr>
            <w:tcW w:w="5665" w:type="dxa"/>
          </w:tcPr>
          <w:p w:rsidR="009A569B" w:rsidRPr="00D84D47" w:rsidDel="009A569B" w:rsidRDefault="009A569B" w:rsidP="00E51B8E">
            <w:pPr>
              <w:spacing w:before="40" w:after="40"/>
              <w:jc w:val="both"/>
              <w:rPr>
                <w:szCs w:val="24"/>
              </w:rPr>
            </w:pPr>
            <w:r>
              <w:rPr>
                <w:szCs w:val="24"/>
              </w:rPr>
              <w:t>T</w:t>
            </w:r>
            <w:r w:rsidRPr="009A569B">
              <w:rPr>
                <w:szCs w:val="24"/>
              </w:rPr>
              <w:t>his is the Procurement Policy for Projects Financed by CDB</w:t>
            </w:r>
            <w:r w:rsidR="00F20FC4">
              <w:rPr>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Private Sector Policy</w:t>
            </w:r>
          </w:p>
        </w:tc>
        <w:tc>
          <w:tcPr>
            <w:tcW w:w="5665" w:type="dxa"/>
          </w:tcPr>
          <w:p w:rsidR="0066556C" w:rsidRPr="00EF6369" w:rsidRDefault="0066556C" w:rsidP="00E51B8E">
            <w:pPr>
              <w:spacing w:before="40" w:after="40"/>
              <w:jc w:val="both"/>
              <w:rPr>
                <w:szCs w:val="24"/>
              </w:rPr>
            </w:pPr>
            <w:r w:rsidRPr="00EF6369">
              <w:rPr>
                <w:szCs w:val="24"/>
              </w:rPr>
              <w:t xml:space="preserve">CDB’s Private Sector </w:t>
            </w:r>
            <w:r w:rsidR="0035128A">
              <w:rPr>
                <w:szCs w:val="24"/>
              </w:rPr>
              <w:t>Development Policy and Strategy (</w:t>
            </w:r>
            <w:r w:rsidR="000F3C41">
              <w:rPr>
                <w:szCs w:val="24"/>
              </w:rPr>
              <w:t>July</w:t>
            </w:r>
            <w:r w:rsidR="007D72F4">
              <w:rPr>
                <w:szCs w:val="24"/>
              </w:rPr>
              <w:t xml:space="preserve"> </w:t>
            </w:r>
            <w:r w:rsidR="0035128A">
              <w:rPr>
                <w:szCs w:val="24"/>
              </w:rPr>
              <w:t>2017)</w:t>
            </w:r>
            <w:r w:rsidRPr="00EF6369">
              <w:rPr>
                <w:szCs w:val="24"/>
              </w:rPr>
              <w:t>, as amended from time to time</w:t>
            </w:r>
            <w:r w:rsidR="00F20FC4">
              <w:rPr>
                <w:szCs w:val="24"/>
              </w:rPr>
              <w:t>.</w:t>
            </w:r>
          </w:p>
        </w:tc>
      </w:tr>
      <w:tr w:rsidR="000A1A2F" w:rsidRPr="00EF6369" w:rsidTr="00242505">
        <w:tc>
          <w:tcPr>
            <w:tcW w:w="3685" w:type="dxa"/>
          </w:tcPr>
          <w:p w:rsidR="000A1A2F" w:rsidRPr="00EF6369" w:rsidRDefault="002F560E" w:rsidP="00E51B8E">
            <w:pPr>
              <w:spacing w:before="40" w:after="40"/>
              <w:jc w:val="both"/>
              <w:rPr>
                <w:b/>
                <w:szCs w:val="24"/>
              </w:rPr>
            </w:pPr>
            <w:r>
              <w:rPr>
                <w:b/>
                <w:szCs w:val="24"/>
              </w:rPr>
              <w:t xml:space="preserve">The </w:t>
            </w:r>
            <w:r w:rsidR="000A1A2F">
              <w:rPr>
                <w:b/>
                <w:szCs w:val="24"/>
              </w:rPr>
              <w:t>Procedures</w:t>
            </w:r>
          </w:p>
        </w:tc>
        <w:tc>
          <w:tcPr>
            <w:tcW w:w="5665" w:type="dxa"/>
          </w:tcPr>
          <w:p w:rsidR="000A1A2F" w:rsidRPr="00EF6369" w:rsidRDefault="009A569B" w:rsidP="00E51B8E">
            <w:pPr>
              <w:spacing w:before="40" w:after="40"/>
              <w:jc w:val="both"/>
              <w:rPr>
                <w:szCs w:val="24"/>
              </w:rPr>
            </w:pPr>
            <w:r>
              <w:rPr>
                <w:szCs w:val="24"/>
              </w:rPr>
              <w:t>T</w:t>
            </w:r>
            <w:r w:rsidR="00AE116C">
              <w:rPr>
                <w:szCs w:val="24"/>
              </w:rPr>
              <w:t>hese</w:t>
            </w:r>
            <w:r w:rsidR="000A1A2F">
              <w:rPr>
                <w:szCs w:val="24"/>
              </w:rPr>
              <w:t xml:space="preserve"> are the </w:t>
            </w:r>
            <w:r w:rsidR="006D5E25" w:rsidRPr="006D5E25">
              <w:rPr>
                <w:szCs w:val="24"/>
              </w:rPr>
              <w:t>Procurement Procedures for Projects Financed by CDB</w:t>
            </w:r>
            <w:r w:rsidR="00F20FC4">
              <w:rPr>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Procurement Framework</w:t>
            </w:r>
          </w:p>
        </w:tc>
        <w:tc>
          <w:tcPr>
            <w:tcW w:w="5665" w:type="dxa"/>
          </w:tcPr>
          <w:p w:rsidR="0066556C" w:rsidRPr="00EF6369" w:rsidRDefault="0066556C" w:rsidP="00E51B8E">
            <w:pPr>
              <w:spacing w:before="40" w:after="40"/>
              <w:jc w:val="both"/>
              <w:rPr>
                <w:szCs w:val="24"/>
              </w:rPr>
            </w:pPr>
            <w:r w:rsidRPr="00EF6369">
              <w:rPr>
                <w:szCs w:val="24"/>
              </w:rPr>
              <w:t>This is made up of th</w:t>
            </w:r>
            <w:r w:rsidR="00555ED9">
              <w:rPr>
                <w:szCs w:val="24"/>
              </w:rPr>
              <w:t>e</w:t>
            </w:r>
            <w:r w:rsidRPr="00EF6369">
              <w:rPr>
                <w:szCs w:val="24"/>
              </w:rPr>
              <w:t xml:space="preserve"> Policy and </w:t>
            </w:r>
            <w:r w:rsidR="00E51B8E">
              <w:rPr>
                <w:szCs w:val="24"/>
              </w:rPr>
              <w:t>t</w:t>
            </w:r>
            <w:r w:rsidRPr="00EF6369">
              <w:rPr>
                <w:szCs w:val="24"/>
              </w:rPr>
              <w:t>he Procedures</w:t>
            </w:r>
            <w:r w:rsidR="00F20FC4">
              <w:rPr>
                <w:szCs w:val="24"/>
              </w:rPr>
              <w:t>.</w:t>
            </w:r>
            <w:r w:rsidRPr="00EF6369">
              <w:rPr>
                <w:szCs w:val="24"/>
              </w:rPr>
              <w:t xml:space="preserve"> </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Procurement Plan</w:t>
            </w:r>
          </w:p>
        </w:tc>
        <w:tc>
          <w:tcPr>
            <w:tcW w:w="5665" w:type="dxa"/>
          </w:tcPr>
          <w:p w:rsidR="0066556C" w:rsidRPr="00EF6369" w:rsidRDefault="0066556C" w:rsidP="00E51B8E">
            <w:pPr>
              <w:spacing w:before="40" w:after="40"/>
              <w:jc w:val="both"/>
              <w:rPr>
                <w:szCs w:val="24"/>
              </w:rPr>
            </w:pPr>
            <w:r w:rsidRPr="00EF6369">
              <w:rPr>
                <w:color w:val="000000"/>
                <w:szCs w:val="24"/>
              </w:rPr>
              <w:t xml:space="preserve">The Recipient’s </w:t>
            </w:r>
            <w:r w:rsidRPr="003705C5">
              <w:rPr>
                <w:color w:val="000000"/>
                <w:szCs w:val="24"/>
              </w:rPr>
              <w:t>Procurement Plan for a CDB</w:t>
            </w:r>
            <w:r w:rsidR="003705C5">
              <w:rPr>
                <w:color w:val="000000"/>
                <w:szCs w:val="24"/>
              </w:rPr>
              <w:t xml:space="preserve"> </w:t>
            </w:r>
            <w:r w:rsidRPr="003705C5">
              <w:rPr>
                <w:color w:val="000000"/>
                <w:szCs w:val="24"/>
              </w:rPr>
              <w:t xml:space="preserve">financed project, as referred to in Section </w:t>
            </w:r>
            <w:r w:rsidR="001E63C1">
              <w:rPr>
                <w:color w:val="000000"/>
                <w:szCs w:val="24"/>
              </w:rPr>
              <w:t>6</w:t>
            </w:r>
            <w:r w:rsidRPr="00EF6369">
              <w:rPr>
                <w:color w:val="000000"/>
                <w:szCs w:val="24"/>
              </w:rPr>
              <w:t xml:space="preserve"> and incorporated in the Financing Agreement</w:t>
            </w:r>
            <w:r w:rsidR="00F20FC4">
              <w:rPr>
                <w:color w:val="000000"/>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bCs/>
                <w:color w:val="000000"/>
                <w:szCs w:val="24"/>
              </w:rPr>
              <w:t>Procurement Strategy</w:t>
            </w:r>
          </w:p>
        </w:tc>
        <w:tc>
          <w:tcPr>
            <w:tcW w:w="5665" w:type="dxa"/>
          </w:tcPr>
          <w:p w:rsidR="0066556C" w:rsidRPr="00EF6369" w:rsidRDefault="0066556C" w:rsidP="00E51B8E">
            <w:pPr>
              <w:spacing w:before="40" w:after="40"/>
              <w:jc w:val="both"/>
              <w:rPr>
                <w:szCs w:val="24"/>
              </w:rPr>
            </w:pPr>
            <w:r w:rsidRPr="00EF6369">
              <w:rPr>
                <w:color w:val="000000"/>
                <w:szCs w:val="24"/>
              </w:rPr>
              <w:t xml:space="preserve">The Recipient’s project-level procurement strategy document that describes how the procurement will deliver the intended development objectives and provide </w:t>
            </w:r>
            <w:r w:rsidRPr="00EF6369">
              <w:rPr>
                <w:color w:val="000000"/>
                <w:szCs w:val="24"/>
              </w:rPr>
              <w:lastRenderedPageBreak/>
              <w:t>value</w:t>
            </w:r>
            <w:r w:rsidR="00B61349" w:rsidRPr="00EF6369">
              <w:rPr>
                <w:color w:val="000000"/>
                <w:szCs w:val="24"/>
              </w:rPr>
              <w:t xml:space="preserve"> </w:t>
            </w:r>
            <w:r w:rsidRPr="00EF6369">
              <w:rPr>
                <w:color w:val="000000"/>
                <w:szCs w:val="24"/>
              </w:rPr>
              <w:t>for</w:t>
            </w:r>
            <w:r w:rsidR="00B61349" w:rsidRPr="00EF6369">
              <w:rPr>
                <w:color w:val="000000"/>
                <w:szCs w:val="24"/>
              </w:rPr>
              <w:t xml:space="preserve"> </w:t>
            </w:r>
            <w:r w:rsidRPr="00EF6369">
              <w:rPr>
                <w:color w:val="000000"/>
                <w:szCs w:val="24"/>
              </w:rPr>
              <w:t>money through the application of CDB’s core procurement principles</w:t>
            </w:r>
            <w:r w:rsidR="00F20FC4">
              <w:rPr>
                <w:color w:val="000000"/>
                <w:szCs w:val="24"/>
              </w:rPr>
              <w:t>.</w:t>
            </w:r>
          </w:p>
        </w:tc>
      </w:tr>
      <w:tr w:rsidR="0066556C" w:rsidRPr="00EF6369" w:rsidTr="00242505">
        <w:tc>
          <w:tcPr>
            <w:tcW w:w="3685" w:type="dxa"/>
          </w:tcPr>
          <w:p w:rsidR="0066556C" w:rsidRPr="00EF6369" w:rsidRDefault="0066556C" w:rsidP="00E51B8E">
            <w:pPr>
              <w:spacing w:before="40" w:after="40"/>
              <w:jc w:val="both"/>
              <w:rPr>
                <w:b/>
                <w:bCs/>
                <w:color w:val="000000"/>
                <w:szCs w:val="24"/>
              </w:rPr>
            </w:pPr>
            <w:r w:rsidRPr="00EF6369">
              <w:rPr>
                <w:b/>
                <w:bCs/>
                <w:color w:val="000000"/>
                <w:szCs w:val="24"/>
              </w:rPr>
              <w:lastRenderedPageBreak/>
              <w:t>Proposal</w:t>
            </w:r>
          </w:p>
        </w:tc>
        <w:tc>
          <w:tcPr>
            <w:tcW w:w="5665" w:type="dxa"/>
          </w:tcPr>
          <w:p w:rsidR="0066556C" w:rsidRPr="00EF6369" w:rsidRDefault="0066556C" w:rsidP="00E51B8E">
            <w:pPr>
              <w:spacing w:before="40" w:after="40"/>
              <w:jc w:val="both"/>
              <w:rPr>
                <w:color w:val="000000"/>
                <w:szCs w:val="24"/>
              </w:rPr>
            </w:pPr>
            <w:r w:rsidRPr="00EF6369">
              <w:rPr>
                <w:color w:val="000000"/>
                <w:szCs w:val="24"/>
              </w:rPr>
              <w:t xml:space="preserve">An offer, </w:t>
            </w:r>
            <w:r w:rsidR="00DF1527">
              <w:rPr>
                <w:color w:val="000000"/>
                <w:szCs w:val="24"/>
              </w:rPr>
              <w:t xml:space="preserve">usually </w:t>
            </w:r>
            <w:r w:rsidRPr="00EF6369">
              <w:rPr>
                <w:color w:val="000000"/>
                <w:szCs w:val="24"/>
              </w:rPr>
              <w:t>in response to a request for proposal, which may or may not include price, by one party to provide Consulting Services to another party</w:t>
            </w:r>
            <w:r w:rsidR="00F20FC4">
              <w:rPr>
                <w:color w:val="000000"/>
                <w:szCs w:val="24"/>
              </w:rPr>
              <w:t>.</w:t>
            </w:r>
          </w:p>
        </w:tc>
      </w:tr>
      <w:tr w:rsidR="007E5872" w:rsidRPr="00EF6369" w:rsidTr="00242505">
        <w:tc>
          <w:tcPr>
            <w:tcW w:w="3685" w:type="dxa"/>
          </w:tcPr>
          <w:p w:rsidR="007E5872" w:rsidRPr="00EF6369" w:rsidRDefault="007E5872" w:rsidP="00E51B8E">
            <w:pPr>
              <w:spacing w:before="40" w:after="40"/>
              <w:jc w:val="both"/>
              <w:rPr>
                <w:b/>
                <w:bCs/>
                <w:color w:val="000000"/>
                <w:szCs w:val="24"/>
              </w:rPr>
            </w:pPr>
            <w:r>
              <w:rPr>
                <w:b/>
                <w:bCs/>
                <w:color w:val="000000"/>
                <w:szCs w:val="24"/>
              </w:rPr>
              <w:t>Proposers</w:t>
            </w:r>
          </w:p>
        </w:tc>
        <w:tc>
          <w:tcPr>
            <w:tcW w:w="5665" w:type="dxa"/>
          </w:tcPr>
          <w:p w:rsidR="007E5872" w:rsidRPr="00EF6369" w:rsidRDefault="007E5872" w:rsidP="00E51B8E">
            <w:pPr>
              <w:spacing w:before="40" w:after="40"/>
              <w:jc w:val="both"/>
              <w:rPr>
                <w:color w:val="000000"/>
                <w:szCs w:val="24"/>
              </w:rPr>
            </w:pPr>
            <w:r w:rsidRPr="007E5872">
              <w:rPr>
                <w:color w:val="000000"/>
                <w:szCs w:val="24"/>
              </w:rPr>
              <w:t>Consultants submitting E</w:t>
            </w:r>
            <w:r>
              <w:rPr>
                <w:color w:val="000000"/>
                <w:szCs w:val="24"/>
              </w:rPr>
              <w:t>xpressions of Interest</w:t>
            </w:r>
            <w:r w:rsidRPr="007E5872">
              <w:rPr>
                <w:color w:val="000000"/>
                <w:szCs w:val="24"/>
              </w:rPr>
              <w:t xml:space="preserve"> or Proposals</w:t>
            </w:r>
            <w:r w:rsidR="00F20FC4">
              <w:rPr>
                <w:color w:val="000000"/>
                <w:szCs w:val="24"/>
              </w:rPr>
              <w:t>.</w:t>
            </w:r>
          </w:p>
        </w:tc>
      </w:tr>
      <w:tr w:rsidR="0066556C" w:rsidRPr="00EF6369" w:rsidTr="00242505">
        <w:tc>
          <w:tcPr>
            <w:tcW w:w="3685" w:type="dxa"/>
          </w:tcPr>
          <w:p w:rsidR="0066556C" w:rsidRPr="00EF6369" w:rsidRDefault="0066556C" w:rsidP="00E51B8E">
            <w:pPr>
              <w:spacing w:before="40" w:after="40"/>
              <w:jc w:val="both"/>
              <w:rPr>
                <w:b/>
                <w:szCs w:val="24"/>
              </w:rPr>
            </w:pPr>
            <w:r w:rsidRPr="00EF6369">
              <w:rPr>
                <w:b/>
                <w:szCs w:val="24"/>
              </w:rPr>
              <w:t>Recipient</w:t>
            </w:r>
          </w:p>
        </w:tc>
        <w:tc>
          <w:tcPr>
            <w:tcW w:w="5665" w:type="dxa"/>
          </w:tcPr>
          <w:p w:rsidR="0066556C" w:rsidRPr="00EF6369" w:rsidRDefault="0066556C" w:rsidP="00E51B8E">
            <w:pPr>
              <w:spacing w:before="40" w:after="40"/>
              <w:jc w:val="both"/>
              <w:rPr>
                <w:szCs w:val="24"/>
              </w:rPr>
            </w:pPr>
            <w:r w:rsidRPr="00EF6369">
              <w:rPr>
                <w:szCs w:val="24"/>
              </w:rPr>
              <w:t>The entity or entities signing the Financing Agreement</w:t>
            </w:r>
            <w:r w:rsidR="00F20FC4">
              <w:rPr>
                <w:szCs w:val="24"/>
              </w:rPr>
              <w:t>.</w:t>
            </w:r>
          </w:p>
        </w:tc>
      </w:tr>
      <w:tr w:rsidR="00111FCC" w:rsidRPr="00EF6369" w:rsidTr="00242505">
        <w:tc>
          <w:tcPr>
            <w:tcW w:w="3685" w:type="dxa"/>
          </w:tcPr>
          <w:p w:rsidR="00111FCC" w:rsidRPr="00EF6369" w:rsidRDefault="00111FCC" w:rsidP="00E51B8E">
            <w:pPr>
              <w:spacing w:before="40" w:after="40"/>
              <w:jc w:val="both"/>
              <w:rPr>
                <w:b/>
                <w:szCs w:val="24"/>
              </w:rPr>
            </w:pPr>
            <w:r>
              <w:rPr>
                <w:b/>
                <w:szCs w:val="24"/>
              </w:rPr>
              <w:t>Section</w:t>
            </w:r>
          </w:p>
        </w:tc>
        <w:tc>
          <w:tcPr>
            <w:tcW w:w="5665" w:type="dxa"/>
          </w:tcPr>
          <w:p w:rsidR="00111FCC" w:rsidRPr="00EF6369" w:rsidRDefault="001E63C1" w:rsidP="00E51B8E">
            <w:pPr>
              <w:spacing w:before="40" w:after="40"/>
              <w:jc w:val="both"/>
              <w:rPr>
                <w:szCs w:val="24"/>
              </w:rPr>
            </w:pPr>
            <w:r>
              <w:rPr>
                <w:szCs w:val="24"/>
              </w:rPr>
              <w:t>T</w:t>
            </w:r>
            <w:r w:rsidR="00111FCC" w:rsidRPr="00111FCC">
              <w:rPr>
                <w:szCs w:val="24"/>
              </w:rPr>
              <w:t>his ref</w:t>
            </w:r>
            <w:r w:rsidR="00111FCC">
              <w:rPr>
                <w:szCs w:val="24"/>
              </w:rPr>
              <w:t>ers to sections in the Policy</w:t>
            </w:r>
            <w:r w:rsidR="00F20FC4">
              <w:rPr>
                <w:szCs w:val="24"/>
              </w:rPr>
              <w:t>.</w:t>
            </w:r>
          </w:p>
        </w:tc>
      </w:tr>
      <w:tr w:rsidR="0035128A" w:rsidRPr="00EF6369" w:rsidTr="00242505">
        <w:tc>
          <w:tcPr>
            <w:tcW w:w="3685" w:type="dxa"/>
          </w:tcPr>
          <w:p w:rsidR="0035128A" w:rsidRPr="00EF6369" w:rsidRDefault="0035128A" w:rsidP="00E51B8E">
            <w:pPr>
              <w:spacing w:before="40" w:after="40"/>
              <w:jc w:val="both"/>
              <w:rPr>
                <w:b/>
                <w:szCs w:val="24"/>
              </w:rPr>
            </w:pPr>
            <w:r>
              <w:rPr>
                <w:b/>
                <w:szCs w:val="24"/>
              </w:rPr>
              <w:t>SPDs</w:t>
            </w:r>
          </w:p>
        </w:tc>
        <w:tc>
          <w:tcPr>
            <w:tcW w:w="5665" w:type="dxa"/>
          </w:tcPr>
          <w:p w:rsidR="0035128A" w:rsidRPr="00EF6369" w:rsidRDefault="0035128A" w:rsidP="00E51B8E">
            <w:pPr>
              <w:spacing w:before="40" w:after="40"/>
              <w:jc w:val="both"/>
              <w:rPr>
                <w:szCs w:val="24"/>
              </w:rPr>
            </w:pPr>
            <w:r>
              <w:rPr>
                <w:szCs w:val="24"/>
              </w:rPr>
              <w:t>Standard Procurement Documents</w:t>
            </w:r>
            <w:r w:rsidR="00F20FC4">
              <w:rPr>
                <w:szCs w:val="24"/>
              </w:rPr>
              <w:t>.</w:t>
            </w:r>
          </w:p>
        </w:tc>
      </w:tr>
      <w:tr w:rsidR="0066556C" w:rsidRPr="00EF6369" w:rsidTr="00242505">
        <w:tc>
          <w:tcPr>
            <w:tcW w:w="3685" w:type="dxa"/>
          </w:tcPr>
          <w:p w:rsidR="0066556C" w:rsidRPr="00EF6369" w:rsidRDefault="0066556C" w:rsidP="00E51B8E">
            <w:pPr>
              <w:spacing w:before="40" w:after="40"/>
              <w:ind w:left="-18" w:firstLine="18"/>
              <w:rPr>
                <w:b/>
                <w:szCs w:val="24"/>
              </w:rPr>
            </w:pPr>
            <w:r w:rsidRPr="00EF6369">
              <w:rPr>
                <w:b/>
                <w:szCs w:val="24"/>
              </w:rPr>
              <w:t>Standard Procurement Documents</w:t>
            </w:r>
          </w:p>
        </w:tc>
        <w:tc>
          <w:tcPr>
            <w:tcW w:w="5665" w:type="dxa"/>
          </w:tcPr>
          <w:p w:rsidR="0066556C" w:rsidRPr="00EF6369" w:rsidRDefault="00E11555" w:rsidP="00F20FC4">
            <w:pPr>
              <w:spacing w:before="40" w:after="40"/>
              <w:jc w:val="both"/>
              <w:rPr>
                <w:color w:val="000000"/>
                <w:szCs w:val="24"/>
              </w:rPr>
            </w:pPr>
            <w:r w:rsidRPr="00E11555">
              <w:rPr>
                <w:color w:val="000000"/>
                <w:szCs w:val="24"/>
              </w:rPr>
              <w:t>All Standard Procurement Documents</w:t>
            </w:r>
            <w:r w:rsidR="001E63C1">
              <w:rPr>
                <w:color w:val="000000"/>
                <w:szCs w:val="24"/>
              </w:rPr>
              <w:t xml:space="preserve">, </w:t>
            </w:r>
            <w:r w:rsidRPr="00E11555">
              <w:rPr>
                <w:color w:val="000000"/>
                <w:szCs w:val="24"/>
              </w:rPr>
              <w:t>includ</w:t>
            </w:r>
            <w:r w:rsidR="001E63C1">
              <w:rPr>
                <w:color w:val="000000"/>
                <w:szCs w:val="24"/>
              </w:rPr>
              <w:t>ing,</w:t>
            </w:r>
            <w:r w:rsidRPr="00E11555">
              <w:rPr>
                <w:color w:val="000000"/>
                <w:szCs w:val="24"/>
              </w:rPr>
              <w:t xml:space="preserve"> standard procurement notices, pre-qualification documents, </w:t>
            </w:r>
            <w:r w:rsidR="00A77E2D">
              <w:rPr>
                <w:color w:val="000000"/>
                <w:szCs w:val="24"/>
              </w:rPr>
              <w:t>b</w:t>
            </w:r>
            <w:r w:rsidRPr="00E11555">
              <w:rPr>
                <w:color w:val="000000"/>
                <w:szCs w:val="24"/>
              </w:rPr>
              <w:t xml:space="preserve">idding </w:t>
            </w:r>
            <w:r w:rsidR="00A77E2D">
              <w:rPr>
                <w:color w:val="000000"/>
                <w:szCs w:val="24"/>
              </w:rPr>
              <w:t>d</w:t>
            </w:r>
            <w:r w:rsidRPr="00E11555">
              <w:rPr>
                <w:color w:val="000000"/>
                <w:szCs w:val="24"/>
              </w:rPr>
              <w:t>ocuments including contract forms, for Goods, Works and Non-Consulting Services</w:t>
            </w:r>
            <w:r w:rsidR="00551E3D">
              <w:rPr>
                <w:color w:val="000000"/>
                <w:szCs w:val="24"/>
              </w:rPr>
              <w:t>,</w:t>
            </w:r>
            <w:r w:rsidRPr="00E11555">
              <w:rPr>
                <w:color w:val="000000"/>
                <w:szCs w:val="24"/>
              </w:rPr>
              <w:t xml:space="preserve"> as well as Request for Proposals documents, including contract forms, for Consultancy Services, and equivalent issued by CDB for use on CDB</w:t>
            </w:r>
            <w:r w:rsidR="00F20FC4">
              <w:rPr>
                <w:color w:val="000000"/>
                <w:szCs w:val="24"/>
              </w:rPr>
              <w:t>-</w:t>
            </w:r>
            <w:r w:rsidRPr="00E11555">
              <w:rPr>
                <w:color w:val="000000"/>
                <w:szCs w:val="24"/>
              </w:rPr>
              <w:t>financed projects</w:t>
            </w:r>
            <w:r w:rsidR="00F20FC4">
              <w:rPr>
                <w:color w:val="000000"/>
                <w:szCs w:val="24"/>
              </w:rPr>
              <w:t>.</w:t>
            </w:r>
          </w:p>
        </w:tc>
      </w:tr>
      <w:tr w:rsidR="0066556C" w:rsidRPr="00EF6369" w:rsidTr="00242505">
        <w:tc>
          <w:tcPr>
            <w:tcW w:w="3685" w:type="dxa"/>
          </w:tcPr>
          <w:p w:rsidR="0066556C" w:rsidRPr="00EF6369" w:rsidRDefault="0066556C" w:rsidP="00E51B8E">
            <w:pPr>
              <w:spacing w:before="40" w:after="40"/>
              <w:rPr>
                <w:b/>
                <w:szCs w:val="24"/>
              </w:rPr>
            </w:pPr>
            <w:r w:rsidRPr="00EF6369">
              <w:rPr>
                <w:b/>
                <w:szCs w:val="24"/>
              </w:rPr>
              <w:t>Supplier</w:t>
            </w:r>
          </w:p>
        </w:tc>
        <w:tc>
          <w:tcPr>
            <w:tcW w:w="5665" w:type="dxa"/>
          </w:tcPr>
          <w:p w:rsidR="0066556C" w:rsidRPr="00EF6369" w:rsidRDefault="0066556C" w:rsidP="00E51B8E">
            <w:pPr>
              <w:spacing w:before="40" w:after="40"/>
              <w:jc w:val="both"/>
              <w:rPr>
                <w:szCs w:val="24"/>
              </w:rPr>
            </w:pPr>
            <w:r w:rsidRPr="00EF6369">
              <w:rPr>
                <w:color w:val="000000"/>
                <w:szCs w:val="24"/>
              </w:rPr>
              <w:t xml:space="preserve">A </w:t>
            </w:r>
            <w:r w:rsidR="005744A7">
              <w:rPr>
                <w:color w:val="000000"/>
                <w:szCs w:val="24"/>
              </w:rPr>
              <w:t>F</w:t>
            </w:r>
            <w:r w:rsidRPr="00EF6369">
              <w:rPr>
                <w:color w:val="000000"/>
                <w:szCs w:val="24"/>
              </w:rPr>
              <w:t>irm</w:t>
            </w:r>
            <w:r w:rsidRPr="00EF6369">
              <w:rPr>
                <w:szCs w:val="24"/>
              </w:rPr>
              <w:t xml:space="preserve"> </w:t>
            </w:r>
            <w:r w:rsidRPr="00EF6369">
              <w:rPr>
                <w:color w:val="000000"/>
                <w:szCs w:val="24"/>
              </w:rPr>
              <w:t xml:space="preserve">that is contracted to </w:t>
            </w:r>
            <w:r w:rsidRPr="00EF6369">
              <w:t>supply Goods and required associated services</w:t>
            </w:r>
            <w:r w:rsidR="00B70ADF">
              <w:t xml:space="preserve">, if any, or </w:t>
            </w:r>
            <w:r w:rsidR="00B70ADF" w:rsidRPr="00B70ADF">
              <w:t>Non-Consulting Services</w:t>
            </w:r>
          </w:p>
        </w:tc>
      </w:tr>
      <w:tr w:rsidR="00A87FB8" w:rsidRPr="00EF6369" w:rsidTr="00242505">
        <w:tc>
          <w:tcPr>
            <w:tcW w:w="3685" w:type="dxa"/>
          </w:tcPr>
          <w:p w:rsidR="00A87FB8" w:rsidRPr="00EF6369" w:rsidRDefault="00A87FB8" w:rsidP="00E51B8E">
            <w:pPr>
              <w:spacing w:before="40" w:after="40"/>
              <w:rPr>
                <w:b/>
                <w:szCs w:val="24"/>
              </w:rPr>
            </w:pPr>
            <w:r w:rsidRPr="00A87FB8">
              <w:rPr>
                <w:b/>
                <w:szCs w:val="24"/>
              </w:rPr>
              <w:t>Terminal Disbursement Date</w:t>
            </w:r>
          </w:p>
        </w:tc>
        <w:tc>
          <w:tcPr>
            <w:tcW w:w="5665" w:type="dxa"/>
          </w:tcPr>
          <w:p w:rsidR="00A87FB8" w:rsidRPr="00EF6369" w:rsidRDefault="00A87FB8" w:rsidP="00E51B8E">
            <w:pPr>
              <w:spacing w:before="40" w:after="40"/>
              <w:jc w:val="both"/>
              <w:rPr>
                <w:color w:val="000000"/>
                <w:szCs w:val="24"/>
              </w:rPr>
            </w:pPr>
            <w:r w:rsidRPr="00A87FB8">
              <w:rPr>
                <w:color w:val="000000"/>
                <w:szCs w:val="24"/>
              </w:rPr>
              <w:t>The date after which CDB will stop accepting withdrawal applications under a Financing Agreement and may</w:t>
            </w:r>
            <w:r>
              <w:rPr>
                <w:color w:val="000000"/>
                <w:szCs w:val="24"/>
              </w:rPr>
              <w:t xml:space="preserve"> cancel any undisbursed balances</w:t>
            </w:r>
            <w:r w:rsidR="00F20FC4">
              <w:rPr>
                <w:color w:val="000000"/>
                <w:szCs w:val="24"/>
              </w:rPr>
              <w:t>.</w:t>
            </w:r>
          </w:p>
        </w:tc>
      </w:tr>
      <w:tr w:rsidR="0066556C" w:rsidRPr="00EF6369" w:rsidTr="00242505">
        <w:tc>
          <w:tcPr>
            <w:tcW w:w="3685" w:type="dxa"/>
          </w:tcPr>
          <w:p w:rsidR="0066556C" w:rsidRPr="00EF6369" w:rsidRDefault="0066556C" w:rsidP="00E51B8E">
            <w:pPr>
              <w:spacing w:before="40" w:after="40"/>
              <w:rPr>
                <w:b/>
                <w:szCs w:val="24"/>
              </w:rPr>
            </w:pPr>
            <w:r w:rsidRPr="00EF6369">
              <w:rPr>
                <w:b/>
                <w:szCs w:val="24"/>
              </w:rPr>
              <w:t>UN</w:t>
            </w:r>
            <w:r w:rsidR="009A569B">
              <w:rPr>
                <w:b/>
                <w:szCs w:val="24"/>
              </w:rPr>
              <w:t xml:space="preserve"> Agencies</w:t>
            </w:r>
          </w:p>
        </w:tc>
        <w:tc>
          <w:tcPr>
            <w:tcW w:w="5665" w:type="dxa"/>
          </w:tcPr>
          <w:p w:rsidR="0066556C" w:rsidRPr="00EF6369" w:rsidRDefault="004F5C21" w:rsidP="00E51B8E">
            <w:pPr>
              <w:spacing w:before="40" w:after="40"/>
              <w:jc w:val="both"/>
            </w:pPr>
            <w:r w:rsidRPr="004F5C21">
              <w:rPr>
                <w:szCs w:val="24"/>
              </w:rPr>
              <w:t>United Nations Agencies refers to the UN departments, specialised agencies and their regional offices, such as the Pan-American Health Organisation, entities</w:t>
            </w:r>
            <w:r w:rsidR="00551E3D">
              <w:rPr>
                <w:szCs w:val="24"/>
              </w:rPr>
              <w:t>,</w:t>
            </w:r>
            <w:r w:rsidRPr="004F5C21">
              <w:rPr>
                <w:szCs w:val="24"/>
              </w:rPr>
              <w:t xml:space="preserve"> funds and programmes</w:t>
            </w:r>
            <w:r w:rsidR="00F20FC4">
              <w:rPr>
                <w:szCs w:val="24"/>
              </w:rPr>
              <w:t>.</w:t>
            </w:r>
          </w:p>
        </w:tc>
      </w:tr>
      <w:tr w:rsidR="0066556C" w:rsidRPr="00EF6369" w:rsidTr="00242505">
        <w:tc>
          <w:tcPr>
            <w:tcW w:w="3685" w:type="dxa"/>
          </w:tcPr>
          <w:p w:rsidR="0066556C" w:rsidRPr="00EF6369" w:rsidRDefault="0066556C" w:rsidP="00E51B8E">
            <w:pPr>
              <w:spacing w:before="40" w:after="40"/>
              <w:rPr>
                <w:b/>
                <w:szCs w:val="24"/>
              </w:rPr>
            </w:pPr>
            <w:r w:rsidRPr="00EF6369">
              <w:rPr>
                <w:b/>
                <w:szCs w:val="24"/>
              </w:rPr>
              <w:t>VfM</w:t>
            </w:r>
          </w:p>
        </w:tc>
        <w:tc>
          <w:tcPr>
            <w:tcW w:w="5665" w:type="dxa"/>
          </w:tcPr>
          <w:p w:rsidR="0066556C" w:rsidRPr="00EF6369" w:rsidRDefault="0066556C" w:rsidP="00E51B8E">
            <w:pPr>
              <w:spacing w:before="40" w:after="40"/>
              <w:jc w:val="both"/>
              <w:rPr>
                <w:bCs/>
                <w:color w:val="000000"/>
                <w:szCs w:val="24"/>
              </w:rPr>
            </w:pPr>
            <w:r w:rsidRPr="00EF6369">
              <w:rPr>
                <w:szCs w:val="24"/>
              </w:rPr>
              <w:t>Value for Money</w:t>
            </w:r>
          </w:p>
        </w:tc>
      </w:tr>
      <w:tr w:rsidR="008A543A" w:rsidRPr="00EF6369" w:rsidTr="00242505">
        <w:tc>
          <w:tcPr>
            <w:tcW w:w="3685" w:type="dxa"/>
          </w:tcPr>
          <w:p w:rsidR="008A543A" w:rsidRPr="00EF6369" w:rsidRDefault="008A543A" w:rsidP="00E51B8E">
            <w:pPr>
              <w:spacing w:before="40" w:after="40"/>
              <w:rPr>
                <w:b/>
                <w:szCs w:val="24"/>
              </w:rPr>
            </w:pPr>
            <w:r>
              <w:rPr>
                <w:b/>
                <w:szCs w:val="24"/>
              </w:rPr>
              <w:t>Value for Money</w:t>
            </w:r>
          </w:p>
        </w:tc>
        <w:tc>
          <w:tcPr>
            <w:tcW w:w="5665" w:type="dxa"/>
          </w:tcPr>
          <w:p w:rsidR="008A543A" w:rsidRPr="00EF6369" w:rsidRDefault="00C838BE" w:rsidP="00DA76C6">
            <w:pPr>
              <w:spacing w:before="40" w:after="40"/>
              <w:jc w:val="both"/>
              <w:rPr>
                <w:szCs w:val="24"/>
              </w:rPr>
            </w:pPr>
            <w:r w:rsidRPr="00C838BE">
              <w:rPr>
                <w:szCs w:val="24"/>
              </w:rPr>
              <w:t xml:space="preserve">Value for money </w:t>
            </w:r>
            <w:r w:rsidR="00DA76C6">
              <w:rPr>
                <w:szCs w:val="24"/>
              </w:rPr>
              <w:t xml:space="preserve">means the </w:t>
            </w:r>
            <w:r w:rsidR="00DA76C6" w:rsidRPr="00DA76C6">
              <w:rPr>
                <w:szCs w:val="24"/>
              </w:rPr>
              <w:t>efficient</w:t>
            </w:r>
            <w:r w:rsidR="00DA76C6">
              <w:rPr>
                <w:szCs w:val="24"/>
              </w:rPr>
              <w:t xml:space="preserve">, effective and economic use of resources to achieve the intended outcomes. This requires the </w:t>
            </w:r>
            <w:r w:rsidR="00DA76C6" w:rsidRPr="00DA76C6">
              <w:rPr>
                <w:szCs w:val="24"/>
              </w:rPr>
              <w:t>evaluation of relevant costs and benefits, along with an assessment of risks and of non-price attributes and/or life-cycle costs, as appropriate. Price alone may not necessarily represent VfM</w:t>
            </w:r>
            <w:r w:rsidR="00DA76C6">
              <w:rPr>
                <w:szCs w:val="24"/>
              </w:rPr>
              <w:t>.</w:t>
            </w:r>
          </w:p>
        </w:tc>
      </w:tr>
      <w:tr w:rsidR="0066556C" w:rsidRPr="00EF6369" w:rsidTr="00242505">
        <w:tc>
          <w:tcPr>
            <w:tcW w:w="3685" w:type="dxa"/>
          </w:tcPr>
          <w:p w:rsidR="0066556C" w:rsidRPr="00EF6369" w:rsidRDefault="0066556C" w:rsidP="00E51B8E">
            <w:pPr>
              <w:spacing w:before="40" w:after="40"/>
              <w:rPr>
                <w:b/>
                <w:szCs w:val="24"/>
              </w:rPr>
            </w:pPr>
            <w:r w:rsidRPr="00EF6369">
              <w:rPr>
                <w:b/>
                <w:szCs w:val="24"/>
              </w:rPr>
              <w:t>Works</w:t>
            </w:r>
          </w:p>
        </w:tc>
        <w:tc>
          <w:tcPr>
            <w:tcW w:w="5665" w:type="dxa"/>
          </w:tcPr>
          <w:p w:rsidR="0066556C" w:rsidRPr="00EF6369" w:rsidRDefault="00A26110" w:rsidP="00E51B8E">
            <w:pPr>
              <w:spacing w:before="40" w:after="40"/>
              <w:jc w:val="both"/>
              <w:rPr>
                <w:color w:val="000000"/>
                <w:szCs w:val="24"/>
              </w:rPr>
            </w:pPr>
            <w:r>
              <w:rPr>
                <w:bCs/>
                <w:color w:val="000000"/>
                <w:szCs w:val="24"/>
              </w:rPr>
              <w:t>Includes c</w:t>
            </w:r>
            <w:r w:rsidR="0066556C" w:rsidRPr="00EF6369">
              <w:rPr>
                <w:bCs/>
                <w:color w:val="000000"/>
                <w:szCs w:val="24"/>
              </w:rPr>
              <w:t xml:space="preserve">onstruction, repair, rehabilitation, demolition, restoration, maintenance of civil </w:t>
            </w:r>
            <w:r w:rsidR="00D74453">
              <w:rPr>
                <w:bCs/>
                <w:color w:val="000000"/>
                <w:szCs w:val="24"/>
              </w:rPr>
              <w:t>w</w:t>
            </w:r>
            <w:r w:rsidR="0066556C" w:rsidRPr="00EF6369">
              <w:rPr>
                <w:bCs/>
                <w:color w:val="000000"/>
                <w:szCs w:val="24"/>
              </w:rPr>
              <w:t>ork structures and equivalent, and related services such as transportation, insurance, installation, commissioning, and training</w:t>
            </w:r>
            <w:r w:rsidR="00F20FC4">
              <w:rPr>
                <w:bCs/>
                <w:color w:val="000000"/>
                <w:szCs w:val="24"/>
              </w:rPr>
              <w:t>.</w:t>
            </w:r>
          </w:p>
        </w:tc>
      </w:tr>
    </w:tbl>
    <w:p w:rsidR="00AA6E65" w:rsidRDefault="00AA6E65" w:rsidP="005D2F17">
      <w:pPr>
        <w:jc w:val="center"/>
        <w:rPr>
          <w:b/>
          <w:szCs w:val="24"/>
        </w:rPr>
        <w:sectPr w:rsidR="00AA6E65" w:rsidSect="006D6C74">
          <w:headerReference w:type="even" r:id="rId21"/>
          <w:headerReference w:type="default" r:id="rId22"/>
          <w:footerReference w:type="default" r:id="rId23"/>
          <w:headerReference w:type="first" r:id="rId24"/>
          <w:endnotePr>
            <w:numFmt w:val="decimal"/>
          </w:endnotePr>
          <w:pgSz w:w="12240" w:h="15840" w:code="1"/>
          <w:pgMar w:top="1440" w:right="1440" w:bottom="1440" w:left="1440" w:header="1296" w:footer="1296" w:gutter="0"/>
          <w:pgNumType w:fmt="numberInDash" w:start="1"/>
          <w:cols w:space="720"/>
          <w:noEndnote/>
          <w:docGrid w:linePitch="360"/>
        </w:sectPr>
      </w:pPr>
    </w:p>
    <w:p w:rsidR="00E742CA" w:rsidRPr="00E51B8E" w:rsidRDefault="00F76511" w:rsidP="006B145F">
      <w:pPr>
        <w:pStyle w:val="Heading1"/>
        <w:rPr>
          <w:sz w:val="24"/>
          <w:szCs w:val="24"/>
          <w:lang w:val="en-US"/>
        </w:rPr>
      </w:pPr>
      <w:bookmarkStart w:id="3" w:name="_Toc505689510"/>
      <w:bookmarkStart w:id="4" w:name="_Toc505702274"/>
      <w:bookmarkStart w:id="5" w:name="_Toc527715673"/>
      <w:r w:rsidRPr="006B145F">
        <w:rPr>
          <w:szCs w:val="28"/>
          <w:lang w:val="en-US"/>
        </w:rPr>
        <w:lastRenderedPageBreak/>
        <w:t>1</w:t>
      </w:r>
      <w:r w:rsidR="005D2F17" w:rsidRPr="006B145F">
        <w:rPr>
          <w:szCs w:val="28"/>
          <w:lang w:val="en-US"/>
        </w:rPr>
        <w:t>.</w:t>
      </w:r>
      <w:r w:rsidR="005D2F17" w:rsidRPr="00E51B8E">
        <w:rPr>
          <w:sz w:val="24"/>
          <w:szCs w:val="24"/>
          <w:lang w:val="en-US"/>
        </w:rPr>
        <w:t xml:space="preserve"> </w:t>
      </w:r>
      <w:r w:rsidR="006B145F">
        <w:rPr>
          <w:sz w:val="24"/>
          <w:szCs w:val="24"/>
          <w:lang w:val="en-US"/>
        </w:rPr>
        <w:t xml:space="preserve">   </w:t>
      </w:r>
      <w:r w:rsidR="005D2F17" w:rsidRPr="006B145F">
        <w:rPr>
          <w:szCs w:val="28"/>
          <w:u w:val="single"/>
          <w:lang w:val="en-US"/>
        </w:rPr>
        <w:t>INTRODUCTION</w:t>
      </w:r>
      <w:bookmarkEnd w:id="3"/>
      <w:bookmarkEnd w:id="4"/>
      <w:bookmarkEnd w:id="5"/>
    </w:p>
    <w:p w:rsidR="005D2F17" w:rsidRPr="00E51B8E" w:rsidRDefault="005D2F17" w:rsidP="00E51B8E">
      <w:pPr>
        <w:pStyle w:val="Heading2"/>
        <w:spacing w:after="200"/>
        <w:rPr>
          <w:sz w:val="24"/>
          <w:szCs w:val="24"/>
          <w:lang w:val="en-US"/>
        </w:rPr>
      </w:pPr>
      <w:bookmarkStart w:id="6" w:name="_Toc505689511"/>
      <w:bookmarkStart w:id="7" w:name="_Toc505702275"/>
      <w:bookmarkStart w:id="8" w:name="_Toc527715674"/>
      <w:r w:rsidRPr="00E51B8E">
        <w:rPr>
          <w:sz w:val="24"/>
          <w:szCs w:val="24"/>
          <w:lang w:val="en-US"/>
        </w:rPr>
        <w:t>PURPOSE</w:t>
      </w:r>
      <w:bookmarkEnd w:id="6"/>
      <w:bookmarkEnd w:id="7"/>
      <w:bookmarkEnd w:id="8"/>
    </w:p>
    <w:p w:rsidR="00E742CA" w:rsidRPr="00F57122" w:rsidRDefault="005C2164" w:rsidP="0054088C">
      <w:pPr>
        <w:pStyle w:val="ListParagraph"/>
        <w:numPr>
          <w:ilvl w:val="0"/>
          <w:numId w:val="32"/>
        </w:numPr>
        <w:spacing w:before="0" w:after="120"/>
        <w:ind w:hanging="720"/>
        <w:jc w:val="both"/>
      </w:pPr>
      <w:r>
        <w:rPr>
          <w:rFonts w:eastAsia="Calibri"/>
        </w:rPr>
        <w:t>Caribbean Development Bank CDB)</w:t>
      </w:r>
      <w:r w:rsidR="007723B8" w:rsidRPr="007723B8">
        <w:rPr>
          <w:rFonts w:eastAsia="Calibri"/>
        </w:rPr>
        <w:t xml:space="preserve"> </w:t>
      </w:r>
      <w:r w:rsidR="007723B8">
        <w:rPr>
          <w:rFonts w:eastAsia="Calibri"/>
        </w:rPr>
        <w:t xml:space="preserve">seeks to support its </w:t>
      </w:r>
      <w:r w:rsidR="007723B8" w:rsidRPr="007723B8">
        <w:rPr>
          <w:rFonts w:eastAsia="Calibri"/>
        </w:rPr>
        <w:t xml:space="preserve">Borrowing Member Countries (BMCs) in conducting procurement that achieves the optimum value for money (VfM) </w:t>
      </w:r>
      <w:r>
        <w:rPr>
          <w:rFonts w:eastAsia="Calibri"/>
        </w:rPr>
        <w:t>as well as</w:t>
      </w:r>
      <w:r w:rsidR="007723B8" w:rsidRPr="007723B8">
        <w:rPr>
          <w:rFonts w:eastAsia="Calibri"/>
        </w:rPr>
        <w:t xml:space="preserve"> facilitates the pursuit of their socio-economic and development objectives.</w:t>
      </w:r>
      <w:r w:rsidR="007723B8">
        <w:rPr>
          <w:rFonts w:eastAsia="Calibri"/>
        </w:rPr>
        <w:t xml:space="preserve"> The </w:t>
      </w:r>
      <w:r w:rsidR="001B7D47" w:rsidRPr="00F57122">
        <w:t xml:space="preserve">Procurement </w:t>
      </w:r>
      <w:r w:rsidR="00985499" w:rsidRPr="00F57122">
        <w:t xml:space="preserve">Policy </w:t>
      </w:r>
      <w:r w:rsidR="001B7D47" w:rsidRPr="00F57122">
        <w:t>(</w:t>
      </w:r>
      <w:r w:rsidR="00E443E2">
        <w:t>“</w:t>
      </w:r>
      <w:r w:rsidR="00F97956" w:rsidRPr="00F57122">
        <w:t>the</w:t>
      </w:r>
      <w:r w:rsidR="001B7D47" w:rsidRPr="00F57122">
        <w:t xml:space="preserve"> </w:t>
      </w:r>
      <w:r w:rsidR="008F070D" w:rsidRPr="00F57122">
        <w:t>P</w:t>
      </w:r>
      <w:r w:rsidR="001B7D47" w:rsidRPr="00F57122">
        <w:t xml:space="preserve">olicy”) </w:t>
      </w:r>
      <w:r w:rsidR="00985499" w:rsidRPr="00F57122">
        <w:t xml:space="preserve">establishes the core principles and policy requirements governing the procurement of </w:t>
      </w:r>
      <w:r w:rsidR="004342C5" w:rsidRPr="00F57122">
        <w:t>G</w:t>
      </w:r>
      <w:r w:rsidR="00985499" w:rsidRPr="00F57122">
        <w:t xml:space="preserve">oods, </w:t>
      </w:r>
      <w:r w:rsidR="004342C5" w:rsidRPr="00F57122">
        <w:t>W</w:t>
      </w:r>
      <w:r w:rsidR="00985499" w:rsidRPr="00F57122">
        <w:t xml:space="preserve">orks, </w:t>
      </w:r>
      <w:r w:rsidR="004342C5" w:rsidRPr="00F57122">
        <w:t>N</w:t>
      </w:r>
      <w:r w:rsidR="00985499" w:rsidRPr="00F57122">
        <w:t>on-</w:t>
      </w:r>
      <w:r w:rsidR="004342C5" w:rsidRPr="00F57122">
        <w:t>C</w:t>
      </w:r>
      <w:r w:rsidR="00985499" w:rsidRPr="00F57122">
        <w:t xml:space="preserve">onsulting </w:t>
      </w:r>
      <w:r w:rsidR="004342C5" w:rsidRPr="00F57122">
        <w:t>S</w:t>
      </w:r>
      <w:r w:rsidR="00985499" w:rsidRPr="00F57122">
        <w:t xml:space="preserve">ervices, and </w:t>
      </w:r>
      <w:r w:rsidR="004342C5" w:rsidRPr="00F57122">
        <w:t>C</w:t>
      </w:r>
      <w:r w:rsidR="00985499" w:rsidRPr="00F57122">
        <w:t xml:space="preserve">onsulting </w:t>
      </w:r>
      <w:r w:rsidR="004342C5" w:rsidRPr="00F57122">
        <w:t>S</w:t>
      </w:r>
      <w:r w:rsidR="00985499" w:rsidRPr="00F57122">
        <w:t xml:space="preserve">ervices </w:t>
      </w:r>
      <w:r w:rsidR="004342C5" w:rsidRPr="00F57122">
        <w:t xml:space="preserve">(Goods, Works and Services) </w:t>
      </w:r>
      <w:r w:rsidR="00FC43E5" w:rsidRPr="00F57122">
        <w:t>undertaken by Recipients</w:t>
      </w:r>
      <w:r w:rsidR="001B4472" w:rsidRPr="00F57122">
        <w:t xml:space="preserve"> of CDB financing</w:t>
      </w:r>
      <w:r w:rsidR="00E742CA" w:rsidRPr="00F57122">
        <w:t>.</w:t>
      </w:r>
      <w:r w:rsidR="00534AA1" w:rsidRPr="00F57122">
        <w:t xml:space="preserve"> </w:t>
      </w:r>
      <w:r w:rsidR="006C1119" w:rsidRPr="00F57122">
        <w:t xml:space="preserve">It aligns with CDB’s fiduciary </w:t>
      </w:r>
      <w:r w:rsidR="0007686F" w:rsidRPr="00F57122">
        <w:t>obligations</w:t>
      </w:r>
      <w:r w:rsidR="00673758" w:rsidRPr="00F57122">
        <w:t xml:space="preserve"> </w:t>
      </w:r>
      <w:r w:rsidR="006C1119" w:rsidRPr="00F57122">
        <w:t>a</w:t>
      </w:r>
      <w:r w:rsidR="00C3070B" w:rsidRPr="00F57122">
        <w:t>nd practices</w:t>
      </w:r>
      <w:r w:rsidR="00673758" w:rsidRPr="00F57122">
        <w:t>,</w:t>
      </w:r>
      <w:r>
        <w:t xml:space="preserve"> and the </w:t>
      </w:r>
      <w:r w:rsidR="00C16561">
        <w:t>A</w:t>
      </w:r>
      <w:r w:rsidR="00C3070B" w:rsidRPr="00F57122">
        <w:t xml:space="preserve">greement </w:t>
      </w:r>
      <w:r w:rsidR="00C16561">
        <w:t>E</w:t>
      </w:r>
      <w:r w:rsidR="00F97956" w:rsidRPr="00F57122">
        <w:t xml:space="preserve">stablishing </w:t>
      </w:r>
      <w:r w:rsidR="006C1119" w:rsidRPr="00F57122">
        <w:t xml:space="preserve">CDB </w:t>
      </w:r>
      <w:r w:rsidR="00673758" w:rsidRPr="00F57122">
        <w:t xml:space="preserve">which </w:t>
      </w:r>
      <w:r w:rsidR="006C1119" w:rsidRPr="00F57122">
        <w:t xml:space="preserve">requires that financing only be utilised </w:t>
      </w:r>
      <w:r w:rsidR="00023A5A" w:rsidRPr="00F57122">
        <w:t>for the purposes for which the f</w:t>
      </w:r>
      <w:r w:rsidR="006C1119" w:rsidRPr="00F57122">
        <w:t>inancing was granted, with due attention to considerations of economy and efficiency</w:t>
      </w:r>
      <w:r w:rsidR="006C1119" w:rsidRPr="00EF6369">
        <w:rPr>
          <w:rStyle w:val="FootnoteReference"/>
          <w:sz w:val="24"/>
          <w:szCs w:val="24"/>
        </w:rPr>
        <w:footnoteReference w:id="1"/>
      </w:r>
      <w:r w:rsidR="006C1119" w:rsidRPr="00F57122">
        <w:t>, without regard to political or other non-economic influences or considerations</w:t>
      </w:r>
      <w:r w:rsidR="008F070D" w:rsidRPr="00C774FB">
        <w:rPr>
          <w:rStyle w:val="FootnoteReference"/>
          <w:sz w:val="24"/>
          <w:szCs w:val="24"/>
        </w:rPr>
        <w:footnoteReference w:id="2"/>
      </w:r>
      <w:r w:rsidR="006C1119" w:rsidRPr="00F57122">
        <w:t>.</w:t>
      </w:r>
      <w:r w:rsidR="00534AA1" w:rsidRPr="00F57122">
        <w:t xml:space="preserve"> </w:t>
      </w:r>
    </w:p>
    <w:p w:rsidR="005D2F17" w:rsidRPr="00E51B8E" w:rsidRDefault="005D2F17" w:rsidP="00E51B8E">
      <w:pPr>
        <w:pStyle w:val="Heading2"/>
        <w:spacing w:after="200"/>
        <w:rPr>
          <w:sz w:val="24"/>
          <w:szCs w:val="24"/>
          <w:lang w:val="en-US"/>
        </w:rPr>
      </w:pPr>
      <w:bookmarkStart w:id="9" w:name="_Toc505689512"/>
      <w:bookmarkStart w:id="10" w:name="_Toc505702276"/>
      <w:bookmarkStart w:id="11" w:name="_Toc527715675"/>
      <w:r w:rsidRPr="00E51B8E">
        <w:rPr>
          <w:sz w:val="24"/>
          <w:szCs w:val="24"/>
          <w:lang w:val="en-US"/>
        </w:rPr>
        <w:t>PROCUREMENT FRAMEWORK</w:t>
      </w:r>
      <w:bookmarkEnd w:id="9"/>
      <w:bookmarkEnd w:id="10"/>
      <w:bookmarkEnd w:id="11"/>
    </w:p>
    <w:p w:rsidR="001B7D47" w:rsidRPr="0054088C" w:rsidRDefault="00A51DF8" w:rsidP="0054088C">
      <w:pPr>
        <w:pStyle w:val="ListParagraph"/>
        <w:numPr>
          <w:ilvl w:val="0"/>
          <w:numId w:val="32"/>
        </w:numPr>
        <w:spacing w:before="0" w:after="120"/>
        <w:ind w:hanging="720"/>
        <w:jc w:val="both"/>
        <w:rPr>
          <w:rFonts w:eastAsia="Calibri"/>
        </w:rPr>
      </w:pPr>
      <w:r w:rsidRPr="0054088C">
        <w:rPr>
          <w:rFonts w:eastAsia="Calibri"/>
        </w:rPr>
        <w:t>Th</w:t>
      </w:r>
      <w:r w:rsidR="00555ED9" w:rsidRPr="0054088C">
        <w:rPr>
          <w:rFonts w:eastAsia="Calibri"/>
        </w:rPr>
        <w:t>e</w:t>
      </w:r>
      <w:r w:rsidRPr="0054088C">
        <w:rPr>
          <w:rFonts w:eastAsia="Calibri"/>
        </w:rPr>
        <w:t xml:space="preserve"> </w:t>
      </w:r>
      <w:r w:rsidR="001B7D47" w:rsidRPr="0054088C">
        <w:rPr>
          <w:rFonts w:eastAsia="Calibri"/>
        </w:rPr>
        <w:t xml:space="preserve">Policy is </w:t>
      </w:r>
      <w:r w:rsidR="001B4472" w:rsidRPr="0054088C">
        <w:rPr>
          <w:rFonts w:eastAsia="Calibri"/>
        </w:rPr>
        <w:t xml:space="preserve">accompanied </w:t>
      </w:r>
      <w:r w:rsidR="001B7D47" w:rsidRPr="0054088C">
        <w:rPr>
          <w:rFonts w:eastAsia="Calibri"/>
        </w:rPr>
        <w:t xml:space="preserve">by the </w:t>
      </w:r>
      <w:r w:rsidR="00012CBE" w:rsidRPr="0054088C">
        <w:rPr>
          <w:rFonts w:eastAsia="Calibri"/>
        </w:rPr>
        <w:t xml:space="preserve">prevailing </w:t>
      </w:r>
      <w:r w:rsidR="009640B4" w:rsidRPr="0054088C">
        <w:rPr>
          <w:rFonts w:eastAsia="Calibri"/>
        </w:rPr>
        <w:t>Procurement Procedures for Projects Financed by CDB (“</w:t>
      </w:r>
      <w:r w:rsidR="00E51B8E" w:rsidRPr="0054088C">
        <w:rPr>
          <w:rFonts w:eastAsia="Calibri"/>
        </w:rPr>
        <w:t>t</w:t>
      </w:r>
      <w:r w:rsidR="009640B4" w:rsidRPr="0054088C">
        <w:rPr>
          <w:rFonts w:eastAsia="Calibri"/>
        </w:rPr>
        <w:t>he Procedures”)</w:t>
      </w:r>
      <w:r w:rsidR="001B7D47" w:rsidRPr="0054088C">
        <w:rPr>
          <w:rFonts w:eastAsia="Calibri"/>
        </w:rPr>
        <w:t xml:space="preserve">, </w:t>
      </w:r>
      <w:r w:rsidR="001E63C1" w:rsidRPr="0054088C">
        <w:rPr>
          <w:rFonts w:eastAsia="Calibri"/>
        </w:rPr>
        <w:t xml:space="preserve">and </w:t>
      </w:r>
      <w:r w:rsidR="001B7D47" w:rsidRPr="0054088C">
        <w:rPr>
          <w:rFonts w:eastAsia="Calibri"/>
        </w:rPr>
        <w:t xml:space="preserve">collectively </w:t>
      </w:r>
      <w:r w:rsidR="00F66A95">
        <w:rPr>
          <w:rFonts w:eastAsia="Calibri"/>
        </w:rPr>
        <w:t xml:space="preserve">they </w:t>
      </w:r>
      <w:r w:rsidR="00B22593" w:rsidRPr="0054088C">
        <w:rPr>
          <w:rFonts w:eastAsia="Calibri"/>
        </w:rPr>
        <w:t xml:space="preserve">are </w:t>
      </w:r>
      <w:r w:rsidR="001B7D47" w:rsidRPr="0054088C">
        <w:rPr>
          <w:rFonts w:eastAsia="Calibri"/>
        </w:rPr>
        <w:t>referred to as “</w:t>
      </w:r>
      <w:r w:rsidR="00A0731A" w:rsidRPr="0054088C">
        <w:rPr>
          <w:rFonts w:eastAsia="Calibri"/>
        </w:rPr>
        <w:t xml:space="preserve">the </w:t>
      </w:r>
      <w:r w:rsidR="001B7D47" w:rsidRPr="0054088C">
        <w:rPr>
          <w:rFonts w:eastAsia="Calibri"/>
        </w:rPr>
        <w:t>Procurement Framework.”</w:t>
      </w:r>
      <w:r w:rsidR="00534AA1" w:rsidRPr="0054088C">
        <w:rPr>
          <w:rFonts w:eastAsia="Calibri"/>
        </w:rPr>
        <w:t xml:space="preserve"> </w:t>
      </w:r>
      <w:r w:rsidR="0012221D" w:rsidRPr="0054088C">
        <w:rPr>
          <w:rFonts w:eastAsia="Calibri"/>
        </w:rPr>
        <w:t xml:space="preserve">The Procurement Framework is supplemented by CDB’s Standard </w:t>
      </w:r>
      <w:r w:rsidR="0035128A" w:rsidRPr="0054088C">
        <w:rPr>
          <w:rFonts w:eastAsia="Calibri"/>
        </w:rPr>
        <w:t xml:space="preserve">Procurement </w:t>
      </w:r>
      <w:r w:rsidR="0012221D" w:rsidRPr="0054088C">
        <w:rPr>
          <w:rFonts w:eastAsia="Calibri"/>
        </w:rPr>
        <w:t xml:space="preserve">Documents </w:t>
      </w:r>
      <w:r w:rsidR="0035128A" w:rsidRPr="0054088C">
        <w:rPr>
          <w:rFonts w:eastAsia="Calibri"/>
        </w:rPr>
        <w:t xml:space="preserve">(SPDs) </w:t>
      </w:r>
      <w:r w:rsidR="0012221D" w:rsidRPr="0054088C">
        <w:rPr>
          <w:rFonts w:eastAsia="Calibri"/>
        </w:rPr>
        <w:t>and procurement guidance notes.</w:t>
      </w:r>
      <w:r w:rsidR="00534AA1" w:rsidRPr="0054088C">
        <w:rPr>
          <w:rFonts w:eastAsia="Calibri"/>
        </w:rPr>
        <w:t xml:space="preserve"> </w:t>
      </w:r>
      <w:r w:rsidR="00F97956" w:rsidRPr="0054088C">
        <w:rPr>
          <w:rFonts w:eastAsia="Calibri"/>
        </w:rPr>
        <w:t>Th</w:t>
      </w:r>
      <w:r w:rsidR="00555ED9" w:rsidRPr="0054088C">
        <w:rPr>
          <w:rFonts w:eastAsia="Calibri"/>
        </w:rPr>
        <w:t>e</w:t>
      </w:r>
      <w:r w:rsidR="00F97956" w:rsidRPr="0054088C">
        <w:rPr>
          <w:rFonts w:eastAsia="Calibri"/>
        </w:rPr>
        <w:t xml:space="preserve"> </w:t>
      </w:r>
      <w:r w:rsidR="001B7D47" w:rsidRPr="0054088C">
        <w:rPr>
          <w:rFonts w:eastAsia="Calibri"/>
        </w:rPr>
        <w:t xml:space="preserve">Policy is the overarching document and in the event of a conflict between it and any other documents </w:t>
      </w:r>
      <w:r w:rsidR="00551E3D">
        <w:rPr>
          <w:rFonts w:eastAsia="Calibri"/>
        </w:rPr>
        <w:t>forming</w:t>
      </w:r>
      <w:r w:rsidR="00551E3D" w:rsidRPr="0054088C">
        <w:rPr>
          <w:rFonts w:eastAsia="Calibri"/>
        </w:rPr>
        <w:t xml:space="preserve"> </w:t>
      </w:r>
      <w:r w:rsidR="00F30B04" w:rsidRPr="0054088C">
        <w:rPr>
          <w:rFonts w:eastAsia="Calibri"/>
        </w:rPr>
        <w:t>the Procurement Framework</w:t>
      </w:r>
      <w:r w:rsidR="0012221D" w:rsidRPr="0054088C">
        <w:rPr>
          <w:rFonts w:eastAsia="Calibri"/>
        </w:rPr>
        <w:t xml:space="preserve"> or CDB’s </w:t>
      </w:r>
      <w:r w:rsidR="001A6880">
        <w:rPr>
          <w:rFonts w:eastAsia="Calibri"/>
        </w:rPr>
        <w:t xml:space="preserve">SPDs </w:t>
      </w:r>
      <w:r w:rsidR="001E63C1" w:rsidRPr="0054088C">
        <w:rPr>
          <w:rFonts w:eastAsia="Calibri"/>
        </w:rPr>
        <w:t>and procurement guidance notes</w:t>
      </w:r>
      <w:r w:rsidR="00F30B04" w:rsidRPr="0054088C">
        <w:rPr>
          <w:rFonts w:eastAsia="Calibri"/>
        </w:rPr>
        <w:t xml:space="preserve">, </w:t>
      </w:r>
      <w:r w:rsidRPr="0054088C">
        <w:rPr>
          <w:rFonts w:eastAsia="Calibri"/>
        </w:rPr>
        <w:t>th</w:t>
      </w:r>
      <w:r w:rsidR="00555ED9" w:rsidRPr="0054088C">
        <w:rPr>
          <w:rFonts w:eastAsia="Calibri"/>
        </w:rPr>
        <w:t>e</w:t>
      </w:r>
      <w:r w:rsidRPr="0054088C">
        <w:rPr>
          <w:rFonts w:eastAsia="Calibri"/>
        </w:rPr>
        <w:t xml:space="preserve"> </w:t>
      </w:r>
      <w:r w:rsidR="001B7D47" w:rsidRPr="0054088C">
        <w:rPr>
          <w:rFonts w:eastAsia="Calibri"/>
        </w:rPr>
        <w:t>Policy will prevail</w:t>
      </w:r>
      <w:r w:rsidR="00D92693" w:rsidRPr="0054088C">
        <w:rPr>
          <w:rFonts w:eastAsia="Calibri"/>
        </w:rPr>
        <w:t xml:space="preserve">. </w:t>
      </w:r>
    </w:p>
    <w:p w:rsidR="005D2F17" w:rsidRPr="00E51B8E" w:rsidRDefault="005D2F17" w:rsidP="00E51B8E">
      <w:pPr>
        <w:pStyle w:val="Heading2"/>
        <w:spacing w:after="200"/>
        <w:rPr>
          <w:sz w:val="24"/>
          <w:szCs w:val="24"/>
          <w:lang w:val="en-US"/>
        </w:rPr>
      </w:pPr>
      <w:bookmarkStart w:id="12" w:name="_Toc505689513"/>
      <w:bookmarkStart w:id="13" w:name="_Toc505702277"/>
      <w:bookmarkStart w:id="14" w:name="_Toc527715676"/>
      <w:r w:rsidRPr="00E51B8E">
        <w:rPr>
          <w:sz w:val="24"/>
          <w:szCs w:val="24"/>
          <w:lang w:val="en-US"/>
        </w:rPr>
        <w:t>APPLICABILITY</w:t>
      </w:r>
      <w:bookmarkEnd w:id="12"/>
      <w:bookmarkEnd w:id="13"/>
      <w:bookmarkEnd w:id="14"/>
    </w:p>
    <w:p w:rsidR="00C3070B" w:rsidRPr="0054088C" w:rsidRDefault="00A51DF8" w:rsidP="00EC7DEB">
      <w:pPr>
        <w:pStyle w:val="ListParagraph"/>
        <w:numPr>
          <w:ilvl w:val="0"/>
          <w:numId w:val="32"/>
        </w:numPr>
        <w:spacing w:before="0" w:after="120"/>
        <w:ind w:hanging="720"/>
        <w:contextualSpacing w:val="0"/>
        <w:jc w:val="both"/>
        <w:rPr>
          <w:rFonts w:eastAsia="Calibri"/>
        </w:rPr>
      </w:pPr>
      <w:r w:rsidRPr="0054088C">
        <w:rPr>
          <w:rFonts w:eastAsia="Calibri"/>
        </w:rPr>
        <w:t>Th</w:t>
      </w:r>
      <w:r w:rsidR="00555ED9" w:rsidRPr="0054088C">
        <w:rPr>
          <w:rFonts w:eastAsia="Calibri"/>
        </w:rPr>
        <w:t>e</w:t>
      </w:r>
      <w:r w:rsidRPr="0054088C">
        <w:rPr>
          <w:rFonts w:eastAsia="Calibri"/>
        </w:rPr>
        <w:t xml:space="preserve"> </w:t>
      </w:r>
      <w:r w:rsidR="008F070D" w:rsidRPr="0054088C">
        <w:rPr>
          <w:rFonts w:eastAsia="Calibri"/>
        </w:rPr>
        <w:t xml:space="preserve">Policy applies to all contracts for </w:t>
      </w:r>
      <w:r w:rsidR="00AB0652" w:rsidRPr="0054088C">
        <w:rPr>
          <w:rFonts w:eastAsia="Calibri"/>
        </w:rPr>
        <w:t>G</w:t>
      </w:r>
      <w:r w:rsidR="008F070D" w:rsidRPr="0054088C">
        <w:rPr>
          <w:rFonts w:eastAsia="Calibri"/>
        </w:rPr>
        <w:t xml:space="preserve">oods, </w:t>
      </w:r>
      <w:r w:rsidR="00AB0652" w:rsidRPr="0054088C">
        <w:rPr>
          <w:rFonts w:eastAsia="Calibri"/>
        </w:rPr>
        <w:t>W</w:t>
      </w:r>
      <w:r w:rsidR="008F070D" w:rsidRPr="0054088C">
        <w:rPr>
          <w:rFonts w:eastAsia="Calibri"/>
        </w:rPr>
        <w:t xml:space="preserve">orks and </w:t>
      </w:r>
      <w:r w:rsidR="00C31F39" w:rsidRPr="0054088C">
        <w:rPr>
          <w:rFonts w:eastAsia="Calibri"/>
        </w:rPr>
        <w:t>S</w:t>
      </w:r>
      <w:r w:rsidR="008F070D" w:rsidRPr="0054088C">
        <w:rPr>
          <w:rFonts w:eastAsia="Calibri"/>
        </w:rPr>
        <w:t xml:space="preserve">ervices </w:t>
      </w:r>
      <w:r w:rsidR="00B51C6C" w:rsidRPr="0054088C">
        <w:rPr>
          <w:rFonts w:eastAsia="Calibri"/>
        </w:rPr>
        <w:t xml:space="preserve">awarded by the Recipient, which are </w:t>
      </w:r>
      <w:r w:rsidR="008F070D" w:rsidRPr="0054088C">
        <w:rPr>
          <w:rFonts w:eastAsia="Calibri"/>
        </w:rPr>
        <w:t xml:space="preserve">financed in whole or part by </w:t>
      </w:r>
      <w:r w:rsidR="001B4472" w:rsidRPr="0054088C">
        <w:rPr>
          <w:rFonts w:eastAsia="Calibri"/>
        </w:rPr>
        <w:t>resources</w:t>
      </w:r>
      <w:r w:rsidR="008F070D" w:rsidRPr="0054088C">
        <w:rPr>
          <w:rFonts w:eastAsia="Calibri"/>
        </w:rPr>
        <w:t xml:space="preserve"> from CDB or funds administered by CDB to the extent that the agreement providing for such funds do</w:t>
      </w:r>
      <w:r w:rsidR="00374A68" w:rsidRPr="0054088C">
        <w:rPr>
          <w:rFonts w:eastAsia="Calibri"/>
        </w:rPr>
        <w:t>es</w:t>
      </w:r>
      <w:r w:rsidR="008F070D" w:rsidRPr="0054088C">
        <w:rPr>
          <w:rFonts w:eastAsia="Calibri"/>
        </w:rPr>
        <w:t xml:space="preserve"> not conflict with th</w:t>
      </w:r>
      <w:r w:rsidR="00555ED9" w:rsidRPr="0054088C">
        <w:rPr>
          <w:rFonts w:eastAsia="Calibri"/>
        </w:rPr>
        <w:t>e</w:t>
      </w:r>
      <w:r w:rsidR="008F070D" w:rsidRPr="0054088C">
        <w:rPr>
          <w:rFonts w:eastAsia="Calibri"/>
        </w:rPr>
        <w:t xml:space="preserve"> Policy</w:t>
      </w:r>
      <w:r w:rsidR="00435E61" w:rsidRPr="00EC7DEB">
        <w:rPr>
          <w:rFonts w:eastAsia="Calibri"/>
          <w:vertAlign w:val="superscript"/>
        </w:rPr>
        <w:footnoteReference w:id="3"/>
      </w:r>
      <w:r w:rsidR="008F070D" w:rsidRPr="0054088C">
        <w:rPr>
          <w:rFonts w:eastAsia="Calibri"/>
        </w:rPr>
        <w:t>.</w:t>
      </w:r>
      <w:r w:rsidR="00534AA1" w:rsidRPr="0054088C">
        <w:rPr>
          <w:rFonts w:eastAsia="Calibri"/>
        </w:rPr>
        <w:t xml:space="preserve"> </w:t>
      </w:r>
    </w:p>
    <w:p w:rsidR="00DC6970" w:rsidRPr="0054088C" w:rsidRDefault="00A51DF8" w:rsidP="0054088C">
      <w:pPr>
        <w:pStyle w:val="ListParagraph"/>
        <w:numPr>
          <w:ilvl w:val="0"/>
          <w:numId w:val="32"/>
        </w:numPr>
        <w:spacing w:before="0" w:after="120"/>
        <w:ind w:hanging="720"/>
        <w:contextualSpacing w:val="0"/>
        <w:jc w:val="both"/>
        <w:rPr>
          <w:rFonts w:eastAsia="Calibri"/>
        </w:rPr>
      </w:pPr>
      <w:r w:rsidRPr="0054088C">
        <w:rPr>
          <w:rFonts w:eastAsia="Calibri"/>
        </w:rPr>
        <w:t>Th</w:t>
      </w:r>
      <w:r w:rsidR="00A0731A" w:rsidRPr="0054088C">
        <w:rPr>
          <w:rFonts w:eastAsia="Calibri"/>
        </w:rPr>
        <w:t>e</w:t>
      </w:r>
      <w:r w:rsidRPr="0054088C">
        <w:rPr>
          <w:rFonts w:eastAsia="Calibri"/>
        </w:rPr>
        <w:t xml:space="preserve"> </w:t>
      </w:r>
      <w:r w:rsidR="00127E4B" w:rsidRPr="0054088C">
        <w:rPr>
          <w:rFonts w:eastAsia="Calibri"/>
        </w:rPr>
        <w:t>Procurement Framework</w:t>
      </w:r>
      <w:r w:rsidR="00F30B04" w:rsidRPr="0054088C">
        <w:rPr>
          <w:rFonts w:eastAsia="Calibri"/>
        </w:rPr>
        <w:t xml:space="preserve"> do</w:t>
      </w:r>
      <w:r w:rsidR="00583C40" w:rsidRPr="0054088C">
        <w:rPr>
          <w:rFonts w:eastAsia="Calibri"/>
        </w:rPr>
        <w:t>es</w:t>
      </w:r>
      <w:r w:rsidR="00F30B04" w:rsidRPr="0054088C">
        <w:rPr>
          <w:rFonts w:eastAsia="Calibri"/>
        </w:rPr>
        <w:t xml:space="preserve"> not apply to CDB’s internal or </w:t>
      </w:r>
      <w:r w:rsidR="00127E4B" w:rsidRPr="0054088C">
        <w:rPr>
          <w:rFonts w:eastAsia="Calibri"/>
        </w:rPr>
        <w:t>corporate procurement</w:t>
      </w:r>
      <w:r w:rsidR="00921BCD" w:rsidRPr="0054088C">
        <w:rPr>
          <w:rFonts w:eastAsia="Calibri"/>
        </w:rPr>
        <w:t>, where CDB is a party to the resulting contracts</w:t>
      </w:r>
      <w:r w:rsidR="00127E4B" w:rsidRPr="0054088C">
        <w:rPr>
          <w:rFonts w:eastAsia="Calibri"/>
        </w:rPr>
        <w:t>.</w:t>
      </w:r>
      <w:r w:rsidR="00534AA1" w:rsidRPr="0054088C">
        <w:rPr>
          <w:rFonts w:eastAsia="Calibri"/>
        </w:rPr>
        <w:t xml:space="preserve"> </w:t>
      </w:r>
      <w:r w:rsidR="00127E4B" w:rsidRPr="0054088C">
        <w:rPr>
          <w:rFonts w:eastAsia="Calibri"/>
        </w:rPr>
        <w:t>In addition, u</w:t>
      </w:r>
      <w:r w:rsidR="00FC43E5" w:rsidRPr="0054088C">
        <w:rPr>
          <w:rFonts w:eastAsia="Calibri"/>
        </w:rPr>
        <w:t xml:space="preserve">nless specifically </w:t>
      </w:r>
      <w:r w:rsidR="007A368F" w:rsidRPr="0054088C">
        <w:rPr>
          <w:rFonts w:eastAsia="Calibri"/>
        </w:rPr>
        <w:t xml:space="preserve">stated </w:t>
      </w:r>
      <w:r w:rsidR="00127E4B" w:rsidRPr="0054088C">
        <w:rPr>
          <w:rFonts w:eastAsia="Calibri"/>
        </w:rPr>
        <w:t>in the Financing Agreement</w:t>
      </w:r>
      <w:r w:rsidR="00C3070B" w:rsidRPr="0054088C">
        <w:rPr>
          <w:rFonts w:eastAsia="Calibri"/>
        </w:rPr>
        <w:t>,</w:t>
      </w:r>
      <w:r w:rsidR="00127E4B" w:rsidRPr="0054088C">
        <w:rPr>
          <w:rFonts w:eastAsia="Calibri"/>
        </w:rPr>
        <w:t xml:space="preserve"> </w:t>
      </w:r>
      <w:r w:rsidRPr="0054088C">
        <w:rPr>
          <w:rFonts w:eastAsia="Calibri"/>
        </w:rPr>
        <w:t>th</w:t>
      </w:r>
      <w:r w:rsidR="00555ED9" w:rsidRPr="0054088C">
        <w:rPr>
          <w:rFonts w:eastAsia="Calibri"/>
        </w:rPr>
        <w:t>e</w:t>
      </w:r>
      <w:r w:rsidRPr="0054088C">
        <w:rPr>
          <w:rFonts w:eastAsia="Calibri"/>
        </w:rPr>
        <w:t xml:space="preserve"> </w:t>
      </w:r>
      <w:r w:rsidR="00FC43E5" w:rsidRPr="0054088C">
        <w:rPr>
          <w:rFonts w:eastAsia="Calibri"/>
        </w:rPr>
        <w:t xml:space="preserve">Policy shall </w:t>
      </w:r>
      <w:r w:rsidR="00127E4B" w:rsidRPr="0054088C">
        <w:rPr>
          <w:rFonts w:eastAsia="Calibri"/>
        </w:rPr>
        <w:t xml:space="preserve">not apply </w:t>
      </w:r>
      <w:r w:rsidR="00393AD8" w:rsidRPr="0054088C">
        <w:rPr>
          <w:rFonts w:eastAsia="Calibri"/>
        </w:rPr>
        <w:t>to</w:t>
      </w:r>
      <w:r w:rsidR="00127E4B" w:rsidRPr="0054088C">
        <w:rPr>
          <w:rFonts w:eastAsia="Calibri"/>
        </w:rPr>
        <w:t xml:space="preserve"> </w:t>
      </w:r>
      <w:r w:rsidR="0054088C" w:rsidRPr="0054088C">
        <w:rPr>
          <w:rFonts w:eastAsia="Calibri"/>
        </w:rPr>
        <w:t>policy-based</w:t>
      </w:r>
      <w:r w:rsidR="00127E4B" w:rsidRPr="0054088C">
        <w:rPr>
          <w:rFonts w:eastAsia="Calibri"/>
        </w:rPr>
        <w:t xml:space="preserve"> </w:t>
      </w:r>
      <w:r w:rsidR="00263E3B" w:rsidRPr="0054088C">
        <w:rPr>
          <w:rFonts w:eastAsia="Calibri"/>
        </w:rPr>
        <w:t>operations</w:t>
      </w:r>
      <w:r w:rsidR="00F30B04" w:rsidRPr="009A07BF">
        <w:rPr>
          <w:rFonts w:eastAsia="Calibri"/>
          <w:vertAlign w:val="superscript"/>
        </w:rPr>
        <w:footnoteReference w:id="4"/>
      </w:r>
      <w:r w:rsidR="00127E4B" w:rsidRPr="0054088C">
        <w:rPr>
          <w:rFonts w:eastAsia="Calibri"/>
        </w:rPr>
        <w:t>, investment</w:t>
      </w:r>
      <w:r w:rsidR="00AE7E22" w:rsidRPr="0054088C">
        <w:rPr>
          <w:rFonts w:eastAsia="Calibri"/>
        </w:rPr>
        <w:t>s</w:t>
      </w:r>
      <w:r w:rsidR="00127E4B" w:rsidRPr="0054088C">
        <w:rPr>
          <w:rFonts w:eastAsia="Calibri"/>
        </w:rPr>
        <w:t xml:space="preserve"> in equity, </w:t>
      </w:r>
      <w:r w:rsidR="00393AD8" w:rsidRPr="0054088C">
        <w:rPr>
          <w:rFonts w:eastAsia="Calibri"/>
        </w:rPr>
        <w:t xml:space="preserve">or </w:t>
      </w:r>
      <w:r w:rsidR="00127E4B" w:rsidRPr="0054088C">
        <w:rPr>
          <w:rFonts w:eastAsia="Calibri"/>
        </w:rPr>
        <w:t>the provision of guarantees.</w:t>
      </w:r>
      <w:r w:rsidR="00534AA1" w:rsidRPr="0054088C">
        <w:rPr>
          <w:rFonts w:eastAsia="Calibri"/>
        </w:rPr>
        <w:t xml:space="preserve"> </w:t>
      </w:r>
      <w:r w:rsidR="00E84D73" w:rsidRPr="0054088C">
        <w:rPr>
          <w:rFonts w:eastAsia="Calibri"/>
        </w:rPr>
        <w:t>Section 7 governs procurement under private sector operations</w:t>
      </w:r>
      <w:r w:rsidR="007D54CF" w:rsidRPr="0054088C">
        <w:rPr>
          <w:rFonts w:eastAsia="Calibri"/>
        </w:rPr>
        <w:t>.</w:t>
      </w:r>
    </w:p>
    <w:p w:rsidR="0073744C" w:rsidRPr="00E51B8E" w:rsidRDefault="00F76511" w:rsidP="006B145F">
      <w:pPr>
        <w:pStyle w:val="Heading1"/>
        <w:spacing w:before="240" w:after="240"/>
        <w:rPr>
          <w:sz w:val="24"/>
          <w:szCs w:val="24"/>
          <w:lang w:val="en-US"/>
        </w:rPr>
      </w:pPr>
      <w:bookmarkStart w:id="15" w:name="_Toc505689514"/>
      <w:bookmarkStart w:id="16" w:name="_Toc505702278"/>
      <w:bookmarkStart w:id="17" w:name="_Toc527715677"/>
      <w:r w:rsidRPr="006B145F">
        <w:rPr>
          <w:szCs w:val="28"/>
          <w:lang w:val="en-US"/>
        </w:rPr>
        <w:lastRenderedPageBreak/>
        <w:t>2</w:t>
      </w:r>
      <w:r w:rsidR="006B145F">
        <w:rPr>
          <w:szCs w:val="28"/>
          <w:lang w:val="en-US"/>
        </w:rPr>
        <w:t xml:space="preserve">.    </w:t>
      </w:r>
      <w:r w:rsidR="00924A89" w:rsidRPr="006B145F">
        <w:rPr>
          <w:szCs w:val="28"/>
          <w:u w:val="single"/>
          <w:lang w:val="en-US"/>
        </w:rPr>
        <w:t>ROLES AND RESPONSIBILITIES</w:t>
      </w:r>
      <w:bookmarkEnd w:id="15"/>
      <w:bookmarkEnd w:id="16"/>
      <w:bookmarkEnd w:id="17"/>
    </w:p>
    <w:p w:rsidR="00924A89" w:rsidRPr="00E51B8E" w:rsidRDefault="00924A89" w:rsidP="00E51B8E">
      <w:pPr>
        <w:pStyle w:val="Heading2"/>
        <w:spacing w:after="200"/>
        <w:rPr>
          <w:sz w:val="24"/>
          <w:szCs w:val="24"/>
          <w:lang w:val="en-US"/>
        </w:rPr>
      </w:pPr>
      <w:bookmarkStart w:id="18" w:name="_Toc505689515"/>
      <w:bookmarkStart w:id="19" w:name="_Toc505702279"/>
      <w:bookmarkStart w:id="20" w:name="_Toc527715678"/>
      <w:r w:rsidRPr="00E51B8E">
        <w:rPr>
          <w:sz w:val="24"/>
          <w:szCs w:val="24"/>
          <w:lang w:val="en-US"/>
        </w:rPr>
        <w:t>FINANCING AGREEMENT</w:t>
      </w:r>
      <w:bookmarkEnd w:id="18"/>
      <w:bookmarkEnd w:id="19"/>
      <w:bookmarkEnd w:id="20"/>
    </w:p>
    <w:p w:rsidR="00DB14A2" w:rsidRPr="00D63223" w:rsidRDefault="00D9597C" w:rsidP="00C000CF">
      <w:pPr>
        <w:pStyle w:val="ListParagraph"/>
        <w:numPr>
          <w:ilvl w:val="0"/>
          <w:numId w:val="39"/>
        </w:numPr>
        <w:spacing w:before="0" w:after="120"/>
        <w:ind w:hanging="450"/>
        <w:contextualSpacing w:val="0"/>
        <w:jc w:val="both"/>
      </w:pPr>
      <w:r w:rsidRPr="00D63223">
        <w:t>The Financing Agreement governs the legal relationships between the Recipient and CDB</w:t>
      </w:r>
      <w:r w:rsidR="00B51C6C">
        <w:t xml:space="preserve"> and shall reference the Procurement Framework under which the Recipient shall undertake the procurement for contracts financed by CDB</w:t>
      </w:r>
      <w:r w:rsidRPr="00D63223">
        <w:t>.</w:t>
      </w:r>
      <w:r w:rsidR="00534AA1" w:rsidRPr="00D63223">
        <w:t xml:space="preserve"> </w:t>
      </w:r>
      <w:r w:rsidRPr="00D63223">
        <w:t>The rights and obligations of the Recipient and the provider</w:t>
      </w:r>
      <w:r w:rsidR="00193A12" w:rsidRPr="00D63223">
        <w:t>s</w:t>
      </w:r>
      <w:r w:rsidRPr="00D63223">
        <w:t xml:space="preserve"> of </w:t>
      </w:r>
      <w:r w:rsidR="00AB0652" w:rsidRPr="00D63223">
        <w:t>G</w:t>
      </w:r>
      <w:r w:rsidRPr="00D63223">
        <w:t xml:space="preserve">oods, </w:t>
      </w:r>
      <w:r w:rsidR="00AB0652" w:rsidRPr="00D63223">
        <w:t>W</w:t>
      </w:r>
      <w:r w:rsidRPr="00D63223">
        <w:t xml:space="preserve">orks, </w:t>
      </w:r>
      <w:r w:rsidR="004A26AD" w:rsidRPr="00D63223">
        <w:t xml:space="preserve">and </w:t>
      </w:r>
      <w:r w:rsidR="00AB0652" w:rsidRPr="00D63223">
        <w:t>S</w:t>
      </w:r>
      <w:r w:rsidRPr="00D63223">
        <w:t xml:space="preserve">ervices for the project are governed by the </w:t>
      </w:r>
      <w:r w:rsidR="006C20F2">
        <w:t>procurement</w:t>
      </w:r>
      <w:r w:rsidR="006C20F2" w:rsidRPr="00D63223">
        <w:t xml:space="preserve"> </w:t>
      </w:r>
      <w:r w:rsidR="006C20F2">
        <w:t>d</w:t>
      </w:r>
      <w:r w:rsidRPr="00D63223">
        <w:t>ocuments</w:t>
      </w:r>
      <w:r w:rsidR="00193A12" w:rsidRPr="00D63223">
        <w:t xml:space="preserve"> </w:t>
      </w:r>
      <w:r w:rsidRPr="00D63223">
        <w:t xml:space="preserve">issued and the contract signed by the </w:t>
      </w:r>
      <w:r w:rsidR="00193A12" w:rsidRPr="00D63223">
        <w:t xml:space="preserve">Recipient </w:t>
      </w:r>
      <w:r w:rsidRPr="00D63223">
        <w:t xml:space="preserve">with the </w:t>
      </w:r>
      <w:r w:rsidR="00193A12" w:rsidRPr="00D63223">
        <w:t>resp</w:t>
      </w:r>
      <w:r w:rsidR="000209E0" w:rsidRPr="00D63223">
        <w:t xml:space="preserve">ective </w:t>
      </w:r>
      <w:r w:rsidR="007A368F" w:rsidRPr="00D63223">
        <w:t>S</w:t>
      </w:r>
      <w:r w:rsidR="000209E0" w:rsidRPr="00D63223">
        <w:t xml:space="preserve">upplier, </w:t>
      </w:r>
      <w:r w:rsidR="00AB0652" w:rsidRPr="00D63223">
        <w:t>C</w:t>
      </w:r>
      <w:r w:rsidR="000209E0" w:rsidRPr="00D63223">
        <w:t xml:space="preserve">ontractor </w:t>
      </w:r>
      <w:r w:rsidR="00193A12" w:rsidRPr="00D63223">
        <w:t xml:space="preserve">or </w:t>
      </w:r>
      <w:r w:rsidR="00AB0652" w:rsidRPr="00D63223">
        <w:t>C</w:t>
      </w:r>
      <w:r w:rsidR="00193A12" w:rsidRPr="00D63223">
        <w:t>onsultant</w:t>
      </w:r>
      <w:r w:rsidRPr="00D63223">
        <w:t>, and not by the Procurement Framework or the Financing Agreement.</w:t>
      </w:r>
      <w:r w:rsidR="00534AA1" w:rsidRPr="00D63223">
        <w:t xml:space="preserve"> </w:t>
      </w:r>
      <w:r w:rsidRPr="00D63223">
        <w:t>No party other than the parties to the Financing Agreement shall derive any rights therefrom or have any claim to proceeds of CDB</w:t>
      </w:r>
      <w:r w:rsidR="00023A5A" w:rsidRPr="00D63223">
        <w:t xml:space="preserve"> f</w:t>
      </w:r>
      <w:r w:rsidRPr="00D63223">
        <w:t xml:space="preserve">inancing. </w:t>
      </w:r>
    </w:p>
    <w:p w:rsidR="00924A89" w:rsidRPr="00E51B8E" w:rsidRDefault="00924A89" w:rsidP="00E51B8E">
      <w:pPr>
        <w:pStyle w:val="Heading2"/>
        <w:spacing w:after="200"/>
        <w:rPr>
          <w:sz w:val="24"/>
          <w:szCs w:val="24"/>
          <w:lang w:val="en-US"/>
        </w:rPr>
      </w:pPr>
      <w:bookmarkStart w:id="21" w:name="_Toc505689516"/>
      <w:bookmarkStart w:id="22" w:name="_Toc505702280"/>
      <w:bookmarkStart w:id="23" w:name="_Toc527715679"/>
      <w:r w:rsidRPr="00E51B8E">
        <w:rPr>
          <w:sz w:val="24"/>
          <w:szCs w:val="24"/>
          <w:lang w:val="en-US"/>
        </w:rPr>
        <w:t>RECIPIENT’S ROLE</w:t>
      </w:r>
      <w:bookmarkEnd w:id="21"/>
      <w:bookmarkEnd w:id="22"/>
      <w:bookmarkEnd w:id="23"/>
      <w:r w:rsidR="00534AA1" w:rsidRPr="00E51B8E">
        <w:rPr>
          <w:sz w:val="24"/>
          <w:szCs w:val="24"/>
          <w:lang w:val="en-US"/>
        </w:rPr>
        <w:t xml:space="preserve"> </w:t>
      </w:r>
    </w:p>
    <w:p w:rsidR="00345024" w:rsidRPr="00EF6369" w:rsidRDefault="00724FA9" w:rsidP="00C000CF">
      <w:pPr>
        <w:pStyle w:val="ListParagraph"/>
        <w:numPr>
          <w:ilvl w:val="0"/>
          <w:numId w:val="39"/>
        </w:numPr>
        <w:spacing w:before="0" w:after="120"/>
        <w:ind w:hanging="450"/>
        <w:contextualSpacing w:val="0"/>
        <w:jc w:val="both"/>
      </w:pPr>
      <w:r w:rsidRPr="00EF6369">
        <w:t>The</w:t>
      </w:r>
      <w:r w:rsidR="002D3B34" w:rsidRPr="00EF6369">
        <w:t xml:space="preserve"> Recipient is responsible for the implementation of </w:t>
      </w:r>
      <w:r w:rsidR="00B14A1F" w:rsidRPr="00EF6369">
        <w:t>CDB</w:t>
      </w:r>
      <w:r w:rsidR="00A0731A">
        <w:t xml:space="preserve"> </w:t>
      </w:r>
      <w:r w:rsidR="002D3B34" w:rsidRPr="00EF6369">
        <w:t xml:space="preserve">financed projects and ensuring </w:t>
      </w:r>
      <w:r w:rsidR="003E2F92" w:rsidRPr="00EF6369">
        <w:t xml:space="preserve">the procurement, contract award and contract management </w:t>
      </w:r>
      <w:r w:rsidR="002D3B34" w:rsidRPr="00EF6369">
        <w:t>process</w:t>
      </w:r>
      <w:r w:rsidR="003E2F92" w:rsidRPr="00EF6369">
        <w:t xml:space="preserve"> conforms </w:t>
      </w:r>
      <w:r w:rsidR="004B12CE" w:rsidRPr="00EF6369">
        <w:t>to</w:t>
      </w:r>
      <w:r w:rsidR="003E2F92" w:rsidRPr="00EF6369">
        <w:t xml:space="preserve"> the Financing Agreement</w:t>
      </w:r>
      <w:r w:rsidR="002D3B34" w:rsidRPr="00EF6369">
        <w:t>.</w:t>
      </w:r>
    </w:p>
    <w:p w:rsidR="00924A89" w:rsidRPr="00E51B8E" w:rsidRDefault="00924A89" w:rsidP="00E51B8E">
      <w:pPr>
        <w:pStyle w:val="Heading2"/>
        <w:spacing w:after="200"/>
        <w:rPr>
          <w:sz w:val="24"/>
          <w:szCs w:val="24"/>
          <w:lang w:val="en-US"/>
        </w:rPr>
      </w:pPr>
      <w:bookmarkStart w:id="24" w:name="_Toc505689517"/>
      <w:bookmarkStart w:id="25" w:name="_Toc505702281"/>
      <w:bookmarkStart w:id="26" w:name="_Toc527715680"/>
      <w:r w:rsidRPr="00E51B8E">
        <w:rPr>
          <w:sz w:val="24"/>
          <w:szCs w:val="24"/>
          <w:lang w:val="en-US"/>
        </w:rPr>
        <w:t>CDB’S ROLE</w:t>
      </w:r>
      <w:bookmarkEnd w:id="24"/>
      <w:bookmarkEnd w:id="25"/>
      <w:bookmarkEnd w:id="26"/>
      <w:r w:rsidR="00534AA1" w:rsidRPr="00E51B8E">
        <w:rPr>
          <w:sz w:val="24"/>
          <w:szCs w:val="24"/>
          <w:lang w:val="en-US"/>
        </w:rPr>
        <w:t xml:space="preserve"> </w:t>
      </w:r>
    </w:p>
    <w:p w:rsidR="00DC6970" w:rsidRDefault="00253316" w:rsidP="00C000CF">
      <w:pPr>
        <w:pStyle w:val="ListParagraph"/>
        <w:numPr>
          <w:ilvl w:val="0"/>
          <w:numId w:val="39"/>
        </w:numPr>
        <w:spacing w:before="0" w:after="120"/>
        <w:ind w:hanging="450"/>
        <w:contextualSpacing w:val="0"/>
        <w:jc w:val="both"/>
      </w:pPr>
      <w:r w:rsidRPr="00EF6369">
        <w:t xml:space="preserve">CDB shall </w:t>
      </w:r>
      <w:r w:rsidR="00334DA0" w:rsidRPr="00EF6369">
        <w:t>perform a</w:t>
      </w:r>
      <w:r w:rsidR="003A7E83" w:rsidRPr="00EF6369">
        <w:t xml:space="preserve"> procurement oversight </w:t>
      </w:r>
      <w:r w:rsidR="00334DA0" w:rsidRPr="00EF6369">
        <w:t xml:space="preserve">function </w:t>
      </w:r>
      <w:r w:rsidR="003A7E83" w:rsidRPr="00EF6369">
        <w:t xml:space="preserve">to ensure </w:t>
      </w:r>
      <w:r w:rsidR="00583C40">
        <w:t xml:space="preserve">CDB </w:t>
      </w:r>
      <w:r w:rsidR="003A7E83" w:rsidRPr="00EF6369">
        <w:t>finan</w:t>
      </w:r>
      <w:r w:rsidR="00334DA0" w:rsidRPr="00EF6369">
        <w:t>cing is used for its intended p</w:t>
      </w:r>
      <w:r w:rsidR="003A7E83" w:rsidRPr="00EF6369">
        <w:t>u</w:t>
      </w:r>
      <w:r w:rsidR="00334DA0" w:rsidRPr="00EF6369">
        <w:t>r</w:t>
      </w:r>
      <w:r w:rsidR="003A7E83" w:rsidRPr="00EF6369">
        <w:t xml:space="preserve">poses and that the procurement conforms </w:t>
      </w:r>
      <w:r w:rsidR="00D7698E">
        <w:t>to</w:t>
      </w:r>
      <w:r w:rsidR="00D7698E" w:rsidRPr="00EF6369">
        <w:t xml:space="preserve"> </w:t>
      </w:r>
      <w:r w:rsidR="003A7E83" w:rsidRPr="00EF6369">
        <w:t xml:space="preserve">the requirements of the </w:t>
      </w:r>
      <w:r w:rsidR="00334DA0" w:rsidRPr="00EF6369">
        <w:t>Financing Agreement</w:t>
      </w:r>
      <w:r w:rsidR="00D92693">
        <w:t>.</w:t>
      </w:r>
    </w:p>
    <w:p w:rsidR="002D4D7A" w:rsidRDefault="002D4D7A" w:rsidP="002D4D7A">
      <w:pPr>
        <w:pStyle w:val="ListParagraph"/>
        <w:spacing w:before="0" w:after="120"/>
        <w:contextualSpacing w:val="0"/>
        <w:jc w:val="both"/>
      </w:pPr>
    </w:p>
    <w:p w:rsidR="00E27E8C" w:rsidRPr="006B145F" w:rsidRDefault="00F76511" w:rsidP="006B145F">
      <w:pPr>
        <w:pStyle w:val="Heading1"/>
        <w:spacing w:before="240" w:after="240"/>
        <w:rPr>
          <w:szCs w:val="28"/>
          <w:lang w:val="en-US"/>
        </w:rPr>
      </w:pPr>
      <w:bookmarkStart w:id="27" w:name="_Toc505689518"/>
      <w:bookmarkStart w:id="28" w:name="_Toc505702282"/>
      <w:bookmarkStart w:id="29" w:name="_Toc527715681"/>
      <w:r w:rsidRPr="006B145F">
        <w:rPr>
          <w:szCs w:val="28"/>
          <w:lang w:val="en-US"/>
        </w:rPr>
        <w:t>3</w:t>
      </w:r>
      <w:r w:rsidR="00924A89" w:rsidRPr="006B145F">
        <w:rPr>
          <w:szCs w:val="28"/>
          <w:lang w:val="en-US"/>
        </w:rPr>
        <w:t xml:space="preserve">. </w:t>
      </w:r>
      <w:r w:rsidR="002A4664" w:rsidRPr="006B145F">
        <w:rPr>
          <w:szCs w:val="28"/>
          <w:lang w:val="en-US"/>
        </w:rPr>
        <w:tab/>
      </w:r>
      <w:r w:rsidR="00924A89" w:rsidRPr="006B145F">
        <w:rPr>
          <w:szCs w:val="28"/>
          <w:u w:val="single"/>
          <w:lang w:val="en-US"/>
        </w:rPr>
        <w:t>CORE PROCUREMENT PRINCIPLES</w:t>
      </w:r>
      <w:bookmarkEnd w:id="27"/>
      <w:bookmarkEnd w:id="28"/>
      <w:bookmarkEnd w:id="29"/>
    </w:p>
    <w:p w:rsidR="00000D68" w:rsidRDefault="00000D68" w:rsidP="00793CF7">
      <w:pPr>
        <w:pStyle w:val="ListParagraph"/>
        <w:numPr>
          <w:ilvl w:val="0"/>
          <w:numId w:val="43"/>
        </w:numPr>
        <w:spacing w:before="0"/>
        <w:ind w:hanging="446"/>
        <w:contextualSpacing w:val="0"/>
        <w:jc w:val="both"/>
      </w:pPr>
      <w:r w:rsidRPr="00D63223">
        <w:t xml:space="preserve">The Procurement Framework </w:t>
      </w:r>
      <w:r w:rsidR="00151E25" w:rsidRPr="00D63223">
        <w:t xml:space="preserve">seeks </w:t>
      </w:r>
      <w:r w:rsidRPr="00D63223">
        <w:t>to support CDB’s BMCs in conducting procurement</w:t>
      </w:r>
      <w:r w:rsidR="00C313DF" w:rsidRPr="00D63223">
        <w:t>s</w:t>
      </w:r>
      <w:r w:rsidRPr="00D63223">
        <w:t xml:space="preserve"> that achieve the optimum </w:t>
      </w:r>
      <w:r w:rsidR="002E7691" w:rsidRPr="00D63223">
        <w:t xml:space="preserve">VfM </w:t>
      </w:r>
      <w:r w:rsidRPr="00D63223">
        <w:t xml:space="preserve">and which facilitates the </w:t>
      </w:r>
      <w:r w:rsidR="00823B05" w:rsidRPr="00D63223">
        <w:t>pursuit</w:t>
      </w:r>
      <w:r w:rsidRPr="00D63223">
        <w:t xml:space="preserve"> of their </w:t>
      </w:r>
      <w:r w:rsidR="00823B05" w:rsidRPr="00D63223">
        <w:t xml:space="preserve">socio-economic and </w:t>
      </w:r>
      <w:r w:rsidRPr="00D63223">
        <w:t>development objectives.</w:t>
      </w:r>
      <w:r w:rsidR="00534AA1" w:rsidRPr="00D63223">
        <w:t xml:space="preserve"> </w:t>
      </w:r>
      <w:r w:rsidRPr="00D63223">
        <w:t xml:space="preserve">Therefore, while recognising </w:t>
      </w:r>
      <w:r w:rsidR="00AE7E22" w:rsidRPr="00D63223">
        <w:t xml:space="preserve">that </w:t>
      </w:r>
      <w:r w:rsidRPr="00D63223">
        <w:t xml:space="preserve">the specific procurement procedures to be followed will depend on the circumstances of the </w:t>
      </w:r>
      <w:r w:rsidR="00C000CF" w:rsidRPr="00D63223">
        <w:t>case</w:t>
      </w:r>
      <w:r w:rsidRPr="00D63223">
        <w:t xml:space="preserve">, the </w:t>
      </w:r>
      <w:r w:rsidR="00823B05" w:rsidRPr="00D63223">
        <w:t xml:space="preserve">following, mutually supporting and reinforcing, core procurement principles shall guide </w:t>
      </w:r>
      <w:r w:rsidR="00C313DF" w:rsidRPr="00D63223">
        <w:t xml:space="preserve">the </w:t>
      </w:r>
      <w:r w:rsidR="00823B05" w:rsidRPr="00D63223">
        <w:t>procurement:</w:t>
      </w:r>
    </w:p>
    <w:p w:rsidR="00793CF7" w:rsidRPr="00D63223" w:rsidRDefault="00793CF7" w:rsidP="00793CF7">
      <w:pPr>
        <w:pStyle w:val="ListParagraph"/>
        <w:spacing w:before="0"/>
        <w:contextualSpacing w:val="0"/>
        <w:jc w:val="both"/>
      </w:pPr>
    </w:p>
    <w:p w:rsidR="00C16561" w:rsidRDefault="007402EC" w:rsidP="00C16561">
      <w:pPr>
        <w:pStyle w:val="ListParagraph"/>
        <w:numPr>
          <w:ilvl w:val="0"/>
          <w:numId w:val="1"/>
        </w:numPr>
        <w:spacing w:before="0"/>
        <w:ind w:left="1440" w:hanging="720"/>
        <w:contextualSpacing w:val="0"/>
        <w:jc w:val="both"/>
      </w:pPr>
      <w:r w:rsidRPr="00EF6369">
        <w:rPr>
          <w:b/>
        </w:rPr>
        <w:t>Economy</w:t>
      </w:r>
      <w:r w:rsidRPr="00EF6369">
        <w:t>:</w:t>
      </w:r>
      <w:r w:rsidRPr="00EF6369">
        <w:rPr>
          <w:b/>
        </w:rPr>
        <w:t xml:space="preserve"> </w:t>
      </w:r>
      <w:r w:rsidRPr="00EF6369">
        <w:t xml:space="preserve">The principle of economy takes into consideration </w:t>
      </w:r>
      <w:r w:rsidR="00CB6E59" w:rsidRPr="00EF6369">
        <w:t>price</w:t>
      </w:r>
      <w:r w:rsidRPr="00EF6369">
        <w:t xml:space="preserve">, and non-price </w:t>
      </w:r>
      <w:r w:rsidR="00CB6E59" w:rsidRPr="00EF6369">
        <w:t>factors</w:t>
      </w:r>
      <w:r w:rsidR="00110BF8" w:rsidRPr="00EF6369">
        <w:t xml:space="preserve">, including </w:t>
      </w:r>
      <w:r w:rsidR="001B6DED">
        <w:t xml:space="preserve">sustainability and </w:t>
      </w:r>
      <w:r w:rsidR="00110BF8" w:rsidRPr="00EF6369">
        <w:t>quality,</w:t>
      </w:r>
      <w:r w:rsidR="00CB6E59" w:rsidRPr="00EF6369">
        <w:t xml:space="preserve"> that establish </w:t>
      </w:r>
      <w:r w:rsidR="002E7691" w:rsidRPr="00EF6369">
        <w:t>VfM</w:t>
      </w:r>
      <w:r w:rsidR="00CB6E59" w:rsidRPr="00EF6369">
        <w:t>.</w:t>
      </w:r>
      <w:r w:rsidR="00534AA1" w:rsidRPr="00EF6369">
        <w:t xml:space="preserve"> </w:t>
      </w:r>
      <w:r w:rsidR="00046697" w:rsidRPr="00EF6369">
        <w:t>P</w:t>
      </w:r>
      <w:r w:rsidR="00CB6E59" w:rsidRPr="00EF6369">
        <w:t xml:space="preserve">rice alone may not necessarily represent </w:t>
      </w:r>
      <w:r w:rsidR="002E7691" w:rsidRPr="00EF6369">
        <w:t>VfM</w:t>
      </w:r>
      <w:r w:rsidR="00110BF8" w:rsidRPr="00EF6369">
        <w:t xml:space="preserve">, particularly in the case of </w:t>
      </w:r>
      <w:r w:rsidR="00AB0652" w:rsidRPr="00EF6369">
        <w:t>C</w:t>
      </w:r>
      <w:r w:rsidR="00110BF8" w:rsidRPr="00EF6369">
        <w:t>onsult</w:t>
      </w:r>
      <w:r w:rsidR="00805BC9">
        <w:t>ing</w:t>
      </w:r>
      <w:r w:rsidR="00110BF8" w:rsidRPr="00EF6369">
        <w:t xml:space="preserve"> </w:t>
      </w:r>
      <w:r w:rsidR="00AB0652" w:rsidRPr="00EF6369">
        <w:t>Se</w:t>
      </w:r>
      <w:r w:rsidR="00110BF8" w:rsidRPr="00EF6369">
        <w:t>rvices where quality is generally paramount</w:t>
      </w:r>
      <w:r w:rsidR="00CB6E59" w:rsidRPr="00EF6369">
        <w:t xml:space="preserve"> </w:t>
      </w:r>
      <w:r w:rsidRPr="00EF6369">
        <w:t>and</w:t>
      </w:r>
      <w:r w:rsidR="007F412F" w:rsidRPr="00EF6369">
        <w:t>,</w:t>
      </w:r>
      <w:r w:rsidR="00CB6E59" w:rsidRPr="00EF6369">
        <w:t xml:space="preserve"> as appropriate</w:t>
      </w:r>
      <w:r w:rsidR="007F412F" w:rsidRPr="00EF6369">
        <w:t>,</w:t>
      </w:r>
      <w:r w:rsidR="00110BF8" w:rsidRPr="00EF6369">
        <w:t xml:space="preserve"> </w:t>
      </w:r>
      <w:r w:rsidR="001B6DED">
        <w:t>in the case of Goods, Works and Non-consulting Services</w:t>
      </w:r>
      <w:r w:rsidR="00C16561">
        <w:t>,</w:t>
      </w:r>
      <w:r w:rsidR="001B6DED">
        <w:t xml:space="preserve"> </w:t>
      </w:r>
      <w:r w:rsidRPr="00EF6369">
        <w:t>life cycle cost</w:t>
      </w:r>
      <w:r w:rsidR="00110BF8" w:rsidRPr="00EF6369">
        <w:t>s</w:t>
      </w:r>
      <w:r w:rsidRPr="00EF6369">
        <w:t xml:space="preserve"> </w:t>
      </w:r>
      <w:r w:rsidR="00CB6E59" w:rsidRPr="00EF6369">
        <w:t>may need to be considered</w:t>
      </w:r>
      <w:r w:rsidR="00110BF8" w:rsidRPr="00EF6369">
        <w:t xml:space="preserve"> to determine </w:t>
      </w:r>
      <w:r w:rsidR="002E7691" w:rsidRPr="00EF6369">
        <w:t>VfM</w:t>
      </w:r>
      <w:r w:rsidRPr="00EF6369">
        <w:t>.</w:t>
      </w:r>
      <w:r w:rsidR="00534AA1" w:rsidRPr="00EF6369">
        <w:t xml:space="preserve"> </w:t>
      </w:r>
      <w:r w:rsidR="00110BF8" w:rsidRPr="00EF6369">
        <w:t>Economy may consider</w:t>
      </w:r>
      <w:r w:rsidRPr="00EF6369">
        <w:t xml:space="preserve"> sustainability with specific criteria in support of the </w:t>
      </w:r>
      <w:r w:rsidR="00110BF8" w:rsidRPr="00EF6369">
        <w:t>Recipient</w:t>
      </w:r>
      <w:r w:rsidRPr="00EF6369">
        <w:t>’s own sustainable procurement policy</w:t>
      </w:r>
      <w:r w:rsidR="00D92693">
        <w:t xml:space="preserve">. </w:t>
      </w:r>
      <w:r w:rsidR="00921F45">
        <w:t>M</w:t>
      </w:r>
      <w:r w:rsidR="00921F45" w:rsidRPr="00EF6369">
        <w:t>aximising of competition</w:t>
      </w:r>
      <w:r w:rsidR="00921F45">
        <w:t xml:space="preserve"> supports</w:t>
      </w:r>
      <w:r w:rsidR="00921F45" w:rsidRPr="00EF6369">
        <w:t xml:space="preserve"> </w:t>
      </w:r>
      <w:r w:rsidR="00921F45">
        <w:t>t</w:t>
      </w:r>
      <w:r w:rsidR="00287AB3" w:rsidRPr="00EF6369">
        <w:t>he achievement of econ</w:t>
      </w:r>
      <w:r w:rsidR="00921F45">
        <w:t>omy</w:t>
      </w:r>
      <w:r w:rsidR="00D92693">
        <w:t>.</w:t>
      </w:r>
    </w:p>
    <w:p w:rsidR="0073744C" w:rsidRPr="00EF6369" w:rsidRDefault="00D92693" w:rsidP="00C16561">
      <w:pPr>
        <w:pStyle w:val="ListParagraph"/>
        <w:spacing w:before="0"/>
        <w:ind w:left="1440"/>
        <w:contextualSpacing w:val="0"/>
        <w:jc w:val="both"/>
      </w:pPr>
      <w:r>
        <w:t xml:space="preserve"> </w:t>
      </w:r>
    </w:p>
    <w:p w:rsidR="0073744C" w:rsidRDefault="00110BF8" w:rsidP="00C16561">
      <w:pPr>
        <w:pStyle w:val="ListParagraph"/>
        <w:numPr>
          <w:ilvl w:val="0"/>
          <w:numId w:val="1"/>
        </w:numPr>
        <w:spacing w:before="0"/>
        <w:ind w:left="1440" w:hanging="720"/>
        <w:contextualSpacing w:val="0"/>
        <w:jc w:val="both"/>
      </w:pPr>
      <w:r w:rsidRPr="00EF6369">
        <w:rPr>
          <w:b/>
        </w:rPr>
        <w:t>Efficiency</w:t>
      </w:r>
      <w:r w:rsidRPr="00EF6369">
        <w:t>: The princip</w:t>
      </w:r>
      <w:r w:rsidR="00287AB3" w:rsidRPr="00EF6369">
        <w:t xml:space="preserve">le of efficiency </w:t>
      </w:r>
      <w:r w:rsidR="0017669D" w:rsidRPr="00EF6369">
        <w:t>necessitates</w:t>
      </w:r>
      <w:r w:rsidR="00287AB3" w:rsidRPr="00EF6369">
        <w:t xml:space="preserve"> that procurement p</w:t>
      </w:r>
      <w:r w:rsidRPr="00EF6369">
        <w:t>rocesses be proportional to the value and risks of the underlying</w:t>
      </w:r>
      <w:r w:rsidR="00287AB3" w:rsidRPr="00EF6369">
        <w:t xml:space="preserve"> project activities. Efficient </w:t>
      </w:r>
      <w:r w:rsidR="00287AB3" w:rsidRPr="00EF6369">
        <w:lastRenderedPageBreak/>
        <w:t>procurement and subsequent contract management is crucial to the timely completion of projects</w:t>
      </w:r>
      <w:r w:rsidRPr="00EF6369">
        <w:t>.</w:t>
      </w:r>
    </w:p>
    <w:p w:rsidR="00C16561" w:rsidRDefault="00C16561" w:rsidP="00C16561">
      <w:pPr>
        <w:pStyle w:val="ListParagraph"/>
      </w:pPr>
    </w:p>
    <w:p w:rsidR="0017669D" w:rsidRDefault="0017669D" w:rsidP="00C16561">
      <w:pPr>
        <w:pStyle w:val="ListParagraph"/>
        <w:numPr>
          <w:ilvl w:val="0"/>
          <w:numId w:val="1"/>
        </w:numPr>
        <w:spacing w:before="0"/>
        <w:ind w:left="1440" w:hanging="720"/>
        <w:contextualSpacing w:val="0"/>
        <w:jc w:val="both"/>
      </w:pPr>
      <w:r w:rsidRPr="00EF6369">
        <w:rPr>
          <w:b/>
        </w:rPr>
        <w:t>Integrity</w:t>
      </w:r>
      <w:r w:rsidRPr="00EF6369">
        <w:t>: The principle of integrity refers to CDB financing being used for its intende</w:t>
      </w:r>
      <w:r w:rsidR="00A82A93" w:rsidRPr="00EF6369">
        <w:t xml:space="preserve">d purposes, in accordance </w:t>
      </w:r>
      <w:r w:rsidR="00A82A93" w:rsidRPr="003705C5">
        <w:t xml:space="preserve">with </w:t>
      </w:r>
      <w:r w:rsidR="00793CF7">
        <w:t>P</w:t>
      </w:r>
      <w:r w:rsidR="00046697" w:rsidRPr="003705C5">
        <w:t>aragraph</w:t>
      </w:r>
      <w:r w:rsidR="00993A6A" w:rsidRPr="003705C5">
        <w:t xml:space="preserve"> 1</w:t>
      </w:r>
      <w:r w:rsidRPr="003705C5">
        <w:t>.1</w:t>
      </w:r>
      <w:r w:rsidRPr="00EF6369">
        <w:t xml:space="preserve">, and </w:t>
      </w:r>
      <w:r w:rsidR="00AE7E22" w:rsidRPr="00EF6369">
        <w:t xml:space="preserve">requires </w:t>
      </w:r>
      <w:r w:rsidRPr="00EF6369">
        <w:t>that all parties involved in the p</w:t>
      </w:r>
      <w:r w:rsidR="00434DAC" w:rsidRPr="00EF6369">
        <w:t xml:space="preserve">rocurement </w:t>
      </w:r>
      <w:r w:rsidR="00AE7E22" w:rsidRPr="00EF6369">
        <w:t>p</w:t>
      </w:r>
      <w:r w:rsidR="00434DAC" w:rsidRPr="00EF6369">
        <w:t xml:space="preserve">rocess </w:t>
      </w:r>
      <w:r w:rsidRPr="00EF6369">
        <w:t>observe the highest</w:t>
      </w:r>
      <w:r w:rsidR="00E0748D" w:rsidRPr="00EF6369">
        <w:t xml:space="preserve"> standard of ethics during the procurement </w:t>
      </w:r>
      <w:r w:rsidR="00DF7200" w:rsidRPr="00EF6369">
        <w:t xml:space="preserve">and execution </w:t>
      </w:r>
      <w:r w:rsidRPr="00EF6369">
        <w:t xml:space="preserve">of </w:t>
      </w:r>
      <w:r w:rsidR="00E0748D" w:rsidRPr="00EF6369">
        <w:t>CDB</w:t>
      </w:r>
      <w:r w:rsidR="006C386D">
        <w:t xml:space="preserve"> </w:t>
      </w:r>
      <w:r w:rsidRPr="00EF6369">
        <w:t xml:space="preserve">financed contracts, and refrain from </w:t>
      </w:r>
      <w:r w:rsidR="00C16561">
        <w:t>p</w:t>
      </w:r>
      <w:r w:rsidR="00434DAC" w:rsidRPr="00EF6369">
        <w:t xml:space="preserve">rohibited </w:t>
      </w:r>
      <w:r w:rsidR="00C16561">
        <w:t>p</w:t>
      </w:r>
      <w:r w:rsidR="00434DAC" w:rsidRPr="00EF6369">
        <w:t>ractices</w:t>
      </w:r>
      <w:r w:rsidR="00E0748D" w:rsidRPr="00EF6369">
        <w:t xml:space="preserve">, </w:t>
      </w:r>
      <w:r w:rsidR="00BC49A4" w:rsidRPr="00EF6369">
        <w:t>in accordance with</w:t>
      </w:r>
      <w:r w:rsidR="00A82A93" w:rsidRPr="00EF6369">
        <w:t xml:space="preserve"> </w:t>
      </w:r>
      <w:r w:rsidR="00A82A93" w:rsidRPr="003705C5">
        <w:t>S</w:t>
      </w:r>
      <w:r w:rsidR="00AE7E22" w:rsidRPr="003705C5">
        <w:t xml:space="preserve">ection </w:t>
      </w:r>
      <w:r w:rsidR="00046697" w:rsidRPr="003705C5">
        <w:t>5</w:t>
      </w:r>
      <w:r w:rsidR="0095261A" w:rsidRPr="003705C5">
        <w:t>.</w:t>
      </w:r>
    </w:p>
    <w:p w:rsidR="00C16561" w:rsidRPr="00EF6369" w:rsidRDefault="00C16561" w:rsidP="00C16561">
      <w:pPr>
        <w:pStyle w:val="ListParagraph"/>
        <w:spacing w:before="0"/>
        <w:ind w:left="1440"/>
        <w:contextualSpacing w:val="0"/>
        <w:jc w:val="both"/>
      </w:pPr>
    </w:p>
    <w:p w:rsidR="00110BF8" w:rsidRDefault="00287AB3" w:rsidP="00C16561">
      <w:pPr>
        <w:pStyle w:val="ListParagraph"/>
        <w:numPr>
          <w:ilvl w:val="0"/>
          <w:numId w:val="1"/>
        </w:numPr>
        <w:spacing w:before="0"/>
        <w:ind w:left="1440" w:hanging="720"/>
        <w:contextualSpacing w:val="0"/>
        <w:jc w:val="both"/>
      </w:pPr>
      <w:r w:rsidRPr="00EF6369">
        <w:rPr>
          <w:b/>
        </w:rPr>
        <w:t>Equity</w:t>
      </w:r>
      <w:r w:rsidRPr="00EF6369">
        <w:t xml:space="preserve">: The principle of equity requires </w:t>
      </w:r>
      <w:r w:rsidR="0040397A" w:rsidRPr="00EF6369">
        <w:t xml:space="preserve">that all eligible </w:t>
      </w:r>
      <w:r w:rsidR="00C313DF">
        <w:t xml:space="preserve">Suppliers, Contractors </w:t>
      </w:r>
      <w:r w:rsidR="0040397A" w:rsidRPr="00EF6369">
        <w:t xml:space="preserve">and </w:t>
      </w:r>
      <w:r w:rsidR="00AB0652" w:rsidRPr="00EF6369">
        <w:t>C</w:t>
      </w:r>
      <w:r w:rsidR="0040397A" w:rsidRPr="00EF6369">
        <w:t>onsultants be treated in a fair manner and b</w:t>
      </w:r>
      <w:r w:rsidR="00046697" w:rsidRPr="00EF6369">
        <w:t>e provided equal opportunities.</w:t>
      </w:r>
      <w:r w:rsidR="00534AA1" w:rsidRPr="00EF6369">
        <w:t xml:space="preserve"> </w:t>
      </w:r>
      <w:r w:rsidR="00805BC9">
        <w:t>Therefore, o</w:t>
      </w:r>
      <w:r w:rsidR="0040397A" w:rsidRPr="00EF6369">
        <w:t xml:space="preserve">pen competitive procurement is </w:t>
      </w:r>
      <w:r w:rsidR="00B95A06" w:rsidRPr="00EF6369">
        <w:t>CDB</w:t>
      </w:r>
      <w:r w:rsidR="0040397A" w:rsidRPr="00EF6369">
        <w:t>’s preferred procurement approach, whenever possible.</w:t>
      </w:r>
      <w:r w:rsidR="00534AA1" w:rsidRPr="00EF6369">
        <w:t xml:space="preserve"> </w:t>
      </w:r>
      <w:r w:rsidR="0040397A" w:rsidRPr="00EF6369">
        <w:t>The opportunity to make p</w:t>
      </w:r>
      <w:r w:rsidR="0017669D" w:rsidRPr="00EF6369">
        <w:t xml:space="preserve">rocurement-related </w:t>
      </w:r>
      <w:r w:rsidR="0040397A" w:rsidRPr="00EF6369">
        <w:t xml:space="preserve">complaints must be provided for as detailed in </w:t>
      </w:r>
      <w:r w:rsidR="00E51B8E">
        <w:t>t</w:t>
      </w:r>
      <w:r w:rsidR="00AE7E22" w:rsidRPr="00EF6369">
        <w:t xml:space="preserve">he </w:t>
      </w:r>
      <w:r w:rsidR="00334DA0" w:rsidRPr="00EF6369">
        <w:t>Procedures</w:t>
      </w:r>
      <w:r w:rsidR="0040397A" w:rsidRPr="00EF6369">
        <w:t>.</w:t>
      </w:r>
    </w:p>
    <w:p w:rsidR="00C16561" w:rsidRDefault="00C16561" w:rsidP="00C16561">
      <w:pPr>
        <w:pStyle w:val="ListParagraph"/>
      </w:pPr>
    </w:p>
    <w:p w:rsidR="00DC6970" w:rsidRDefault="0040397A" w:rsidP="00C16561">
      <w:pPr>
        <w:pStyle w:val="ListParagraph"/>
        <w:numPr>
          <w:ilvl w:val="0"/>
          <w:numId w:val="1"/>
        </w:numPr>
        <w:spacing w:before="0"/>
        <w:ind w:left="1440" w:hanging="720"/>
        <w:contextualSpacing w:val="0"/>
        <w:jc w:val="both"/>
      </w:pPr>
      <w:r w:rsidRPr="00EF6369">
        <w:rPr>
          <w:b/>
        </w:rPr>
        <w:t>Transparency</w:t>
      </w:r>
      <w:r w:rsidRPr="00EF6369">
        <w:t xml:space="preserve">: </w:t>
      </w:r>
      <w:r w:rsidR="0017669D" w:rsidRPr="00EF6369">
        <w:t>The principle of transparency requires that relevant procurement information be made publicly available to all interested parties, consistently and in a timely manner, through readily accessible and widely available sources at reasonable or no cost and appropriate reporting of procurement activities, including contract</w:t>
      </w:r>
      <w:r w:rsidR="00C313DF">
        <w:t xml:space="preserve"> awards</w:t>
      </w:r>
      <w:r w:rsidR="00D92693">
        <w:t xml:space="preserve">. </w:t>
      </w:r>
    </w:p>
    <w:p w:rsidR="006B145F" w:rsidRDefault="006B145F" w:rsidP="002D4D7A">
      <w:pPr>
        <w:pStyle w:val="ListParagraph"/>
        <w:spacing w:before="0"/>
      </w:pPr>
    </w:p>
    <w:p w:rsidR="009277DB" w:rsidRPr="006B145F" w:rsidRDefault="00F76511" w:rsidP="006B145F">
      <w:pPr>
        <w:pStyle w:val="Heading1"/>
        <w:spacing w:before="240" w:after="240"/>
        <w:rPr>
          <w:szCs w:val="28"/>
          <w:lang w:val="en-US"/>
        </w:rPr>
      </w:pPr>
      <w:bookmarkStart w:id="30" w:name="_Toc505689519"/>
      <w:bookmarkStart w:id="31" w:name="_Toc505702283"/>
      <w:bookmarkStart w:id="32" w:name="_Toc527715682"/>
      <w:r w:rsidRPr="006B145F">
        <w:rPr>
          <w:szCs w:val="28"/>
          <w:lang w:val="en-US"/>
        </w:rPr>
        <w:t>4</w:t>
      </w:r>
      <w:r w:rsidR="00E95826" w:rsidRPr="006B145F">
        <w:rPr>
          <w:szCs w:val="28"/>
          <w:lang w:val="en-US"/>
        </w:rPr>
        <w:t xml:space="preserve">. </w:t>
      </w:r>
      <w:r w:rsidR="006B145F">
        <w:rPr>
          <w:szCs w:val="28"/>
          <w:lang w:val="en-US"/>
        </w:rPr>
        <w:t xml:space="preserve">   </w:t>
      </w:r>
      <w:r w:rsidR="00E95826" w:rsidRPr="006B145F">
        <w:rPr>
          <w:szCs w:val="28"/>
          <w:u w:val="single"/>
          <w:lang w:val="en-US"/>
        </w:rPr>
        <w:t>ELIGIBILITY</w:t>
      </w:r>
      <w:bookmarkEnd w:id="30"/>
      <w:bookmarkEnd w:id="31"/>
      <w:bookmarkEnd w:id="32"/>
    </w:p>
    <w:p w:rsidR="00E95826" w:rsidRPr="00E51B8E" w:rsidRDefault="00E95826" w:rsidP="00E51B8E">
      <w:pPr>
        <w:pStyle w:val="Heading2"/>
        <w:spacing w:after="200"/>
        <w:rPr>
          <w:sz w:val="24"/>
          <w:szCs w:val="24"/>
          <w:lang w:val="en-US"/>
        </w:rPr>
      </w:pPr>
      <w:bookmarkStart w:id="33" w:name="_Toc505689520"/>
      <w:bookmarkStart w:id="34" w:name="_Toc505702284"/>
      <w:bookmarkStart w:id="35" w:name="_Toc527715683"/>
      <w:r w:rsidRPr="00E51B8E">
        <w:rPr>
          <w:sz w:val="24"/>
          <w:szCs w:val="24"/>
          <w:lang w:val="en-US"/>
        </w:rPr>
        <w:t>ELIGIBLE BIDDERS</w:t>
      </w:r>
      <w:bookmarkEnd w:id="33"/>
      <w:bookmarkEnd w:id="34"/>
      <w:r w:rsidR="007E5872">
        <w:rPr>
          <w:sz w:val="24"/>
          <w:szCs w:val="24"/>
          <w:lang w:val="en-US"/>
        </w:rPr>
        <w:t>/PROPOSERS</w:t>
      </w:r>
      <w:bookmarkEnd w:id="35"/>
    </w:p>
    <w:p w:rsidR="00C058E9" w:rsidRDefault="008614F9" w:rsidP="00793CF7">
      <w:pPr>
        <w:pStyle w:val="ListParagraph"/>
        <w:numPr>
          <w:ilvl w:val="0"/>
          <w:numId w:val="28"/>
        </w:numPr>
        <w:spacing w:before="0"/>
        <w:ind w:hanging="720"/>
        <w:contextualSpacing w:val="0"/>
        <w:jc w:val="both"/>
      </w:pPr>
      <w:r w:rsidRPr="00D63223">
        <w:t>T</w:t>
      </w:r>
      <w:r w:rsidR="00435E61" w:rsidRPr="00D63223">
        <w:t>o foster competition</w:t>
      </w:r>
      <w:r w:rsidR="00404B4C" w:rsidRPr="00D63223">
        <w:t>,</w:t>
      </w:r>
      <w:r w:rsidR="00435E61" w:rsidRPr="00D63223">
        <w:t xml:space="preserve"> CDB permits </w:t>
      </w:r>
      <w:r w:rsidR="005744A7">
        <w:t>F</w:t>
      </w:r>
      <w:r w:rsidR="009B4808" w:rsidRPr="00D63223">
        <w:t>irms</w:t>
      </w:r>
      <w:r w:rsidR="00435E61" w:rsidRPr="00D63223">
        <w:t xml:space="preserve"> and individuals from </w:t>
      </w:r>
      <w:r w:rsidR="00824EF4" w:rsidRPr="00D63223">
        <w:t>all</w:t>
      </w:r>
      <w:r w:rsidR="00435E61" w:rsidRPr="00D63223">
        <w:t xml:space="preserve"> its member countries</w:t>
      </w:r>
      <w:r w:rsidR="000209E0" w:rsidRPr="00D63223">
        <w:t>,</w:t>
      </w:r>
      <w:r w:rsidR="009B4808" w:rsidRPr="00D63223">
        <w:t xml:space="preserve"> </w:t>
      </w:r>
      <w:r w:rsidR="00DE34FC">
        <w:t xml:space="preserve">and any other countries, </w:t>
      </w:r>
      <w:r w:rsidR="009B4808" w:rsidRPr="00D63223">
        <w:t>whi</w:t>
      </w:r>
      <w:r w:rsidR="006E2138" w:rsidRPr="00D63223">
        <w:t>ch are indicated as eligible in the Financing</w:t>
      </w:r>
      <w:r w:rsidR="009B4808" w:rsidRPr="00D63223">
        <w:t xml:space="preserve"> Agreement</w:t>
      </w:r>
      <w:r w:rsidR="00352D6B" w:rsidRPr="00D63223">
        <w:t xml:space="preserve"> (an Eligible Country)</w:t>
      </w:r>
      <w:r w:rsidR="000209E0" w:rsidRPr="00D63223">
        <w:t>,</w:t>
      </w:r>
      <w:r w:rsidR="009B4808" w:rsidRPr="00D63223">
        <w:t xml:space="preserve"> </w:t>
      </w:r>
      <w:r w:rsidR="00DE34FC">
        <w:t>by</w:t>
      </w:r>
      <w:r w:rsidR="00435E61" w:rsidRPr="00D63223">
        <w:t xml:space="preserve"> offer</w:t>
      </w:r>
      <w:r w:rsidR="00DE34FC">
        <w:t>ing</w:t>
      </w:r>
      <w:r w:rsidR="00435E61" w:rsidRPr="00D63223">
        <w:t xml:space="preserve"> </w:t>
      </w:r>
      <w:r w:rsidR="004342C5" w:rsidRPr="00D63223">
        <w:t>Goods, Works and Services</w:t>
      </w:r>
      <w:r w:rsidR="00435E61" w:rsidRPr="00D63223">
        <w:t xml:space="preserve"> for CDB</w:t>
      </w:r>
      <w:r w:rsidR="00DE34FC">
        <w:t>-</w:t>
      </w:r>
      <w:r w:rsidR="00435E61" w:rsidRPr="00D63223">
        <w:t>financed projects.</w:t>
      </w:r>
      <w:r w:rsidR="00CF2569">
        <w:t xml:space="preserve"> </w:t>
      </w:r>
      <w:r w:rsidR="00C058E9">
        <w:t>E</w:t>
      </w:r>
      <w:r w:rsidR="006D68E5">
        <w:t xml:space="preserve">xceptions to </w:t>
      </w:r>
      <w:r w:rsidR="00793CF7">
        <w:t>P</w:t>
      </w:r>
      <w:r w:rsidR="001E63C1">
        <w:t xml:space="preserve">aragraph </w:t>
      </w:r>
      <w:r w:rsidR="006D68E5">
        <w:t>4.1</w:t>
      </w:r>
      <w:r w:rsidR="00B40BB7">
        <w:t>,</w:t>
      </w:r>
      <w:r w:rsidR="006D68E5">
        <w:t xml:space="preserve"> </w:t>
      </w:r>
      <w:r w:rsidR="00B40BB7">
        <w:t>as</w:t>
      </w:r>
      <w:r w:rsidR="006E7E70">
        <w:t xml:space="preserve"> detailed in </w:t>
      </w:r>
      <w:r w:rsidR="00793CF7">
        <w:t>P</w:t>
      </w:r>
      <w:r w:rsidR="00B901EC">
        <w:t xml:space="preserve">aragraph 7.1 and </w:t>
      </w:r>
      <w:r w:rsidR="006E7E70">
        <w:t>the Procedures</w:t>
      </w:r>
      <w:r w:rsidR="00B40BB7">
        <w:t>,</w:t>
      </w:r>
      <w:r w:rsidR="006E7E70">
        <w:t xml:space="preserve"> </w:t>
      </w:r>
      <w:r w:rsidR="006D68E5">
        <w:t>include</w:t>
      </w:r>
      <w:r w:rsidR="00B40BB7">
        <w:t xml:space="preserve"> those</w:t>
      </w:r>
      <w:r w:rsidR="006D68E5">
        <w:t>:</w:t>
      </w:r>
    </w:p>
    <w:p w:rsidR="00793CF7" w:rsidRDefault="00793CF7" w:rsidP="00793CF7">
      <w:pPr>
        <w:pStyle w:val="ListParagraph"/>
        <w:spacing w:before="0"/>
        <w:contextualSpacing w:val="0"/>
        <w:jc w:val="both"/>
      </w:pPr>
    </w:p>
    <w:p w:rsidR="00B901EC" w:rsidRDefault="00B40BB7" w:rsidP="00793CF7">
      <w:pPr>
        <w:pStyle w:val="ListParagraph"/>
        <w:numPr>
          <w:ilvl w:val="0"/>
          <w:numId w:val="25"/>
        </w:numPr>
        <w:spacing w:before="0"/>
        <w:ind w:left="1440" w:hanging="720"/>
        <w:contextualSpacing w:val="0"/>
        <w:jc w:val="both"/>
      </w:pPr>
      <w:r>
        <w:t>applicable to</w:t>
      </w:r>
      <w:r w:rsidR="00B901EC">
        <w:t xml:space="preserve"> private sector operations;</w:t>
      </w:r>
    </w:p>
    <w:p w:rsidR="00793CF7" w:rsidRDefault="00793CF7" w:rsidP="00793CF7">
      <w:pPr>
        <w:pStyle w:val="ListParagraph"/>
        <w:spacing w:before="0"/>
        <w:ind w:left="1440"/>
        <w:contextualSpacing w:val="0"/>
        <w:jc w:val="both"/>
      </w:pPr>
    </w:p>
    <w:p w:rsidR="006D68E5" w:rsidRDefault="006D68E5" w:rsidP="00793CF7">
      <w:pPr>
        <w:pStyle w:val="ListParagraph"/>
        <w:numPr>
          <w:ilvl w:val="0"/>
          <w:numId w:val="25"/>
        </w:numPr>
        <w:spacing w:before="0"/>
        <w:ind w:left="1440" w:hanging="720"/>
        <w:contextualSpacing w:val="0"/>
        <w:jc w:val="both"/>
      </w:pPr>
      <w:r w:rsidRPr="00D92693">
        <w:t xml:space="preserve">detailed in </w:t>
      </w:r>
      <w:r w:rsidR="00793CF7">
        <w:t>P</w:t>
      </w:r>
      <w:r w:rsidRPr="003705C5">
        <w:t>aragraph 5.</w:t>
      </w:r>
      <w:r w:rsidR="003705C5" w:rsidRPr="003705C5">
        <w:t>2</w:t>
      </w:r>
      <w:r w:rsidRPr="003705C5">
        <w:t xml:space="preserve"> related</w:t>
      </w:r>
      <w:r w:rsidRPr="00D92693">
        <w:t xml:space="preserve"> to </w:t>
      </w:r>
      <w:r w:rsidR="008614F9" w:rsidRPr="00D92693">
        <w:t xml:space="preserve">CDB </w:t>
      </w:r>
      <w:r w:rsidRPr="00D92693">
        <w:t>sanction</w:t>
      </w:r>
      <w:r w:rsidR="0025150A" w:rsidRPr="00D92693">
        <w:t>s</w:t>
      </w:r>
      <w:r w:rsidR="008614F9" w:rsidRPr="00D92693">
        <w:t>;</w:t>
      </w:r>
    </w:p>
    <w:p w:rsidR="00793CF7" w:rsidRDefault="00793CF7" w:rsidP="00793CF7">
      <w:pPr>
        <w:pStyle w:val="ListParagraph"/>
      </w:pPr>
    </w:p>
    <w:p w:rsidR="006D68E5" w:rsidRDefault="001E63C1" w:rsidP="00793CF7">
      <w:pPr>
        <w:pStyle w:val="ListParagraph"/>
        <w:numPr>
          <w:ilvl w:val="0"/>
          <w:numId w:val="25"/>
        </w:numPr>
        <w:spacing w:before="0"/>
        <w:ind w:left="1440" w:hanging="720"/>
        <w:contextualSpacing w:val="0"/>
        <w:jc w:val="both"/>
      </w:pPr>
      <w:r>
        <w:t>permitted</w:t>
      </w:r>
      <w:r w:rsidR="006D68E5" w:rsidRPr="00D92693">
        <w:t xml:space="preserve"> under CDB’s Disaster Management Strategy and Operational Guidelines (as amended from time to time);</w:t>
      </w:r>
    </w:p>
    <w:p w:rsidR="00793CF7" w:rsidRDefault="00793CF7" w:rsidP="00793CF7">
      <w:pPr>
        <w:pStyle w:val="ListParagraph"/>
      </w:pPr>
    </w:p>
    <w:p w:rsidR="006D68E5" w:rsidRDefault="006D68E5" w:rsidP="00793CF7">
      <w:pPr>
        <w:pStyle w:val="ListParagraph"/>
        <w:numPr>
          <w:ilvl w:val="0"/>
          <w:numId w:val="25"/>
        </w:numPr>
        <w:spacing w:before="0"/>
        <w:ind w:left="1440" w:hanging="720"/>
        <w:contextualSpacing w:val="0"/>
        <w:jc w:val="both"/>
      </w:pPr>
      <w:r w:rsidRPr="00D92693">
        <w:t xml:space="preserve">situations where Recipients contract </w:t>
      </w:r>
      <w:r w:rsidR="00F849F3" w:rsidRPr="00D92693">
        <w:t xml:space="preserve">regional and </w:t>
      </w:r>
      <w:r w:rsidRPr="00D92693">
        <w:t>international organis</w:t>
      </w:r>
      <w:r w:rsidR="008614F9" w:rsidRPr="00D92693">
        <w:t xml:space="preserve">ations, such as </w:t>
      </w:r>
      <w:r w:rsidR="007E5872">
        <w:t>United Nations (</w:t>
      </w:r>
      <w:r w:rsidRPr="00D92693">
        <w:t>UN</w:t>
      </w:r>
      <w:r w:rsidR="007E5872">
        <w:t>)</w:t>
      </w:r>
      <w:r w:rsidR="008614F9" w:rsidRPr="00D92693">
        <w:t xml:space="preserve"> agencies, as detailed in </w:t>
      </w:r>
      <w:r w:rsidR="00E51B8E">
        <w:t>t</w:t>
      </w:r>
      <w:r w:rsidR="008614F9" w:rsidRPr="00D92693">
        <w:t>he Procedures</w:t>
      </w:r>
      <w:r w:rsidR="00D92693">
        <w:t xml:space="preserve">. </w:t>
      </w:r>
      <w:r w:rsidR="0025150A" w:rsidRPr="00D92693">
        <w:t>I</w:t>
      </w:r>
      <w:r w:rsidRPr="00D92693">
        <w:t>n such instances CDB may accept</w:t>
      </w:r>
      <w:r w:rsidR="00F849F3" w:rsidRPr="00D92693">
        <w:t xml:space="preserve"> the </w:t>
      </w:r>
      <w:r w:rsidRPr="00D92693">
        <w:t xml:space="preserve">organisation’s eligibility </w:t>
      </w:r>
      <w:r w:rsidR="007377B5" w:rsidRPr="00D92693">
        <w:t>procedures</w:t>
      </w:r>
      <w:r w:rsidR="00987848" w:rsidRPr="00D92693">
        <w:t xml:space="preserve"> in relation to any procure</w:t>
      </w:r>
      <w:r w:rsidR="00962C5F" w:rsidRPr="00D92693">
        <w:t>ment need</w:t>
      </w:r>
      <w:r w:rsidR="001E63C1">
        <w:t>ed</w:t>
      </w:r>
      <w:r w:rsidR="00962C5F" w:rsidRPr="00D92693">
        <w:t xml:space="preserve"> to </w:t>
      </w:r>
      <w:r w:rsidR="001E63C1">
        <w:t xml:space="preserve">be </w:t>
      </w:r>
      <w:r w:rsidR="00962C5F" w:rsidRPr="00D92693">
        <w:t>ma</w:t>
      </w:r>
      <w:r w:rsidR="001E63C1">
        <w:t>d</w:t>
      </w:r>
      <w:r w:rsidR="00962C5F" w:rsidRPr="00D92693">
        <w:t>e under</w:t>
      </w:r>
      <w:r w:rsidR="00793CF7">
        <w:t xml:space="preserve"> a CDB-</w:t>
      </w:r>
      <w:r w:rsidR="00987848" w:rsidRPr="00D92693">
        <w:t>financed contract</w:t>
      </w:r>
      <w:r w:rsidRPr="00D92693">
        <w:t xml:space="preserve">; </w:t>
      </w:r>
      <w:r w:rsidR="006E7E70">
        <w:t>and</w:t>
      </w:r>
    </w:p>
    <w:p w:rsidR="00793CF7" w:rsidRDefault="00793CF7" w:rsidP="00793CF7">
      <w:pPr>
        <w:pStyle w:val="ListParagraph"/>
      </w:pPr>
    </w:p>
    <w:p w:rsidR="006D68E5" w:rsidRPr="00D92693" w:rsidRDefault="0025150A" w:rsidP="00793CF7">
      <w:pPr>
        <w:pStyle w:val="ListParagraph"/>
        <w:numPr>
          <w:ilvl w:val="0"/>
          <w:numId w:val="25"/>
        </w:numPr>
        <w:spacing w:before="0"/>
        <w:ind w:left="1440" w:hanging="720"/>
        <w:contextualSpacing w:val="0"/>
        <w:jc w:val="both"/>
      </w:pPr>
      <w:r w:rsidRPr="00D92693">
        <w:t>restrictions on the contracting of</w:t>
      </w:r>
      <w:r w:rsidR="006D68E5" w:rsidRPr="00D92693">
        <w:t xml:space="preserve"> state-owned or controlled ente</w:t>
      </w:r>
      <w:r w:rsidRPr="00D92693">
        <w:t>rprises or government officials</w:t>
      </w:r>
      <w:r w:rsidR="00750A0F">
        <w:t xml:space="preserve"> from the Recipient’s country</w:t>
      </w:r>
      <w:r w:rsidRPr="00D92693">
        <w:t xml:space="preserve"> detailed</w:t>
      </w:r>
      <w:r w:rsidR="006D68E5" w:rsidRPr="00D92693">
        <w:t xml:space="preserve"> in </w:t>
      </w:r>
      <w:r w:rsidR="00E51B8E">
        <w:t>t</w:t>
      </w:r>
      <w:r w:rsidR="006D68E5" w:rsidRPr="00D92693">
        <w:t>he Procedures</w:t>
      </w:r>
      <w:r w:rsidR="006E7E70">
        <w:t>.</w:t>
      </w:r>
    </w:p>
    <w:p w:rsidR="006B145F" w:rsidRPr="006B145F" w:rsidRDefault="00F76511" w:rsidP="006B145F">
      <w:pPr>
        <w:pStyle w:val="Heading1"/>
        <w:spacing w:before="0"/>
        <w:ind w:left="446" w:hanging="446"/>
        <w:rPr>
          <w:szCs w:val="28"/>
          <w:u w:val="single"/>
          <w:lang w:val="en-US"/>
        </w:rPr>
      </w:pPr>
      <w:bookmarkStart w:id="36" w:name="_Toc505689521"/>
      <w:bookmarkStart w:id="37" w:name="_Toc505702285"/>
      <w:bookmarkStart w:id="38" w:name="_Toc527715684"/>
      <w:r w:rsidRPr="006B145F">
        <w:rPr>
          <w:szCs w:val="28"/>
          <w:lang w:val="en-US"/>
        </w:rPr>
        <w:lastRenderedPageBreak/>
        <w:t>5</w:t>
      </w:r>
      <w:r w:rsidR="003347AA" w:rsidRPr="006B145F">
        <w:rPr>
          <w:szCs w:val="28"/>
          <w:lang w:val="en-US"/>
        </w:rPr>
        <w:t xml:space="preserve">. </w:t>
      </w:r>
      <w:r w:rsidR="002A4664" w:rsidRPr="006B145F">
        <w:rPr>
          <w:szCs w:val="28"/>
          <w:lang w:val="en-US"/>
        </w:rPr>
        <w:tab/>
      </w:r>
      <w:r w:rsidR="003347AA" w:rsidRPr="006B145F">
        <w:rPr>
          <w:szCs w:val="28"/>
          <w:u w:val="single"/>
          <w:lang w:val="en-US"/>
        </w:rPr>
        <w:t xml:space="preserve">PROHIBITED PRACTICES, CONFLICTS OF INTEREST </w:t>
      </w:r>
    </w:p>
    <w:p w:rsidR="009277DB" w:rsidRPr="006B145F" w:rsidRDefault="003347AA" w:rsidP="006B145F">
      <w:pPr>
        <w:pStyle w:val="Heading1"/>
        <w:spacing w:before="0"/>
        <w:ind w:left="446" w:hanging="446"/>
        <w:rPr>
          <w:szCs w:val="28"/>
          <w:u w:val="single"/>
          <w:lang w:val="en-US"/>
        </w:rPr>
      </w:pPr>
      <w:r w:rsidRPr="006B145F">
        <w:rPr>
          <w:szCs w:val="28"/>
          <w:u w:val="single"/>
          <w:lang w:val="en-US"/>
        </w:rPr>
        <w:t xml:space="preserve">AND </w:t>
      </w:r>
      <w:bookmarkEnd w:id="36"/>
      <w:bookmarkEnd w:id="37"/>
      <w:r w:rsidR="005744A7" w:rsidRPr="006B145F">
        <w:rPr>
          <w:szCs w:val="28"/>
          <w:u w:val="single"/>
          <w:lang w:val="en-US"/>
        </w:rPr>
        <w:t>NON-COMPLIANCE</w:t>
      </w:r>
      <w:bookmarkEnd w:id="38"/>
    </w:p>
    <w:p w:rsidR="001F7273" w:rsidRPr="00E51B8E" w:rsidRDefault="006D79F5" w:rsidP="002D4D7A">
      <w:pPr>
        <w:pStyle w:val="Heading2"/>
        <w:spacing w:after="200"/>
        <w:ind w:hanging="90"/>
        <w:rPr>
          <w:sz w:val="24"/>
          <w:szCs w:val="24"/>
          <w:lang w:val="en-US"/>
        </w:rPr>
      </w:pPr>
      <w:bookmarkStart w:id="39" w:name="_Toc505689522"/>
      <w:bookmarkStart w:id="40" w:name="_Toc505702286"/>
      <w:bookmarkStart w:id="41" w:name="_Toc527715685"/>
      <w:r w:rsidRPr="00E51B8E">
        <w:rPr>
          <w:sz w:val="24"/>
          <w:szCs w:val="24"/>
          <w:lang w:val="en-US"/>
        </w:rPr>
        <w:t>PROHIBITED PRACTICES</w:t>
      </w:r>
      <w:bookmarkEnd w:id="39"/>
      <w:bookmarkEnd w:id="40"/>
      <w:bookmarkEnd w:id="41"/>
    </w:p>
    <w:p w:rsidR="006D79F5" w:rsidRPr="00EF6369" w:rsidRDefault="006D79F5" w:rsidP="002D4D7A">
      <w:pPr>
        <w:pStyle w:val="Heading3"/>
        <w:spacing w:before="120" w:after="120"/>
        <w:ind w:left="173" w:firstLine="367"/>
      </w:pPr>
      <w:bookmarkStart w:id="42" w:name="_Toc527715686"/>
      <w:r w:rsidRPr="00EF6369">
        <w:t>Scope and Definitions</w:t>
      </w:r>
      <w:bookmarkEnd w:id="42"/>
      <w:r w:rsidR="001F7273" w:rsidRPr="00EF6369">
        <w:t xml:space="preserve"> </w:t>
      </w:r>
    </w:p>
    <w:p w:rsidR="001665D9" w:rsidRPr="00D63223" w:rsidRDefault="00941D86" w:rsidP="002D4D7A">
      <w:pPr>
        <w:pStyle w:val="ListParagraph"/>
        <w:numPr>
          <w:ilvl w:val="0"/>
          <w:numId w:val="33"/>
        </w:numPr>
        <w:spacing w:before="0" w:after="240"/>
        <w:ind w:left="540"/>
        <w:jc w:val="both"/>
      </w:pPr>
      <w:r w:rsidRPr="00D63223">
        <w:t xml:space="preserve">In accordance with </w:t>
      </w:r>
      <w:r w:rsidR="00793CF7">
        <w:t>P</w:t>
      </w:r>
      <w:r w:rsidR="00681A85" w:rsidRPr="003705C5">
        <w:t>aragraph 3.</w:t>
      </w:r>
      <w:r w:rsidRPr="003705C5">
        <w:t>1</w:t>
      </w:r>
      <w:r w:rsidR="00A82A93" w:rsidRPr="003705C5">
        <w:t>(</w:t>
      </w:r>
      <w:r w:rsidRPr="003705C5">
        <w:t>c)</w:t>
      </w:r>
      <w:r w:rsidRPr="00D63223">
        <w:t xml:space="preserve">, </w:t>
      </w:r>
      <w:r w:rsidR="00434DAC" w:rsidRPr="00D63223">
        <w:t>CDB requires that all parti</w:t>
      </w:r>
      <w:r w:rsidR="001F7273" w:rsidRPr="00D63223">
        <w:t>es involved in the procurement p</w:t>
      </w:r>
      <w:r w:rsidR="00434DAC" w:rsidRPr="00D63223">
        <w:t>rocess, including without limitation, Recipients</w:t>
      </w:r>
      <w:r w:rsidR="00C313DF" w:rsidRPr="00D63223">
        <w:t>,</w:t>
      </w:r>
      <w:r w:rsidR="00434DAC" w:rsidRPr="00D63223">
        <w:t xml:space="preserve"> </w:t>
      </w:r>
      <w:r w:rsidR="00B6124C" w:rsidRPr="00D63223">
        <w:t>B</w:t>
      </w:r>
      <w:r w:rsidR="00434DAC" w:rsidRPr="00D63223">
        <w:t>idders</w:t>
      </w:r>
      <w:r w:rsidR="007E5872">
        <w:t>/Proposers</w:t>
      </w:r>
      <w:r w:rsidR="00434DAC" w:rsidRPr="00D63223">
        <w:t xml:space="preserve">, </w:t>
      </w:r>
      <w:r w:rsidR="00AB0652" w:rsidRPr="00D63223">
        <w:t>C</w:t>
      </w:r>
      <w:r w:rsidR="00434DAC" w:rsidRPr="00D63223">
        <w:t xml:space="preserve">onsultants, </w:t>
      </w:r>
      <w:r w:rsidR="00AB0652" w:rsidRPr="00D63223">
        <w:t>C</w:t>
      </w:r>
      <w:r w:rsidR="00434DAC" w:rsidRPr="00D63223">
        <w:t xml:space="preserve">ontractors, and </w:t>
      </w:r>
      <w:r w:rsidR="00AB0652" w:rsidRPr="00D63223">
        <w:t>S</w:t>
      </w:r>
      <w:r w:rsidR="00CC0E12">
        <w:t>uppliers; any S</w:t>
      </w:r>
      <w:r w:rsidR="00434DAC" w:rsidRPr="00D63223">
        <w:t>ub-</w:t>
      </w:r>
      <w:r w:rsidR="00CC0E12">
        <w:t>contractors, S</w:t>
      </w:r>
      <w:r w:rsidR="00434DAC" w:rsidRPr="00D63223">
        <w:t>ub-</w:t>
      </w:r>
      <w:r w:rsidR="00CC0E12">
        <w:t>c</w:t>
      </w:r>
      <w:r w:rsidR="00434DAC" w:rsidRPr="00D63223">
        <w:t xml:space="preserve">onsultants, service providers or suppliers; any agents (whether declared or not); and any of their personnel, observe the highest standard of ethics during the procurement </w:t>
      </w:r>
      <w:r w:rsidR="00DF7200" w:rsidRPr="00D63223">
        <w:t>and execution</w:t>
      </w:r>
      <w:r w:rsidR="00434DAC" w:rsidRPr="00D63223">
        <w:t xml:space="preserve"> of CDB</w:t>
      </w:r>
      <w:r w:rsidR="00CC0E12">
        <w:t>-</w:t>
      </w:r>
      <w:r w:rsidR="007E5872">
        <w:t xml:space="preserve"> </w:t>
      </w:r>
      <w:r w:rsidR="00434DAC" w:rsidRPr="00D63223">
        <w:t xml:space="preserve">financed contracts </w:t>
      </w:r>
      <w:r w:rsidR="001B7D14" w:rsidRPr="00D63223">
        <w:t xml:space="preserve">and </w:t>
      </w:r>
      <w:r w:rsidR="00C610F5" w:rsidRPr="00D63223">
        <w:t xml:space="preserve">refrain from </w:t>
      </w:r>
      <w:r w:rsidR="00D2268B" w:rsidRPr="00D63223">
        <w:t xml:space="preserve">all </w:t>
      </w:r>
      <w:r w:rsidR="00793CF7">
        <w:t>p</w:t>
      </w:r>
      <w:r w:rsidR="00C610F5" w:rsidRPr="00D63223">
        <w:t xml:space="preserve">rohibited </w:t>
      </w:r>
      <w:r w:rsidR="00793CF7">
        <w:t>p</w:t>
      </w:r>
      <w:r w:rsidR="00C610F5" w:rsidRPr="00D63223">
        <w:t>ractices</w:t>
      </w:r>
      <w:r w:rsidR="00B40BB7">
        <w:t>,</w:t>
      </w:r>
      <w:r w:rsidR="00C3250C" w:rsidRPr="00D63223">
        <w:t xml:space="preserve"> as defined in </w:t>
      </w:r>
      <w:r w:rsidR="00E51B8E">
        <w:t>t</w:t>
      </w:r>
      <w:r w:rsidR="00C3250C" w:rsidRPr="00D63223">
        <w:t xml:space="preserve">he Procedures. </w:t>
      </w:r>
    </w:p>
    <w:p w:rsidR="006D79F5" w:rsidRPr="00E51B8E" w:rsidRDefault="00D2268B" w:rsidP="002D4D7A">
      <w:pPr>
        <w:pStyle w:val="Heading3"/>
        <w:spacing w:after="120"/>
        <w:ind w:left="720" w:hanging="180"/>
      </w:pPr>
      <w:bookmarkStart w:id="43" w:name="_Toc527715687"/>
      <w:r w:rsidRPr="00E51B8E">
        <w:t>Sanctions</w:t>
      </w:r>
      <w:bookmarkEnd w:id="43"/>
      <w:r w:rsidR="00534AA1" w:rsidRPr="00E51B8E">
        <w:t xml:space="preserve"> </w:t>
      </w:r>
    </w:p>
    <w:p w:rsidR="00D2268B" w:rsidRPr="00EF6369" w:rsidRDefault="00147863" w:rsidP="002D4D7A">
      <w:pPr>
        <w:pStyle w:val="ListParagraph"/>
        <w:numPr>
          <w:ilvl w:val="0"/>
          <w:numId w:val="33"/>
        </w:numPr>
        <w:spacing w:before="0" w:after="240"/>
        <w:ind w:left="540"/>
        <w:jc w:val="both"/>
      </w:pPr>
      <w:r w:rsidRPr="00EF6369">
        <w:t>CDB</w:t>
      </w:r>
      <w:r w:rsidR="00D2268B" w:rsidRPr="00EF6369">
        <w:t xml:space="preserve"> </w:t>
      </w:r>
      <w:r w:rsidRPr="00EF6369">
        <w:t xml:space="preserve">will sanction </w:t>
      </w:r>
      <w:r w:rsidR="00750A0F">
        <w:t>F</w:t>
      </w:r>
      <w:r w:rsidR="00D2268B" w:rsidRPr="00EF6369">
        <w:t>irm</w:t>
      </w:r>
      <w:r w:rsidRPr="00EF6369">
        <w:t xml:space="preserve">s or </w:t>
      </w:r>
      <w:r w:rsidR="00D2268B" w:rsidRPr="00EF6369">
        <w:t>individual</w:t>
      </w:r>
      <w:r w:rsidRPr="00EF6369">
        <w:t>s</w:t>
      </w:r>
      <w:r w:rsidR="00D2268B" w:rsidRPr="00EF6369">
        <w:t xml:space="preserve">, at any time, </w:t>
      </w:r>
      <w:r w:rsidRPr="00EF6369">
        <w:t xml:space="preserve">for not conforming </w:t>
      </w:r>
      <w:r w:rsidR="00C044F8" w:rsidRPr="00EF6369">
        <w:t xml:space="preserve">to </w:t>
      </w:r>
      <w:r w:rsidRPr="00EF6369">
        <w:t xml:space="preserve">the requirements stated in </w:t>
      </w:r>
      <w:r w:rsidR="00D84D47">
        <w:t>P</w:t>
      </w:r>
      <w:r w:rsidR="006A7BCB" w:rsidRPr="00D63223">
        <w:t>aragraph 5.1</w:t>
      </w:r>
      <w:r w:rsidRPr="00EF6369">
        <w:t xml:space="preserve">, </w:t>
      </w:r>
      <w:r w:rsidR="00D2268B" w:rsidRPr="00EF6369">
        <w:t xml:space="preserve">in accordance with </w:t>
      </w:r>
      <w:r w:rsidR="00EA05B2" w:rsidRPr="00EF6369">
        <w:t>CDB</w:t>
      </w:r>
      <w:r w:rsidR="00D2268B" w:rsidRPr="00EF6369">
        <w:t xml:space="preserve">’s </w:t>
      </w:r>
      <w:r w:rsidR="004F1C69">
        <w:t xml:space="preserve">prevailing </w:t>
      </w:r>
      <w:r w:rsidRPr="00EF6369">
        <w:t>sanctions procedures</w:t>
      </w:r>
      <w:r w:rsidR="00D92693">
        <w:t xml:space="preserve">. </w:t>
      </w:r>
      <w:r w:rsidR="004F1C69">
        <w:t xml:space="preserve">Firms or </w:t>
      </w:r>
      <w:r w:rsidR="006E7E70">
        <w:t>i</w:t>
      </w:r>
      <w:r w:rsidR="004F1C69">
        <w:t xml:space="preserve">ndividuals sanctioned shall be ineligible </w:t>
      </w:r>
      <w:r w:rsidR="004F1C69" w:rsidRPr="004F1C69">
        <w:t>to be awarded a CDB</w:t>
      </w:r>
      <w:r w:rsidR="00793CF7">
        <w:t>-</w:t>
      </w:r>
      <w:r w:rsidR="004F1C69" w:rsidRPr="004F1C69">
        <w:t>financed contract, or to benefit from a CDB</w:t>
      </w:r>
      <w:r w:rsidR="00793CF7">
        <w:t>-</w:t>
      </w:r>
      <w:r w:rsidR="004F1C69" w:rsidRPr="004F1C69">
        <w:t>financed contract, financially or otherwise, during such period of time as CDB shall determine.</w:t>
      </w:r>
    </w:p>
    <w:p w:rsidR="006D79F5" w:rsidRPr="00E51B8E" w:rsidRDefault="007E5872" w:rsidP="002D4D7A">
      <w:pPr>
        <w:pStyle w:val="Heading3"/>
        <w:spacing w:after="120"/>
        <w:ind w:left="540"/>
      </w:pPr>
      <w:bookmarkStart w:id="44" w:name="_Toc527715688"/>
      <w:r>
        <w:t xml:space="preserve">Regional and </w:t>
      </w:r>
      <w:r w:rsidR="00D10CFE" w:rsidRPr="00E51B8E">
        <w:t>International Organisations</w:t>
      </w:r>
      <w:bookmarkEnd w:id="44"/>
      <w:r w:rsidR="00534AA1" w:rsidRPr="00E51B8E">
        <w:t xml:space="preserve"> </w:t>
      </w:r>
    </w:p>
    <w:p w:rsidR="0073744C" w:rsidRPr="00EF6369" w:rsidRDefault="00D10CFE" w:rsidP="002D4D7A">
      <w:pPr>
        <w:pStyle w:val="ListParagraph"/>
        <w:numPr>
          <w:ilvl w:val="0"/>
          <w:numId w:val="33"/>
        </w:numPr>
        <w:spacing w:before="0" w:after="240"/>
        <w:ind w:left="540"/>
        <w:jc w:val="both"/>
      </w:pPr>
      <w:r w:rsidRPr="00EF6369">
        <w:t xml:space="preserve">Where </w:t>
      </w:r>
      <w:r w:rsidR="007E5872">
        <w:t xml:space="preserve">regional and </w:t>
      </w:r>
      <w:r w:rsidRPr="00EF6369">
        <w:t>international organi</w:t>
      </w:r>
      <w:r w:rsidR="00B95A06" w:rsidRPr="00EF6369">
        <w:t>s</w:t>
      </w:r>
      <w:r w:rsidRPr="00EF6369">
        <w:t>ations, such as UN</w:t>
      </w:r>
      <w:r w:rsidR="007E5872">
        <w:t xml:space="preserve"> agencies,</w:t>
      </w:r>
      <w:r w:rsidRPr="00EF6369">
        <w:t xml:space="preserve"> execute </w:t>
      </w:r>
      <w:r w:rsidR="00B14A1F" w:rsidRPr="00EF6369">
        <w:t>CDB</w:t>
      </w:r>
      <w:r w:rsidR="00793CF7">
        <w:t>-</w:t>
      </w:r>
      <w:r w:rsidRPr="00EF6369">
        <w:t xml:space="preserve">financed contracts under an agreement signed with the Recipient, </w:t>
      </w:r>
      <w:r w:rsidR="00B57E1A" w:rsidRPr="00EF6369">
        <w:t>CDB</w:t>
      </w:r>
      <w:r w:rsidRPr="00EF6369">
        <w:t xml:space="preserve"> may agree </w:t>
      </w:r>
      <w:r w:rsidR="00F450E2" w:rsidRPr="00EF6369">
        <w:t xml:space="preserve">to </w:t>
      </w:r>
      <w:r w:rsidRPr="00EF6369">
        <w:t>such organisations apply</w:t>
      </w:r>
      <w:r w:rsidR="005C43B7" w:rsidRPr="00EF6369">
        <w:t>ing</w:t>
      </w:r>
      <w:r w:rsidRPr="00EF6369">
        <w:t xml:space="preserve"> their own rules and regulations for investigating allegations of </w:t>
      </w:r>
      <w:r w:rsidR="008F200F" w:rsidRPr="00EF6369">
        <w:t>Prohibited Practices</w:t>
      </w:r>
      <w:r w:rsidRPr="00EF6369">
        <w:t xml:space="preserve">, subject to terms and conditions agreed with CDB, including an obligation to periodically inform CDB of the decisions and actions taken. </w:t>
      </w:r>
      <w:r w:rsidR="00B57E1A" w:rsidRPr="00EF6369">
        <w:t>CDB</w:t>
      </w:r>
      <w:r w:rsidRPr="00EF6369">
        <w:t>, however</w:t>
      </w:r>
      <w:r w:rsidR="00B40BB7">
        <w:t>,</w:t>
      </w:r>
      <w:r w:rsidRPr="00EF6369">
        <w:t xml:space="preserve"> retains the right to invoke suitable remedies.</w:t>
      </w:r>
    </w:p>
    <w:p w:rsidR="006D79F5" w:rsidRPr="00E51B8E" w:rsidRDefault="005744A7" w:rsidP="002D4D7A">
      <w:pPr>
        <w:pStyle w:val="Heading3"/>
        <w:spacing w:after="120"/>
        <w:ind w:left="540" w:hanging="630"/>
      </w:pPr>
      <w:bookmarkStart w:id="45" w:name="_Toc527715689"/>
      <w:r w:rsidRPr="00E51B8E">
        <w:t>CONFLICTS OF INTEREST</w:t>
      </w:r>
      <w:bookmarkEnd w:id="45"/>
    </w:p>
    <w:p w:rsidR="0073744C" w:rsidRPr="00EF6369" w:rsidRDefault="0010728F" w:rsidP="002D4D7A">
      <w:pPr>
        <w:pStyle w:val="ListParagraph"/>
        <w:numPr>
          <w:ilvl w:val="0"/>
          <w:numId w:val="33"/>
        </w:numPr>
        <w:spacing w:before="0" w:after="240"/>
        <w:ind w:left="540"/>
        <w:jc w:val="both"/>
      </w:pPr>
      <w:r w:rsidRPr="00EF6369">
        <w:t xml:space="preserve">None of the parties involved in the procurement process </w:t>
      </w:r>
      <w:r w:rsidR="008B0C0A" w:rsidRPr="00EF6369">
        <w:t xml:space="preserve">shall </w:t>
      </w:r>
      <w:r w:rsidRPr="00EF6369">
        <w:t>have a conflict of interest.</w:t>
      </w:r>
    </w:p>
    <w:p w:rsidR="0095261A" w:rsidRPr="00E51B8E" w:rsidRDefault="005744A7" w:rsidP="002D4D7A">
      <w:pPr>
        <w:pStyle w:val="Heading3"/>
        <w:spacing w:after="120"/>
        <w:ind w:left="540" w:hanging="630"/>
      </w:pPr>
      <w:bookmarkStart w:id="46" w:name="_Toc505689523"/>
      <w:bookmarkStart w:id="47" w:name="_Toc527715690"/>
      <w:r w:rsidRPr="00E51B8E">
        <w:t>NON-COMPLIANCE</w:t>
      </w:r>
      <w:bookmarkEnd w:id="46"/>
      <w:bookmarkEnd w:id="47"/>
      <w:r w:rsidRPr="00E51B8E">
        <w:t xml:space="preserve"> </w:t>
      </w:r>
    </w:p>
    <w:p w:rsidR="00F427EB" w:rsidRPr="00F427EB" w:rsidRDefault="0095261A" w:rsidP="002D4D7A">
      <w:pPr>
        <w:pStyle w:val="ListParagraph"/>
        <w:numPr>
          <w:ilvl w:val="0"/>
          <w:numId w:val="33"/>
        </w:numPr>
        <w:spacing w:before="240" w:after="240"/>
        <w:ind w:left="540"/>
        <w:rPr>
          <w:lang w:val="en-US"/>
        </w:rPr>
      </w:pPr>
      <w:r w:rsidRPr="00D63223">
        <w:t>If the Recipient or other parties involved in the procurement process do not comply with the</w:t>
      </w:r>
      <w:r w:rsidR="00D63223" w:rsidRPr="00D63223">
        <w:t xml:space="preserve"> </w:t>
      </w:r>
      <w:r w:rsidRPr="00D63223">
        <w:t xml:space="preserve">applicable procurement requirements, CDB may, in addition to the contractual remedies set out in the relevant Financing Agreement, take other appropriate actions consistent with the terms and conditions of the Financing Agreement and CDB’s implementation support and monitoring role. </w:t>
      </w:r>
      <w:bookmarkStart w:id="48" w:name="_Toc505689524"/>
      <w:bookmarkStart w:id="49" w:name="_Toc505702287"/>
    </w:p>
    <w:p w:rsidR="00F427EB" w:rsidRDefault="00F427EB" w:rsidP="00F427EB">
      <w:pPr>
        <w:spacing w:before="240" w:after="240"/>
        <w:rPr>
          <w:b/>
          <w:lang w:val="en-US"/>
        </w:rPr>
      </w:pPr>
    </w:p>
    <w:p w:rsidR="00F427EB" w:rsidRDefault="00F427EB" w:rsidP="00F427EB">
      <w:pPr>
        <w:spacing w:before="240" w:after="240"/>
        <w:rPr>
          <w:b/>
          <w:lang w:val="en-US"/>
        </w:rPr>
      </w:pPr>
    </w:p>
    <w:p w:rsidR="00F427EB" w:rsidRDefault="00F427EB" w:rsidP="00F427EB">
      <w:pPr>
        <w:spacing w:before="240" w:after="240"/>
        <w:rPr>
          <w:b/>
          <w:lang w:val="en-US"/>
        </w:rPr>
      </w:pPr>
    </w:p>
    <w:p w:rsidR="00F427EB" w:rsidRDefault="00F427EB" w:rsidP="00F427EB">
      <w:pPr>
        <w:spacing w:before="240" w:after="240"/>
        <w:rPr>
          <w:b/>
          <w:lang w:val="en-US"/>
        </w:rPr>
      </w:pPr>
    </w:p>
    <w:p w:rsidR="0073744C" w:rsidRPr="00F427EB" w:rsidRDefault="00BF3A50" w:rsidP="00F427EB">
      <w:pPr>
        <w:spacing w:before="240" w:after="240"/>
        <w:jc w:val="center"/>
        <w:rPr>
          <w:sz w:val="28"/>
          <w:szCs w:val="28"/>
          <w:lang w:val="en-US"/>
        </w:rPr>
      </w:pPr>
      <w:r w:rsidRPr="00F427EB">
        <w:rPr>
          <w:b/>
          <w:sz w:val="28"/>
          <w:szCs w:val="28"/>
          <w:lang w:val="en-US"/>
        </w:rPr>
        <w:lastRenderedPageBreak/>
        <w:t>6</w:t>
      </w:r>
      <w:r w:rsidR="005912E5" w:rsidRPr="00F427EB">
        <w:rPr>
          <w:b/>
          <w:sz w:val="28"/>
          <w:szCs w:val="28"/>
          <w:lang w:val="en-US"/>
        </w:rPr>
        <w:t xml:space="preserve">. </w:t>
      </w:r>
      <w:r w:rsidR="002A4664" w:rsidRPr="00F427EB">
        <w:rPr>
          <w:b/>
          <w:sz w:val="28"/>
          <w:szCs w:val="28"/>
          <w:lang w:val="en-US"/>
        </w:rPr>
        <w:tab/>
      </w:r>
      <w:r w:rsidR="005912E5" w:rsidRPr="00F427EB">
        <w:rPr>
          <w:b/>
          <w:sz w:val="28"/>
          <w:szCs w:val="28"/>
          <w:u w:val="single"/>
          <w:lang w:val="en-US"/>
        </w:rPr>
        <w:t>PROCUREMENT PLANNING</w:t>
      </w:r>
      <w:bookmarkEnd w:id="48"/>
      <w:bookmarkEnd w:id="49"/>
    </w:p>
    <w:p w:rsidR="005912E5" w:rsidRPr="00F427EB" w:rsidRDefault="005912E5" w:rsidP="00F427EB">
      <w:pPr>
        <w:pStyle w:val="Heading2"/>
        <w:spacing w:after="200"/>
        <w:rPr>
          <w:sz w:val="24"/>
          <w:szCs w:val="24"/>
          <w:lang w:val="en-US"/>
        </w:rPr>
      </w:pPr>
      <w:bookmarkStart w:id="50" w:name="_Toc505689525"/>
      <w:bookmarkStart w:id="51" w:name="_Toc505702288"/>
      <w:bookmarkStart w:id="52" w:name="_Toc527715691"/>
      <w:r w:rsidRPr="00F427EB">
        <w:rPr>
          <w:sz w:val="24"/>
          <w:szCs w:val="24"/>
          <w:lang w:val="en-US"/>
        </w:rPr>
        <w:t xml:space="preserve">PROCUREMENT PLAN </w:t>
      </w:r>
      <w:r w:rsidR="000F591A" w:rsidRPr="00F427EB">
        <w:rPr>
          <w:sz w:val="24"/>
          <w:szCs w:val="24"/>
          <w:lang w:val="en-US"/>
        </w:rPr>
        <w:t>AND</w:t>
      </w:r>
      <w:r w:rsidR="000B646D" w:rsidRPr="00F427EB">
        <w:rPr>
          <w:sz w:val="24"/>
          <w:szCs w:val="24"/>
          <w:lang w:val="en-US"/>
        </w:rPr>
        <w:t xml:space="preserve"> PROCUREMENT STRATEGY</w:t>
      </w:r>
      <w:bookmarkEnd w:id="50"/>
      <w:bookmarkEnd w:id="51"/>
      <w:bookmarkEnd w:id="52"/>
    </w:p>
    <w:p w:rsidR="000B646D" w:rsidRDefault="005912E5" w:rsidP="002D4D7A">
      <w:pPr>
        <w:pStyle w:val="ListParagraph"/>
        <w:numPr>
          <w:ilvl w:val="0"/>
          <w:numId w:val="41"/>
        </w:numPr>
        <w:spacing w:before="0" w:after="240"/>
        <w:ind w:left="630"/>
        <w:jc w:val="both"/>
      </w:pPr>
      <w:r w:rsidRPr="00BF3A50">
        <w:t>T</w:t>
      </w:r>
      <w:r w:rsidR="00191F2E" w:rsidRPr="00BF3A50">
        <w:t xml:space="preserve">he preparation of a realistic </w:t>
      </w:r>
      <w:r w:rsidR="00871F94" w:rsidRPr="00BF3A50">
        <w:t>Procurement Plan</w:t>
      </w:r>
      <w:r w:rsidR="00E156EA" w:rsidRPr="00EF6369">
        <w:rPr>
          <w:vertAlign w:val="superscript"/>
        </w:rPr>
        <w:footnoteReference w:id="5"/>
      </w:r>
      <w:r w:rsidR="00191F2E" w:rsidRPr="00BF3A50">
        <w:t xml:space="preserve"> for a project is critical for its successful monitoring and implementation.</w:t>
      </w:r>
      <w:r w:rsidR="00534AA1" w:rsidRPr="00BF3A50">
        <w:t xml:space="preserve"> </w:t>
      </w:r>
      <w:r w:rsidR="00191F2E" w:rsidRPr="00BF3A50">
        <w:t xml:space="preserve">The </w:t>
      </w:r>
      <w:r w:rsidR="00871F94" w:rsidRPr="00BF3A50">
        <w:t>P</w:t>
      </w:r>
      <w:r w:rsidR="00C13612" w:rsidRPr="00BF3A50">
        <w:t xml:space="preserve">rocurement </w:t>
      </w:r>
      <w:r w:rsidR="00871F94" w:rsidRPr="00BF3A50">
        <w:t xml:space="preserve">Plan </w:t>
      </w:r>
      <w:r w:rsidR="00191F2E" w:rsidRPr="00BF3A50">
        <w:t>should be consistent with the overall project implementation plan and reflect the perceived risks of the procurements to be</w:t>
      </w:r>
      <w:r w:rsidR="00793CF7">
        <w:t xml:space="preserve"> </w:t>
      </w:r>
      <w:r w:rsidR="00191F2E" w:rsidRPr="00BF3A50">
        <w:t xml:space="preserve">undertaken and capacity of the </w:t>
      </w:r>
      <w:r w:rsidR="00B70ADF">
        <w:t xml:space="preserve">implementing and </w:t>
      </w:r>
      <w:r w:rsidR="00ED0B12" w:rsidRPr="00BF3A50">
        <w:t>ex</w:t>
      </w:r>
      <w:r w:rsidR="002A5DB2" w:rsidRPr="00BF3A50">
        <w:t>e</w:t>
      </w:r>
      <w:r w:rsidR="00ED0B12" w:rsidRPr="00BF3A50">
        <w:t xml:space="preserve">cuting </w:t>
      </w:r>
      <w:r w:rsidR="00191F2E" w:rsidRPr="00BF3A50">
        <w:t xml:space="preserve">agency </w:t>
      </w:r>
      <w:r w:rsidR="00ED0B12" w:rsidRPr="00BF3A50">
        <w:t>and other stakeholder</w:t>
      </w:r>
      <w:r w:rsidR="00BF3A50">
        <w:t>s</w:t>
      </w:r>
      <w:r w:rsidR="00ED0B12" w:rsidRPr="00BF3A50">
        <w:t xml:space="preserve"> </w:t>
      </w:r>
      <w:r w:rsidR="00191F2E" w:rsidRPr="00BF3A50">
        <w:t xml:space="preserve">tasked with </w:t>
      </w:r>
      <w:r w:rsidR="00ED0B12" w:rsidRPr="00BF3A50">
        <w:t xml:space="preserve">conducting and overseeing </w:t>
      </w:r>
      <w:r w:rsidR="00191F2E" w:rsidRPr="00BF3A50">
        <w:t>the procurement.</w:t>
      </w:r>
      <w:r w:rsidR="00534AA1" w:rsidRPr="00BF3A50">
        <w:t xml:space="preserve"> </w:t>
      </w:r>
      <w:r w:rsidR="005C43B7" w:rsidRPr="00BF3A50">
        <w:t>Where p</w:t>
      </w:r>
      <w:r w:rsidR="000B646D" w:rsidRPr="00BF3A50">
        <w:t xml:space="preserve">rocurements are high risk and high value, CDB may request that the </w:t>
      </w:r>
      <w:r w:rsidR="00D74453">
        <w:t>R</w:t>
      </w:r>
      <w:r w:rsidR="000B646D" w:rsidRPr="00BF3A50">
        <w:t xml:space="preserve">ecipient produces a </w:t>
      </w:r>
      <w:r w:rsidR="00D74453">
        <w:t>P</w:t>
      </w:r>
      <w:r w:rsidR="000B646D" w:rsidRPr="00BF3A50">
        <w:t xml:space="preserve">rocurement </w:t>
      </w:r>
      <w:r w:rsidR="00D74453">
        <w:t>S</w:t>
      </w:r>
      <w:r w:rsidR="000B646D" w:rsidRPr="00BF3A50">
        <w:t xml:space="preserve">trategy to be submitted with the </w:t>
      </w:r>
      <w:r w:rsidR="00BF3A50">
        <w:t>P</w:t>
      </w:r>
      <w:r w:rsidR="000B646D" w:rsidRPr="00BF3A50">
        <w:t xml:space="preserve">rocurement </w:t>
      </w:r>
      <w:r w:rsidR="00BF3A50">
        <w:t>P</w:t>
      </w:r>
      <w:r w:rsidR="000B646D" w:rsidRPr="00BF3A50">
        <w:t>lan.</w:t>
      </w:r>
    </w:p>
    <w:p w:rsidR="00F427EB" w:rsidRPr="00BF3A50" w:rsidRDefault="00F427EB" w:rsidP="00F427EB">
      <w:pPr>
        <w:pStyle w:val="ListParagraph"/>
        <w:spacing w:before="0" w:after="240"/>
        <w:jc w:val="both"/>
      </w:pPr>
    </w:p>
    <w:p w:rsidR="0073744C" w:rsidRPr="00F427EB" w:rsidRDefault="002C63D7" w:rsidP="00F427EB">
      <w:pPr>
        <w:pStyle w:val="Heading1"/>
        <w:spacing w:before="240" w:after="240"/>
        <w:rPr>
          <w:szCs w:val="28"/>
          <w:lang w:val="en-US"/>
        </w:rPr>
      </w:pPr>
      <w:bookmarkStart w:id="53" w:name="_Toc505689528"/>
      <w:bookmarkStart w:id="54" w:name="_Toc505702292"/>
      <w:bookmarkStart w:id="55" w:name="_Toc527715692"/>
      <w:r w:rsidRPr="00F427EB">
        <w:rPr>
          <w:szCs w:val="28"/>
          <w:lang w:val="en-US"/>
        </w:rPr>
        <w:t>7</w:t>
      </w:r>
      <w:r w:rsidR="005912E5" w:rsidRPr="00F427EB">
        <w:rPr>
          <w:szCs w:val="28"/>
          <w:lang w:val="en-US"/>
        </w:rPr>
        <w:t xml:space="preserve">. </w:t>
      </w:r>
      <w:r w:rsidR="002A4664" w:rsidRPr="00F427EB">
        <w:rPr>
          <w:szCs w:val="28"/>
          <w:lang w:val="en-US"/>
        </w:rPr>
        <w:tab/>
      </w:r>
      <w:r w:rsidR="005912E5" w:rsidRPr="00F427EB">
        <w:rPr>
          <w:szCs w:val="28"/>
          <w:u w:val="single"/>
          <w:lang w:val="en-US"/>
        </w:rPr>
        <w:t>PROCUREMENT UNDER PRIVATE SECTOR OPERATIONS</w:t>
      </w:r>
      <w:bookmarkEnd w:id="53"/>
      <w:bookmarkEnd w:id="54"/>
      <w:bookmarkEnd w:id="55"/>
    </w:p>
    <w:p w:rsidR="005912E5" w:rsidRPr="00E51B8E" w:rsidRDefault="005912E5" w:rsidP="002D4D7A">
      <w:pPr>
        <w:pStyle w:val="Heading2"/>
        <w:spacing w:after="200"/>
        <w:ind w:hanging="90"/>
        <w:rPr>
          <w:sz w:val="24"/>
          <w:szCs w:val="24"/>
          <w:lang w:val="en-US"/>
        </w:rPr>
      </w:pPr>
      <w:bookmarkStart w:id="56" w:name="_Toc505689529"/>
      <w:bookmarkStart w:id="57" w:name="_Toc505702293"/>
      <w:bookmarkStart w:id="58" w:name="_Toc527715693"/>
      <w:r w:rsidRPr="00E51B8E">
        <w:rPr>
          <w:sz w:val="24"/>
          <w:szCs w:val="24"/>
          <w:lang w:val="en-US"/>
        </w:rPr>
        <w:t>PRIVATE SECTOR FINANCING</w:t>
      </w:r>
      <w:bookmarkEnd w:id="56"/>
      <w:bookmarkEnd w:id="57"/>
      <w:bookmarkEnd w:id="58"/>
    </w:p>
    <w:p w:rsidR="006F4B81" w:rsidRDefault="006027EE" w:rsidP="002D4D7A">
      <w:pPr>
        <w:pStyle w:val="ListParagraph"/>
        <w:numPr>
          <w:ilvl w:val="0"/>
          <w:numId w:val="40"/>
        </w:numPr>
        <w:spacing w:before="0" w:after="240"/>
        <w:jc w:val="both"/>
      </w:pPr>
      <w:r w:rsidRPr="00BF3A50">
        <w:t xml:space="preserve">Unless stated otherwise in the Financing Agreement, </w:t>
      </w:r>
      <w:r w:rsidR="00CF444A" w:rsidRPr="00BF3A50">
        <w:t xml:space="preserve">CDB does not require private sector </w:t>
      </w:r>
      <w:r w:rsidR="009E0DF1">
        <w:t>Recipients</w:t>
      </w:r>
      <w:r w:rsidR="009E0DF1" w:rsidRPr="00BF3A50">
        <w:t xml:space="preserve"> </w:t>
      </w:r>
      <w:r w:rsidR="00CF444A" w:rsidRPr="00BF3A50">
        <w:t>to comply with CDB’s public procurement procedures and will permit the use of established commercial practices acceptable to CDB</w:t>
      </w:r>
      <w:r w:rsidR="00B901EC">
        <w:t xml:space="preserve"> and there shall be no restrictions on country eligibility</w:t>
      </w:r>
      <w:r w:rsidR="00CF444A" w:rsidRPr="00BF3A50">
        <w:t>.</w:t>
      </w:r>
      <w:r w:rsidR="00534AA1" w:rsidRPr="00BF3A50">
        <w:t xml:space="preserve"> </w:t>
      </w:r>
    </w:p>
    <w:p w:rsidR="002D4D7A" w:rsidRPr="00BF3A50" w:rsidRDefault="002D4D7A" w:rsidP="002D4D7A">
      <w:pPr>
        <w:pStyle w:val="ListParagraph"/>
        <w:spacing w:before="0"/>
        <w:ind w:left="547"/>
        <w:jc w:val="both"/>
      </w:pPr>
    </w:p>
    <w:p w:rsidR="00244524" w:rsidRPr="00F427EB" w:rsidRDefault="009E0DF1" w:rsidP="00F427EB">
      <w:pPr>
        <w:pStyle w:val="Heading1"/>
        <w:spacing w:before="240" w:after="240"/>
        <w:rPr>
          <w:szCs w:val="28"/>
          <w:lang w:val="en-US"/>
        </w:rPr>
      </w:pPr>
      <w:bookmarkStart w:id="59" w:name="_Toc505689530"/>
      <w:bookmarkStart w:id="60" w:name="_Toc505702294"/>
      <w:bookmarkStart w:id="61" w:name="_Toc527715694"/>
      <w:r w:rsidRPr="00F427EB">
        <w:rPr>
          <w:szCs w:val="28"/>
          <w:lang w:val="en-US"/>
        </w:rPr>
        <w:t>8</w:t>
      </w:r>
      <w:r w:rsidR="006F4B81" w:rsidRPr="00F427EB">
        <w:rPr>
          <w:szCs w:val="28"/>
          <w:lang w:val="en-US"/>
        </w:rPr>
        <w:t>.</w:t>
      </w:r>
      <w:r w:rsidR="009E6C4B" w:rsidRPr="00F427EB">
        <w:rPr>
          <w:szCs w:val="28"/>
          <w:lang w:val="en-US"/>
        </w:rPr>
        <w:tab/>
      </w:r>
      <w:r w:rsidR="007E59AD" w:rsidRPr="00F427EB">
        <w:rPr>
          <w:szCs w:val="28"/>
          <w:u w:val="single"/>
          <w:lang w:val="en-US"/>
        </w:rPr>
        <w:t>ALTERNATIVE PROCUREMENT ARRANGEMENTS</w:t>
      </w:r>
      <w:bookmarkEnd w:id="59"/>
      <w:bookmarkEnd w:id="60"/>
      <w:bookmarkEnd w:id="61"/>
    </w:p>
    <w:p w:rsidR="007E59AD" w:rsidRPr="00BF3A50" w:rsidRDefault="007E59AD" w:rsidP="002D4D7A">
      <w:pPr>
        <w:pStyle w:val="ListParagraph"/>
        <w:numPr>
          <w:ilvl w:val="0"/>
          <w:numId w:val="36"/>
        </w:numPr>
        <w:spacing w:before="0" w:after="120"/>
        <w:ind w:left="540"/>
        <w:contextualSpacing w:val="0"/>
        <w:jc w:val="both"/>
      </w:pPr>
      <w:r w:rsidRPr="00BF3A50">
        <w:t xml:space="preserve">For contracts it finances, </w:t>
      </w:r>
      <w:r w:rsidR="00AE19E1" w:rsidRPr="00BF3A50">
        <w:t>CD</w:t>
      </w:r>
      <w:r w:rsidRPr="00BF3A50">
        <w:t>B may agree</w:t>
      </w:r>
      <w:r w:rsidR="00244524" w:rsidRPr="00BF3A50">
        <w:t xml:space="preserve"> </w:t>
      </w:r>
      <w:r w:rsidRPr="00BF3A50">
        <w:t xml:space="preserve">to </w:t>
      </w:r>
      <w:r w:rsidR="00BF1E6F">
        <w:t xml:space="preserve">alternative procurement arrangements (APAs) where </w:t>
      </w:r>
      <w:r w:rsidRPr="00BF3A50">
        <w:t xml:space="preserve">the procurement </w:t>
      </w:r>
      <w:r w:rsidR="00B901EC">
        <w:t>policies</w:t>
      </w:r>
      <w:r w:rsidR="00B901EC" w:rsidRPr="00BF3A50">
        <w:t xml:space="preserve"> </w:t>
      </w:r>
      <w:r w:rsidRPr="00BF3A50">
        <w:t xml:space="preserve">and procedures </w:t>
      </w:r>
      <w:r w:rsidR="00BF1E6F">
        <w:t xml:space="preserve">applied are those </w:t>
      </w:r>
      <w:r w:rsidRPr="00BF3A50">
        <w:t xml:space="preserve">of: </w:t>
      </w:r>
    </w:p>
    <w:p w:rsidR="00A02E7D" w:rsidRPr="006762B2" w:rsidRDefault="007E59AD" w:rsidP="00AD063E">
      <w:pPr>
        <w:pStyle w:val="ListParagraph"/>
        <w:numPr>
          <w:ilvl w:val="0"/>
          <w:numId w:val="23"/>
        </w:numPr>
        <w:spacing w:before="0" w:after="120"/>
        <w:ind w:left="1260" w:hanging="720"/>
        <w:contextualSpacing w:val="0"/>
        <w:jc w:val="both"/>
      </w:pPr>
      <w:r w:rsidRPr="006762B2">
        <w:t xml:space="preserve">another multilateral or bilateral agency or organisation involved in the </w:t>
      </w:r>
      <w:r w:rsidR="00F42B36" w:rsidRPr="006762B2">
        <w:t>project and</w:t>
      </w:r>
      <w:r w:rsidRPr="006762B2">
        <w:t xml:space="preserve"> may agree to such a party taking a leading role in providing the implementation support and monitoring of project procurement activities through mutual reliance</w:t>
      </w:r>
      <w:r w:rsidR="00D92693">
        <w:t>.</w:t>
      </w:r>
      <w:r w:rsidRPr="006762B2">
        <w:t xml:space="preserve"> To facilitate such arrangements CDB</w:t>
      </w:r>
      <w:r w:rsidR="00DA5077" w:rsidRPr="006762B2">
        <w:t xml:space="preserve"> </w:t>
      </w:r>
      <w:r w:rsidR="0073547D" w:rsidRPr="006762B2">
        <w:t xml:space="preserve">may </w:t>
      </w:r>
      <w:r w:rsidR="004D7F56" w:rsidRPr="006762B2">
        <w:t xml:space="preserve">enter </w:t>
      </w:r>
      <w:r w:rsidR="00DA5077" w:rsidRPr="006762B2">
        <w:t xml:space="preserve">project specific or framework </w:t>
      </w:r>
      <w:r w:rsidR="004D7F56" w:rsidRPr="006762B2">
        <w:t>co-financing</w:t>
      </w:r>
      <w:r w:rsidR="0073547D" w:rsidRPr="006762B2">
        <w:t xml:space="preserve"> arrangements with entities, such as other </w:t>
      </w:r>
      <w:r w:rsidR="006E7E70" w:rsidRPr="006E7E70">
        <w:t xml:space="preserve">Multilateral </w:t>
      </w:r>
      <w:r w:rsidR="000E2D33">
        <w:t>Development Bank</w:t>
      </w:r>
      <w:r w:rsidR="002847E3">
        <w:t>s</w:t>
      </w:r>
      <w:r w:rsidR="000E2D33">
        <w:t xml:space="preserve"> (</w:t>
      </w:r>
      <w:r w:rsidR="008B2CF1" w:rsidRPr="006762B2">
        <w:t>MDBs</w:t>
      </w:r>
      <w:r w:rsidR="000E2D33">
        <w:t>)</w:t>
      </w:r>
      <w:r w:rsidR="00B95A06" w:rsidRPr="006762B2">
        <w:t>,</w:t>
      </w:r>
      <w:r w:rsidR="0073547D" w:rsidRPr="006762B2">
        <w:t xml:space="preserve"> </w:t>
      </w:r>
      <w:r w:rsidR="002847E3">
        <w:t>which</w:t>
      </w:r>
      <w:r w:rsidR="0073547D" w:rsidRPr="006762B2">
        <w:t xml:space="preserve"> follow broadly harmonised procurement policies and procedures, through the signing of </w:t>
      </w:r>
      <w:r w:rsidR="00490694" w:rsidRPr="006762B2">
        <w:t>m</w:t>
      </w:r>
      <w:r w:rsidR="0073547D" w:rsidRPr="006762B2">
        <w:t xml:space="preserve">utual </w:t>
      </w:r>
      <w:r w:rsidR="00490694" w:rsidRPr="006762B2">
        <w:t>r</w:t>
      </w:r>
      <w:r w:rsidR="0073547D" w:rsidRPr="006762B2">
        <w:t xml:space="preserve">eliance </w:t>
      </w:r>
      <w:r w:rsidR="00490694" w:rsidRPr="006762B2">
        <w:t>a</w:t>
      </w:r>
      <w:r w:rsidR="0073547D" w:rsidRPr="006762B2">
        <w:t>greements</w:t>
      </w:r>
      <w:r w:rsidR="0073547D" w:rsidRPr="00EF6369">
        <w:rPr>
          <w:vertAlign w:val="superscript"/>
        </w:rPr>
        <w:footnoteReference w:id="6"/>
      </w:r>
      <w:r w:rsidR="0073547D" w:rsidRPr="006762B2">
        <w:t>. Such agreements shall recogni</w:t>
      </w:r>
      <w:r w:rsidR="00B95A06" w:rsidRPr="006762B2">
        <w:t>s</w:t>
      </w:r>
      <w:r w:rsidR="0073547D" w:rsidRPr="006762B2">
        <w:t xml:space="preserve">e the </w:t>
      </w:r>
      <w:r w:rsidR="00FB2A6B" w:rsidRPr="006762B2">
        <w:t xml:space="preserve">underlying </w:t>
      </w:r>
      <w:r w:rsidR="0073547D" w:rsidRPr="006762B2">
        <w:t xml:space="preserve">principles of each </w:t>
      </w:r>
      <w:r w:rsidR="00E50D19" w:rsidRPr="006762B2">
        <w:t xml:space="preserve">entity’s </w:t>
      </w:r>
      <w:r w:rsidR="0073547D" w:rsidRPr="006762B2">
        <w:t xml:space="preserve">procurement policies and </w:t>
      </w:r>
      <w:r w:rsidR="00111FCC">
        <w:t>p</w:t>
      </w:r>
      <w:r w:rsidR="0073547D" w:rsidRPr="006762B2">
        <w:t>rocedures and permit reliance by co-financiers on those of the designated lead co-financier.</w:t>
      </w:r>
      <w:r w:rsidR="00534AA1" w:rsidRPr="006762B2">
        <w:t xml:space="preserve"> </w:t>
      </w:r>
      <w:r w:rsidR="0073547D" w:rsidRPr="006762B2">
        <w:t xml:space="preserve">The roles and responsibilities of the co-financiers in such cases will be as indicated in the </w:t>
      </w:r>
      <w:r w:rsidR="00E50D19" w:rsidRPr="006762B2">
        <w:t>m</w:t>
      </w:r>
      <w:r w:rsidR="0073547D" w:rsidRPr="006762B2">
        <w:t xml:space="preserve">utual </w:t>
      </w:r>
      <w:r w:rsidR="00E50D19" w:rsidRPr="006762B2">
        <w:t>r</w:t>
      </w:r>
      <w:r w:rsidR="0073547D" w:rsidRPr="006762B2">
        <w:t xml:space="preserve">eliance </w:t>
      </w:r>
      <w:r w:rsidR="00E50D19" w:rsidRPr="006762B2">
        <w:t>a</w:t>
      </w:r>
      <w:r w:rsidR="0073547D" w:rsidRPr="006762B2">
        <w:t>greements, but in general, the lead co-financier will be responsible for the procurement process, applying its own procurement policy and internal review and clearance procedures, and making final decisions and applying remedies on behalf of the co-financiers</w:t>
      </w:r>
      <w:r w:rsidR="006E7E70">
        <w:t>;</w:t>
      </w:r>
      <w:r w:rsidR="00DA5077" w:rsidRPr="006762B2">
        <w:t xml:space="preserve"> or</w:t>
      </w:r>
      <w:bookmarkStart w:id="62" w:name="Location"/>
      <w:bookmarkStart w:id="63" w:name="StartPoint"/>
      <w:bookmarkEnd w:id="62"/>
      <w:bookmarkEnd w:id="63"/>
    </w:p>
    <w:p w:rsidR="00DA5077" w:rsidRDefault="00DA5077" w:rsidP="002D4D7A">
      <w:pPr>
        <w:pStyle w:val="ListParagraph"/>
        <w:numPr>
          <w:ilvl w:val="0"/>
          <w:numId w:val="23"/>
        </w:numPr>
        <w:spacing w:before="0"/>
        <w:ind w:left="1267" w:hanging="720"/>
        <w:contextualSpacing w:val="0"/>
        <w:jc w:val="both"/>
      </w:pPr>
      <w:r w:rsidRPr="00DA5077">
        <w:t>an agency or entity of the Recipient</w:t>
      </w:r>
      <w:r w:rsidR="00BB5AD3">
        <w:t xml:space="preserve"> </w:t>
      </w:r>
      <w:r w:rsidR="005734B6">
        <w:t xml:space="preserve">whereby </w:t>
      </w:r>
      <w:r w:rsidR="009E0DF1">
        <w:t xml:space="preserve">these </w:t>
      </w:r>
      <w:r w:rsidR="00CF6290">
        <w:t>policies,</w:t>
      </w:r>
      <w:r w:rsidR="009E0DF1">
        <w:t xml:space="preserve"> procedures and operational practises</w:t>
      </w:r>
      <w:r w:rsidR="00BF3A50">
        <w:t xml:space="preserve"> </w:t>
      </w:r>
      <w:r w:rsidR="005734B6">
        <w:t>are consistent with CDB’s</w:t>
      </w:r>
      <w:r w:rsidR="005734B6" w:rsidRPr="005734B6">
        <w:t xml:space="preserve"> Core Procurement Principles</w:t>
      </w:r>
      <w:r w:rsidR="00D92693">
        <w:t xml:space="preserve">. </w:t>
      </w:r>
      <w:r w:rsidR="005734B6">
        <w:t xml:space="preserve">Such </w:t>
      </w:r>
      <w:r w:rsidR="00BF1E6F">
        <w:lastRenderedPageBreak/>
        <w:t>APAs</w:t>
      </w:r>
      <w:r w:rsidR="00BF3A50">
        <w:t xml:space="preserve"> </w:t>
      </w:r>
      <w:r w:rsidR="005734B6">
        <w:t xml:space="preserve">shall be </w:t>
      </w:r>
      <w:r w:rsidR="00BB5AD3">
        <w:t xml:space="preserve">subject to accreditation by CDB. Accreditation shall </w:t>
      </w:r>
      <w:r w:rsidR="005734B6">
        <w:t>require</w:t>
      </w:r>
      <w:r w:rsidR="00BB5AD3">
        <w:t xml:space="preserve"> </w:t>
      </w:r>
      <w:r w:rsidR="005734B6">
        <w:t>an</w:t>
      </w:r>
      <w:r w:rsidR="00BB5AD3" w:rsidRPr="00BB5AD3">
        <w:t xml:space="preserve"> assessment </w:t>
      </w:r>
      <w:r w:rsidR="005734B6">
        <w:t xml:space="preserve">of the procurement arrangements of the agency or entity to be </w:t>
      </w:r>
      <w:r w:rsidR="00BB5AD3">
        <w:t xml:space="preserve">undertaken by CDB </w:t>
      </w:r>
      <w:r w:rsidR="00BB5AD3" w:rsidRPr="00BB5AD3">
        <w:t xml:space="preserve">or by another </w:t>
      </w:r>
      <w:r w:rsidR="00CF6290" w:rsidRPr="00CF6290">
        <w:t>Multi-Lateral Development Bank (MDB) or equivalent institution</w:t>
      </w:r>
      <w:r w:rsidR="00BB5AD3" w:rsidRPr="00BB5AD3">
        <w:t xml:space="preserve">, provided </w:t>
      </w:r>
      <w:r w:rsidR="00BB5AD3">
        <w:t>C</w:t>
      </w:r>
      <w:r w:rsidR="00BB5AD3" w:rsidRPr="00BB5AD3">
        <w:t xml:space="preserve">DB is satisfied with the quality of such </w:t>
      </w:r>
      <w:r w:rsidR="005734B6">
        <w:t xml:space="preserve">an </w:t>
      </w:r>
      <w:r w:rsidR="00BB5AD3" w:rsidRPr="00BB5AD3">
        <w:t xml:space="preserve">assessment and </w:t>
      </w:r>
      <w:r w:rsidR="005734B6">
        <w:t xml:space="preserve">the </w:t>
      </w:r>
      <w:r w:rsidR="00BB5AD3" w:rsidRPr="00BB5AD3">
        <w:t>associated fiduciary risk mitigation measures that have been established.</w:t>
      </w:r>
    </w:p>
    <w:p w:rsidR="002D4D7A" w:rsidRDefault="002D4D7A" w:rsidP="002D4D7A">
      <w:pPr>
        <w:pStyle w:val="ListParagraph"/>
        <w:spacing w:before="0"/>
        <w:ind w:left="1267"/>
        <w:contextualSpacing w:val="0"/>
        <w:jc w:val="both"/>
      </w:pPr>
    </w:p>
    <w:p w:rsidR="005978CE" w:rsidRPr="00F427EB" w:rsidRDefault="009E0DF1" w:rsidP="00F427EB">
      <w:pPr>
        <w:pStyle w:val="Heading1"/>
        <w:spacing w:before="240" w:after="240"/>
        <w:rPr>
          <w:szCs w:val="28"/>
          <w:lang w:val="en-US"/>
        </w:rPr>
      </w:pPr>
      <w:bookmarkStart w:id="64" w:name="_Toc505689531"/>
      <w:bookmarkStart w:id="65" w:name="_Toc505702295"/>
      <w:bookmarkStart w:id="66" w:name="_Toc527715695"/>
      <w:r w:rsidRPr="00F427EB">
        <w:rPr>
          <w:szCs w:val="28"/>
          <w:lang w:val="en-US"/>
        </w:rPr>
        <w:t>9</w:t>
      </w:r>
      <w:r w:rsidR="005978CE" w:rsidRPr="00F427EB">
        <w:rPr>
          <w:szCs w:val="28"/>
          <w:lang w:val="en-US"/>
        </w:rPr>
        <w:t xml:space="preserve">. </w:t>
      </w:r>
      <w:r w:rsidR="009E6C4B" w:rsidRPr="00F427EB">
        <w:rPr>
          <w:szCs w:val="28"/>
          <w:lang w:val="en-US"/>
        </w:rPr>
        <w:tab/>
      </w:r>
      <w:r w:rsidR="005978CE" w:rsidRPr="00F427EB">
        <w:rPr>
          <w:szCs w:val="28"/>
          <w:u w:val="single"/>
          <w:lang w:val="en-US"/>
        </w:rPr>
        <w:t>INTERPRETATION AND MODIFICATION OF THE POLICY</w:t>
      </w:r>
      <w:bookmarkEnd w:id="64"/>
      <w:bookmarkEnd w:id="65"/>
      <w:bookmarkEnd w:id="66"/>
    </w:p>
    <w:p w:rsidR="005978CE" w:rsidRPr="00BF3A50" w:rsidRDefault="005978CE" w:rsidP="002D4D7A">
      <w:pPr>
        <w:pStyle w:val="ListParagraph"/>
        <w:numPr>
          <w:ilvl w:val="0"/>
          <w:numId w:val="42"/>
        </w:numPr>
        <w:spacing w:before="0" w:after="120"/>
        <w:ind w:left="540"/>
        <w:contextualSpacing w:val="0"/>
        <w:jc w:val="both"/>
      </w:pPr>
      <w:r w:rsidRPr="00F42B36">
        <w:t>CDB</w:t>
      </w:r>
      <w:r w:rsidR="006E7E70" w:rsidRPr="00F42B36">
        <w:t>’s</w:t>
      </w:r>
      <w:r w:rsidRPr="00F42B36">
        <w:t xml:space="preserve"> Board </w:t>
      </w:r>
      <w:r w:rsidR="006E7E70" w:rsidRPr="00F42B36">
        <w:t xml:space="preserve">of Directors </w:t>
      </w:r>
      <w:r w:rsidR="005C43B7" w:rsidRPr="00F42B36">
        <w:t xml:space="preserve">shall </w:t>
      </w:r>
      <w:r w:rsidR="00575672" w:rsidRPr="00F42B36">
        <w:t>approve</w:t>
      </w:r>
      <w:r w:rsidRPr="00F42B36">
        <w:t xml:space="preserve"> th</w:t>
      </w:r>
      <w:r w:rsidR="00555ED9" w:rsidRPr="00F42B36">
        <w:t>e</w:t>
      </w:r>
      <w:r w:rsidRPr="00F42B36">
        <w:t xml:space="preserve"> Policy</w:t>
      </w:r>
      <w:r w:rsidR="00575672" w:rsidRPr="00F42B36">
        <w:t xml:space="preserve"> and any subsequent modifications</w:t>
      </w:r>
      <w:r w:rsidR="007723B8" w:rsidRPr="00F42B36">
        <w:t xml:space="preserve"> or waivers</w:t>
      </w:r>
      <w:r w:rsidRPr="00F42B36">
        <w:t>.</w:t>
      </w:r>
      <w:r w:rsidR="00534AA1" w:rsidRPr="00F42B36">
        <w:t xml:space="preserve"> </w:t>
      </w:r>
      <w:r w:rsidRPr="00F42B36">
        <w:t xml:space="preserve">Management </w:t>
      </w:r>
      <w:r w:rsidR="00575672" w:rsidRPr="00F42B36">
        <w:t xml:space="preserve">shall </w:t>
      </w:r>
      <w:r w:rsidRPr="00F42B36">
        <w:t>interpret th</w:t>
      </w:r>
      <w:r w:rsidR="00555ED9" w:rsidRPr="00F42B36">
        <w:t>e</w:t>
      </w:r>
      <w:r w:rsidRPr="00F42B36">
        <w:t xml:space="preserve"> </w:t>
      </w:r>
      <w:r w:rsidR="00F42B36" w:rsidRPr="00F42B36">
        <w:t>Policy and</w:t>
      </w:r>
      <w:r w:rsidRPr="00F42B36">
        <w:t xml:space="preserve"> recommend to the Board </w:t>
      </w:r>
      <w:r w:rsidR="006E7E70" w:rsidRPr="00F42B36">
        <w:t xml:space="preserve">of Directors </w:t>
      </w:r>
      <w:r w:rsidRPr="00F42B36">
        <w:t>any necessary Policy modifications</w:t>
      </w:r>
      <w:r w:rsidR="00D92693" w:rsidRPr="00F42B36">
        <w:t xml:space="preserve">. </w:t>
      </w:r>
    </w:p>
    <w:sectPr w:rsidR="005978CE" w:rsidRPr="00BF3A50" w:rsidSect="006D6C74">
      <w:headerReference w:type="even" r:id="rId25"/>
      <w:headerReference w:type="default" r:id="rId26"/>
      <w:headerReference w:type="first" r:id="rId27"/>
      <w:footerReference w:type="first" r:id="rId28"/>
      <w:endnotePr>
        <w:numFmt w:val="decimal"/>
      </w:endnotePr>
      <w:pgSz w:w="12240" w:h="15840" w:code="1"/>
      <w:pgMar w:top="1440" w:right="1440" w:bottom="1440" w:left="1440" w:header="720" w:footer="720" w:gutter="0"/>
      <w:pgNumType w:fmt="numberInDash"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E5" w:rsidRDefault="002423E5">
      <w:pPr>
        <w:spacing w:line="20" w:lineRule="exact"/>
      </w:pPr>
    </w:p>
  </w:endnote>
  <w:endnote w:type="continuationSeparator" w:id="0">
    <w:p w:rsidR="002423E5" w:rsidRDefault="002423E5">
      <w:r>
        <w:t xml:space="preserve"> </w:t>
      </w:r>
    </w:p>
  </w:endnote>
  <w:endnote w:type="continuationNotice" w:id="1">
    <w:p w:rsidR="002423E5" w:rsidRDefault="002423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es">
    <w:altName w:val="Arial"/>
    <w:panose1 w:val="00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4C" w:rsidRDefault="00890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4C" w:rsidRDefault="00890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4C" w:rsidRDefault="00890F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Pr="002C1EDB" w:rsidRDefault="00645F15" w:rsidP="006D6C74">
    <w:pPr>
      <w:pStyle w:val="Footer"/>
      <w:jc w:val="center"/>
    </w:pPr>
    <w:r>
      <w:fldChar w:fldCharType="begin"/>
    </w:r>
    <w:r>
      <w:instrText xml:space="preserve"> PAGE   \* MERGEFORMAT </w:instrText>
    </w:r>
    <w:r>
      <w:fldChar w:fldCharType="separate"/>
    </w:r>
    <w:r w:rsidR="00890F4C">
      <w:rPr>
        <w:noProof/>
      </w:rPr>
      <w:t>- 9 -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rsidP="001A00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E5" w:rsidRDefault="002423E5">
      <w:r>
        <w:separator/>
      </w:r>
    </w:p>
  </w:footnote>
  <w:footnote w:type="continuationSeparator" w:id="0">
    <w:p w:rsidR="002423E5" w:rsidRDefault="002423E5">
      <w:r>
        <w:continuationSeparator/>
      </w:r>
    </w:p>
  </w:footnote>
  <w:footnote w:id="1">
    <w:p w:rsidR="00645F15" w:rsidRPr="00D92693" w:rsidRDefault="00645F15" w:rsidP="00C313DF">
      <w:pPr>
        <w:pStyle w:val="FootnoteText"/>
        <w:spacing w:after="40"/>
        <w:ind w:left="90" w:hanging="90"/>
        <w:jc w:val="both"/>
        <w:rPr>
          <w:sz w:val="20"/>
        </w:rPr>
      </w:pPr>
      <w:r w:rsidRPr="00D92693">
        <w:rPr>
          <w:rStyle w:val="FootnoteReference"/>
          <w:sz w:val="20"/>
          <w:szCs w:val="20"/>
        </w:rPr>
        <w:footnoteRef/>
      </w:r>
      <w:r w:rsidRPr="00D92693">
        <w:rPr>
          <w:sz w:val="20"/>
        </w:rPr>
        <w:t xml:space="preserve"> Article 15 (k) of the Agreement Establishing the Caribbean Development Bank.</w:t>
      </w:r>
    </w:p>
  </w:footnote>
  <w:footnote w:id="2">
    <w:p w:rsidR="00645F15" w:rsidRPr="00D92693" w:rsidRDefault="00645F15" w:rsidP="00C313DF">
      <w:pPr>
        <w:pStyle w:val="FootnoteText"/>
        <w:spacing w:after="40"/>
        <w:ind w:left="90" w:hanging="90"/>
        <w:jc w:val="both"/>
        <w:rPr>
          <w:sz w:val="20"/>
        </w:rPr>
      </w:pPr>
      <w:r w:rsidRPr="00D92693">
        <w:rPr>
          <w:rStyle w:val="FootnoteReference"/>
          <w:sz w:val="20"/>
          <w:szCs w:val="20"/>
        </w:rPr>
        <w:footnoteRef/>
      </w:r>
      <w:r w:rsidRPr="00D92693">
        <w:rPr>
          <w:sz w:val="20"/>
        </w:rPr>
        <w:t xml:space="preserve"> Article 35 of the Agreement Establishing the Caribbean Development Bank.</w:t>
      </w:r>
    </w:p>
  </w:footnote>
  <w:footnote w:id="3">
    <w:p w:rsidR="00645F15" w:rsidRPr="00D92693" w:rsidRDefault="00645F15" w:rsidP="00C313DF">
      <w:pPr>
        <w:pStyle w:val="FootnoteText"/>
        <w:spacing w:after="40"/>
        <w:ind w:left="90" w:hanging="90"/>
        <w:jc w:val="both"/>
        <w:rPr>
          <w:sz w:val="20"/>
        </w:rPr>
      </w:pPr>
      <w:r w:rsidRPr="00D92693">
        <w:rPr>
          <w:rStyle w:val="FootnoteReference"/>
          <w:sz w:val="20"/>
          <w:szCs w:val="20"/>
        </w:rPr>
        <w:footnoteRef/>
      </w:r>
      <w:r w:rsidRPr="00D92693">
        <w:rPr>
          <w:sz w:val="20"/>
        </w:rPr>
        <w:t xml:space="preserve"> This includes those cases where the Recipient employs a procurement agent</w:t>
      </w:r>
      <w:r>
        <w:rPr>
          <w:sz w:val="20"/>
        </w:rPr>
        <w:t xml:space="preserve"> to undertake procurement on their behalf</w:t>
      </w:r>
      <w:r w:rsidRPr="00D92693">
        <w:rPr>
          <w:sz w:val="20"/>
        </w:rPr>
        <w:t>.</w:t>
      </w:r>
    </w:p>
  </w:footnote>
  <w:footnote w:id="4">
    <w:p w:rsidR="00645F15" w:rsidRPr="00D92693" w:rsidRDefault="00645F15" w:rsidP="00C16561">
      <w:pPr>
        <w:pStyle w:val="ListParagraph"/>
        <w:spacing w:before="0" w:after="40"/>
        <w:ind w:left="180" w:hanging="180"/>
        <w:contextualSpacing w:val="0"/>
        <w:jc w:val="both"/>
        <w:rPr>
          <w:sz w:val="20"/>
          <w:szCs w:val="20"/>
        </w:rPr>
      </w:pPr>
      <w:r w:rsidRPr="00D92693">
        <w:rPr>
          <w:rStyle w:val="FootnoteReference"/>
          <w:sz w:val="20"/>
          <w:szCs w:val="20"/>
        </w:rPr>
        <w:footnoteRef/>
      </w:r>
      <w:r>
        <w:rPr>
          <w:sz w:val="20"/>
          <w:szCs w:val="20"/>
        </w:rPr>
        <w:t xml:space="preserve"> Policy-</w:t>
      </w:r>
      <w:r w:rsidRPr="00D92693">
        <w:rPr>
          <w:sz w:val="20"/>
          <w:szCs w:val="20"/>
        </w:rPr>
        <w:t>based operations provide a form of gen</w:t>
      </w:r>
      <w:r>
        <w:rPr>
          <w:sz w:val="20"/>
          <w:szCs w:val="20"/>
        </w:rPr>
        <w:t xml:space="preserve">eral or sectoral budget support. </w:t>
      </w:r>
      <w:r w:rsidRPr="00D92693">
        <w:rPr>
          <w:sz w:val="20"/>
          <w:szCs w:val="20"/>
        </w:rPr>
        <w:t xml:space="preserve">The </w:t>
      </w:r>
      <w:r>
        <w:rPr>
          <w:sz w:val="20"/>
          <w:szCs w:val="20"/>
        </w:rPr>
        <w:t>policy-based operations</w:t>
      </w:r>
      <w:r w:rsidRPr="00D92693">
        <w:rPr>
          <w:sz w:val="20"/>
          <w:szCs w:val="20"/>
        </w:rPr>
        <w:t xml:space="preserve"> procurement guidelines are set out in Policy Paper: A Framework for Policy-Based Operations Paper B</w:t>
      </w:r>
      <w:r>
        <w:rPr>
          <w:sz w:val="20"/>
          <w:szCs w:val="20"/>
        </w:rPr>
        <w:t>D</w:t>
      </w:r>
      <w:r w:rsidRPr="00D92693">
        <w:rPr>
          <w:sz w:val="20"/>
          <w:szCs w:val="20"/>
        </w:rPr>
        <w:t>_72/05 Add.6 (as amended from time to time)</w:t>
      </w:r>
      <w:r>
        <w:rPr>
          <w:sz w:val="20"/>
          <w:szCs w:val="20"/>
        </w:rPr>
        <w:t>.</w:t>
      </w:r>
    </w:p>
  </w:footnote>
  <w:footnote w:id="5">
    <w:p w:rsidR="00645F15" w:rsidRPr="00394190" w:rsidRDefault="00645F15" w:rsidP="009E6C4B">
      <w:pPr>
        <w:pStyle w:val="FootnoteText"/>
        <w:ind w:left="90" w:hanging="90"/>
        <w:jc w:val="both"/>
        <w:rPr>
          <w:sz w:val="20"/>
        </w:rPr>
      </w:pPr>
      <w:r w:rsidRPr="00394190">
        <w:rPr>
          <w:rStyle w:val="FootnoteReference"/>
          <w:sz w:val="20"/>
          <w:szCs w:val="20"/>
        </w:rPr>
        <w:footnoteRef/>
      </w:r>
      <w:r w:rsidRPr="00394190">
        <w:rPr>
          <w:sz w:val="20"/>
        </w:rPr>
        <w:t xml:space="preserve"> The Procedures detail the required contents of a Procurement Plan. </w:t>
      </w:r>
    </w:p>
  </w:footnote>
  <w:footnote w:id="6">
    <w:p w:rsidR="00645F15" w:rsidRPr="00D92693" w:rsidRDefault="00645F15" w:rsidP="009E6C4B">
      <w:pPr>
        <w:pStyle w:val="FootnoteText"/>
        <w:ind w:left="180" w:hanging="180"/>
        <w:jc w:val="both"/>
        <w:rPr>
          <w:sz w:val="20"/>
        </w:rPr>
      </w:pPr>
      <w:r w:rsidRPr="00D92693">
        <w:rPr>
          <w:rStyle w:val="FootnoteReference"/>
          <w:sz w:val="20"/>
          <w:szCs w:val="20"/>
        </w:rPr>
        <w:footnoteRef/>
      </w:r>
      <w:r w:rsidRPr="00D92693">
        <w:rPr>
          <w:sz w:val="20"/>
        </w:rPr>
        <w:t xml:space="preserve"> </w:t>
      </w:r>
      <w:r>
        <w:rPr>
          <w:sz w:val="20"/>
        </w:rPr>
        <w:t xml:space="preserve">Such agreements may necessitate policy </w:t>
      </w:r>
      <w:r w:rsidRPr="00D92693">
        <w:rPr>
          <w:sz w:val="20"/>
        </w:rPr>
        <w:t>waivers from CDB’s Board of Directors</w:t>
      </w:r>
      <w:r>
        <w:rPr>
          <w:sz w:val="20"/>
        </w:rPr>
        <w:t xml:space="preserve">. </w:t>
      </w:r>
      <w:r w:rsidRPr="00D92693">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4C" w:rsidRDefault="00890F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Pr="0035692E" w:rsidRDefault="00645F15" w:rsidP="003569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rsidP="00AF5313">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956634"/>
      <w:docPartObj>
        <w:docPartGallery w:val="Watermarks"/>
        <w:docPartUnique/>
      </w:docPartObj>
    </w:sdtPr>
    <w:sdtContent>
      <w:p w:rsidR="00890F4C" w:rsidRDefault="00890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Pr="008D5464" w:rsidRDefault="00645F15" w:rsidP="008D5464">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Pr="0035692E" w:rsidRDefault="00645F15" w:rsidP="003569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15" w:rsidRDefault="00645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73"/>
    <w:multiLevelType w:val="hybridMultilevel"/>
    <w:tmpl w:val="6DA48796"/>
    <w:lvl w:ilvl="0" w:tplc="F8C43DE6">
      <w:start w:val="1"/>
      <w:numFmt w:val="decimal"/>
      <w:lvlText w:val="3.%1"/>
      <w:lvlJc w:val="righ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6E7B"/>
    <w:multiLevelType w:val="hybridMultilevel"/>
    <w:tmpl w:val="30D81C9C"/>
    <w:lvl w:ilvl="0" w:tplc="F7EEEA88">
      <w:start w:val="1"/>
      <w:numFmt w:val="decimal"/>
      <w:lvlText w:val="7.%1"/>
      <w:lvlJc w:val="right"/>
      <w:pPr>
        <w:ind w:left="540" w:hanging="360"/>
      </w:pPr>
      <w:rPr>
        <w:rFonts w:hint="default"/>
        <w:b w:val="0"/>
        <w:i w:val="0"/>
        <w:strike w:val="0"/>
        <w:color w:val="000000" w:themeColor="text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3EC6"/>
    <w:multiLevelType w:val="hybridMultilevel"/>
    <w:tmpl w:val="9CD886B0"/>
    <w:lvl w:ilvl="0" w:tplc="A1385768">
      <w:start w:val="1"/>
      <w:numFmt w:val="decimal"/>
      <w:lvlText w:val="8.%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D0568"/>
    <w:multiLevelType w:val="hybridMultilevel"/>
    <w:tmpl w:val="5F34D35A"/>
    <w:lvl w:ilvl="0" w:tplc="AEDCDA12">
      <w:start w:val="1"/>
      <w:numFmt w:val="decimal"/>
      <w:lvlText w:val="4.%1"/>
      <w:lvlJc w:val="left"/>
      <w:pPr>
        <w:ind w:left="720" w:hanging="360"/>
      </w:pPr>
      <w:rPr>
        <w:rFonts w:ascii="Times New Roman" w:hAnsi="Times New Roman" w:cs="Times New Roman"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861B2"/>
    <w:multiLevelType w:val="hybridMultilevel"/>
    <w:tmpl w:val="F7528DFA"/>
    <w:lvl w:ilvl="0" w:tplc="328A425A">
      <w:start w:val="1"/>
      <w:numFmt w:val="decimal"/>
      <w:lvlText w:val="10.%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7729D"/>
    <w:multiLevelType w:val="hybridMultilevel"/>
    <w:tmpl w:val="01A2E03C"/>
    <w:lvl w:ilvl="0" w:tplc="C28891F6">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AF17312"/>
    <w:multiLevelType w:val="hybridMultilevel"/>
    <w:tmpl w:val="88C0B690"/>
    <w:lvl w:ilvl="0" w:tplc="C63222CA">
      <w:start w:val="1"/>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2747B"/>
    <w:multiLevelType w:val="hybridMultilevel"/>
    <w:tmpl w:val="CCA20466"/>
    <w:lvl w:ilvl="0" w:tplc="40160EE0">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A7889"/>
    <w:multiLevelType w:val="hybridMultilevel"/>
    <w:tmpl w:val="BD20FE8C"/>
    <w:lvl w:ilvl="0" w:tplc="D286D5EE">
      <w:start w:val="1"/>
      <w:numFmt w:val="decimal"/>
      <w:lvlText w:val="1.%1"/>
      <w:lvlJc w:val="left"/>
      <w:pPr>
        <w:ind w:left="720" w:hanging="360"/>
      </w:pPr>
      <w:rPr>
        <w:rFonts w:ascii="Times New Roman" w:hAnsi="Times New Roman" w:cs="Times New Roman"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E2EE1"/>
    <w:multiLevelType w:val="hybridMultilevel"/>
    <w:tmpl w:val="34BC72FC"/>
    <w:lvl w:ilvl="0" w:tplc="63F0608C">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2CE0CBF"/>
    <w:multiLevelType w:val="hybridMultilevel"/>
    <w:tmpl w:val="41CA4CCC"/>
    <w:lvl w:ilvl="0" w:tplc="9D541D9A">
      <w:start w:val="1"/>
      <w:numFmt w:val="decimal"/>
      <w:lvlText w:val="5.%1"/>
      <w:lvlJc w:val="left"/>
      <w:pPr>
        <w:ind w:left="720" w:hanging="360"/>
      </w:pPr>
      <w:rPr>
        <w:rFonts w:ascii="Times New Roman" w:hAnsi="Times New Roman" w:cs="Times New Roman"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E0EB6"/>
    <w:multiLevelType w:val="hybridMultilevel"/>
    <w:tmpl w:val="2A78BF16"/>
    <w:lvl w:ilvl="0" w:tplc="E25ECC74">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1420541B"/>
    <w:multiLevelType w:val="hybridMultilevel"/>
    <w:tmpl w:val="6532AF04"/>
    <w:lvl w:ilvl="0" w:tplc="53D234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9D739A"/>
    <w:multiLevelType w:val="hybridMultilevel"/>
    <w:tmpl w:val="9C50587E"/>
    <w:lvl w:ilvl="0" w:tplc="42B690BA">
      <w:start w:val="1"/>
      <w:numFmt w:val="lowerLetter"/>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6961B3F"/>
    <w:multiLevelType w:val="hybridMultilevel"/>
    <w:tmpl w:val="244A929A"/>
    <w:lvl w:ilvl="0" w:tplc="922ABD8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169D4BBA"/>
    <w:multiLevelType w:val="hybridMultilevel"/>
    <w:tmpl w:val="B3DA6240"/>
    <w:lvl w:ilvl="0" w:tplc="9C8E6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B17C1"/>
    <w:multiLevelType w:val="hybridMultilevel"/>
    <w:tmpl w:val="02FA9A14"/>
    <w:lvl w:ilvl="0" w:tplc="D724058A">
      <w:start w:val="1"/>
      <w:numFmt w:val="lowerRoman"/>
      <w:lvlText w:val=" (%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1F02D44"/>
    <w:multiLevelType w:val="hybridMultilevel"/>
    <w:tmpl w:val="D136A4CC"/>
    <w:lvl w:ilvl="0" w:tplc="CDDC12DC">
      <w:start w:val="1"/>
      <w:numFmt w:val="decimal"/>
      <w:lvlText w:val="8.%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61505"/>
    <w:multiLevelType w:val="hybridMultilevel"/>
    <w:tmpl w:val="9940A5E6"/>
    <w:lvl w:ilvl="0" w:tplc="11124BFE">
      <w:start w:val="1"/>
      <w:numFmt w:val="decimal"/>
      <w:lvlText w:val="2.%1"/>
      <w:lvlJc w:val="lef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9096A"/>
    <w:multiLevelType w:val="hybridMultilevel"/>
    <w:tmpl w:val="CDE447E8"/>
    <w:lvl w:ilvl="0" w:tplc="006A2F4E">
      <w:start w:val="1"/>
      <w:numFmt w:val="lowerLetter"/>
      <w:lvlText w:val="(%1)"/>
      <w:lvlJc w:val="left"/>
      <w:pPr>
        <w:ind w:left="1260" w:hanging="360"/>
      </w:pPr>
      <w:rPr>
        <w:rFonts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6787E2B"/>
    <w:multiLevelType w:val="hybridMultilevel"/>
    <w:tmpl w:val="C6BEE9A8"/>
    <w:lvl w:ilvl="0" w:tplc="088ADAD6">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282C590F"/>
    <w:multiLevelType w:val="hybridMultilevel"/>
    <w:tmpl w:val="0D4C5F8A"/>
    <w:lvl w:ilvl="0" w:tplc="4DB20444">
      <w:start w:val="1"/>
      <w:numFmt w:val="decimal"/>
      <w:lvlText w:val="5.%1"/>
      <w:lvlJc w:val="right"/>
      <w:pPr>
        <w:ind w:left="720" w:hanging="360"/>
      </w:pPr>
      <w:rPr>
        <w:rFonts w:hint="default"/>
        <w:b w:val="0"/>
        <w:i w:val="0"/>
        <w:strike w:val="0"/>
        <w:color w:val="000000" w:themeColor="text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00568"/>
    <w:multiLevelType w:val="hybridMultilevel"/>
    <w:tmpl w:val="25A6C50C"/>
    <w:lvl w:ilvl="0" w:tplc="3BF6DD7A">
      <w:start w:val="1"/>
      <w:numFmt w:val="decimal"/>
      <w:lvlText w:val="5.%1"/>
      <w:lvlJc w:val="left"/>
      <w:pPr>
        <w:ind w:left="720" w:hanging="360"/>
      </w:pPr>
      <w:rPr>
        <w:rFonts w:ascii="Andes" w:hAnsi="Andes"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4406D"/>
    <w:multiLevelType w:val="hybridMultilevel"/>
    <w:tmpl w:val="E288FE70"/>
    <w:lvl w:ilvl="0" w:tplc="1F1E2F1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DA514BC"/>
    <w:multiLevelType w:val="multilevel"/>
    <w:tmpl w:val="5F1ACD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33727D"/>
    <w:multiLevelType w:val="hybridMultilevel"/>
    <w:tmpl w:val="05A60C04"/>
    <w:lvl w:ilvl="0" w:tplc="88824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50892"/>
    <w:multiLevelType w:val="hybridMultilevel"/>
    <w:tmpl w:val="BD76DDB0"/>
    <w:lvl w:ilvl="0" w:tplc="B316C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E4456"/>
    <w:multiLevelType w:val="hybridMultilevel"/>
    <w:tmpl w:val="D9E4A894"/>
    <w:lvl w:ilvl="0" w:tplc="8D60247A">
      <w:start w:val="1"/>
      <w:numFmt w:val="decimal"/>
      <w:lvlText w:val="2.%1"/>
      <w:lvlJc w:val="righ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E0B5C"/>
    <w:multiLevelType w:val="hybridMultilevel"/>
    <w:tmpl w:val="CC9AA896"/>
    <w:lvl w:ilvl="0" w:tplc="09B81672">
      <w:start w:val="1"/>
      <w:numFmt w:val="decimal"/>
      <w:lvlText w:val="7.%1"/>
      <w:lvlJc w:val="left"/>
      <w:pPr>
        <w:ind w:left="720" w:hanging="360"/>
      </w:pPr>
      <w:rPr>
        <w:rFonts w:ascii="Times New Roman" w:hAnsi="Times New Roman" w:cs="Times New Roman"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E50BC"/>
    <w:multiLevelType w:val="hybridMultilevel"/>
    <w:tmpl w:val="7CC4F41C"/>
    <w:lvl w:ilvl="0" w:tplc="8674B2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AB2978"/>
    <w:multiLevelType w:val="hybridMultilevel"/>
    <w:tmpl w:val="AE6A9DEE"/>
    <w:lvl w:ilvl="0" w:tplc="006A2F4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D12EB"/>
    <w:multiLevelType w:val="hybridMultilevel"/>
    <w:tmpl w:val="8C9A94E4"/>
    <w:lvl w:ilvl="0" w:tplc="E03E2EE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5B976B1A"/>
    <w:multiLevelType w:val="hybridMultilevel"/>
    <w:tmpl w:val="6096D610"/>
    <w:lvl w:ilvl="0" w:tplc="C4C41BDE">
      <w:start w:val="1"/>
      <w:numFmt w:val="decimal"/>
      <w:lvlText w:val="9.%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56DBF"/>
    <w:multiLevelType w:val="multilevel"/>
    <w:tmpl w:val="04406C10"/>
    <w:lvl w:ilvl="0">
      <w:start w:val="8"/>
      <w:numFmt w:val="decimal"/>
      <w:lvlText w:val="%1"/>
      <w:lvlJc w:val="left"/>
      <w:pPr>
        <w:ind w:left="360" w:hanging="360"/>
      </w:pPr>
      <w:rPr>
        <w:rFonts w:hint="default"/>
      </w:rPr>
    </w:lvl>
    <w:lvl w:ilvl="1">
      <w:start w:val="3"/>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34" w15:restartNumberingAfterBreak="0">
    <w:nsid w:val="5D7C1547"/>
    <w:multiLevelType w:val="hybridMultilevel"/>
    <w:tmpl w:val="8ED06184"/>
    <w:lvl w:ilvl="0" w:tplc="CA7A2E2A">
      <w:start w:val="1"/>
      <w:numFmt w:val="decimal"/>
      <w:lvlText w:val="6.%1"/>
      <w:lvlJc w:val="right"/>
      <w:pPr>
        <w:ind w:left="720" w:hanging="360"/>
      </w:pPr>
      <w:rPr>
        <w:rFonts w:hint="default"/>
        <w:b w:val="0"/>
        <w:i w:val="0"/>
        <w:strike w:val="0"/>
        <w:color w:val="000000" w:themeColor="text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4713E"/>
    <w:multiLevelType w:val="hybridMultilevel"/>
    <w:tmpl w:val="0D2492B0"/>
    <w:lvl w:ilvl="0" w:tplc="C57004CA">
      <w:start w:val="1"/>
      <w:numFmt w:val="decimal"/>
      <w:lvlText w:val="3.%1"/>
      <w:lvlJc w:val="right"/>
      <w:pPr>
        <w:ind w:left="720" w:hanging="360"/>
      </w:pPr>
      <w:rPr>
        <w:rFonts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47B10"/>
    <w:multiLevelType w:val="hybridMultilevel"/>
    <w:tmpl w:val="04D483C8"/>
    <w:lvl w:ilvl="0" w:tplc="48B8125C">
      <w:start w:val="1"/>
      <w:numFmt w:val="decimal"/>
      <w:lvlText w:val="%1."/>
      <w:lvlJc w:val="left"/>
      <w:pPr>
        <w:ind w:left="576"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7" w15:restartNumberingAfterBreak="0">
    <w:nsid w:val="6E8E0B20"/>
    <w:multiLevelType w:val="multilevel"/>
    <w:tmpl w:val="242E596E"/>
    <w:lvl w:ilvl="0">
      <w:start w:val="9"/>
      <w:numFmt w:val="decimal"/>
      <w:lvlText w:val="%1."/>
      <w:lvlJc w:val="left"/>
      <w:pPr>
        <w:ind w:left="720" w:hanging="360"/>
      </w:pPr>
      <w:rPr>
        <w:rFonts w:hint="default"/>
      </w:rPr>
    </w:lvl>
    <w:lvl w:ilvl="1">
      <w:start w:val="1"/>
      <w:numFmt w:val="decimal"/>
      <w:isLgl/>
      <w:lvlText w:val="%1.%2"/>
      <w:lvlJc w:val="left"/>
      <w:pPr>
        <w:ind w:left="1090" w:hanging="5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700A0ABF"/>
    <w:multiLevelType w:val="hybridMultilevel"/>
    <w:tmpl w:val="D6BA2BEC"/>
    <w:lvl w:ilvl="0" w:tplc="AE8CDF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C835D0"/>
    <w:multiLevelType w:val="hybridMultilevel"/>
    <w:tmpl w:val="4A389554"/>
    <w:lvl w:ilvl="0" w:tplc="3D5EB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23CDD"/>
    <w:multiLevelType w:val="hybridMultilevel"/>
    <w:tmpl w:val="3A706A40"/>
    <w:lvl w:ilvl="0" w:tplc="4FEEAFF8">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1" w15:restartNumberingAfterBreak="0">
    <w:nsid w:val="73A72E2D"/>
    <w:multiLevelType w:val="hybridMultilevel"/>
    <w:tmpl w:val="244A929A"/>
    <w:lvl w:ilvl="0" w:tplc="922ABD8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2" w15:restartNumberingAfterBreak="0">
    <w:nsid w:val="749712CA"/>
    <w:multiLevelType w:val="hybridMultilevel"/>
    <w:tmpl w:val="1A069744"/>
    <w:lvl w:ilvl="0" w:tplc="0EAC3EDC">
      <w:start w:val="3"/>
      <w:numFmt w:val="lowerLetter"/>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07737"/>
    <w:multiLevelType w:val="multilevel"/>
    <w:tmpl w:val="33D4C430"/>
    <w:lvl w:ilvl="0">
      <w:start w:val="1"/>
      <w:numFmt w:val="decimal"/>
      <w:lvlText w:val="%1."/>
      <w:lvlJc w:val="left"/>
      <w:pPr>
        <w:ind w:left="720" w:hanging="360"/>
      </w:pPr>
      <w:rPr>
        <w:rFonts w:hint="default"/>
      </w:rPr>
    </w:lvl>
    <w:lvl w:ilvl="1">
      <w:start w:val="1"/>
      <w:numFmt w:val="decimal"/>
      <w:isLgl/>
      <w:lvlText w:val="%1.%2"/>
      <w:lvlJc w:val="left"/>
      <w:pPr>
        <w:ind w:left="7660" w:hanging="37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7024F19"/>
    <w:multiLevelType w:val="hybridMultilevel"/>
    <w:tmpl w:val="77FC59E6"/>
    <w:lvl w:ilvl="0" w:tplc="85964C6E">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97E1E10"/>
    <w:multiLevelType w:val="hybridMultilevel"/>
    <w:tmpl w:val="BC26B45A"/>
    <w:lvl w:ilvl="0" w:tplc="5B262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30"/>
  </w:num>
  <w:num w:numId="4">
    <w:abstractNumId w:val="29"/>
  </w:num>
  <w:num w:numId="5">
    <w:abstractNumId w:val="45"/>
  </w:num>
  <w:num w:numId="6">
    <w:abstractNumId w:val="12"/>
  </w:num>
  <w:num w:numId="7">
    <w:abstractNumId w:val="42"/>
  </w:num>
  <w:num w:numId="8">
    <w:abstractNumId w:val="19"/>
  </w:num>
  <w:num w:numId="9">
    <w:abstractNumId w:val="16"/>
  </w:num>
  <w:num w:numId="10">
    <w:abstractNumId w:val="9"/>
  </w:num>
  <w:num w:numId="11">
    <w:abstractNumId w:val="20"/>
  </w:num>
  <w:num w:numId="12">
    <w:abstractNumId w:val="38"/>
  </w:num>
  <w:num w:numId="13">
    <w:abstractNumId w:val="31"/>
  </w:num>
  <w:num w:numId="14">
    <w:abstractNumId w:val="44"/>
  </w:num>
  <w:num w:numId="15">
    <w:abstractNumId w:val="11"/>
  </w:num>
  <w:num w:numId="16">
    <w:abstractNumId w:val="13"/>
  </w:num>
  <w:num w:numId="17">
    <w:abstractNumId w:val="23"/>
  </w:num>
  <w:num w:numId="18">
    <w:abstractNumId w:val="5"/>
  </w:num>
  <w:num w:numId="19">
    <w:abstractNumId w:val="40"/>
  </w:num>
  <w:num w:numId="20">
    <w:abstractNumId w:val="43"/>
  </w:num>
  <w:num w:numId="21">
    <w:abstractNumId w:val="33"/>
  </w:num>
  <w:num w:numId="22">
    <w:abstractNumId w:val="37"/>
  </w:num>
  <w:num w:numId="23">
    <w:abstractNumId w:val="26"/>
  </w:num>
  <w:num w:numId="24">
    <w:abstractNumId w:val="6"/>
  </w:num>
  <w:num w:numId="25">
    <w:abstractNumId w:val="41"/>
  </w:num>
  <w:num w:numId="26">
    <w:abstractNumId w:val="22"/>
  </w:num>
  <w:num w:numId="27">
    <w:abstractNumId w:val="10"/>
  </w:num>
  <w:num w:numId="28">
    <w:abstractNumId w:val="3"/>
  </w:num>
  <w:num w:numId="29">
    <w:abstractNumId w:val="18"/>
  </w:num>
  <w:num w:numId="30">
    <w:abstractNumId w:val="7"/>
  </w:num>
  <w:num w:numId="31">
    <w:abstractNumId w:val="0"/>
  </w:num>
  <w:num w:numId="32">
    <w:abstractNumId w:val="8"/>
  </w:num>
  <w:num w:numId="33">
    <w:abstractNumId w:val="21"/>
  </w:num>
  <w:num w:numId="34">
    <w:abstractNumId w:val="28"/>
  </w:num>
  <w:num w:numId="35">
    <w:abstractNumId w:val="2"/>
  </w:num>
  <w:num w:numId="36">
    <w:abstractNumId w:val="17"/>
  </w:num>
  <w:num w:numId="37">
    <w:abstractNumId w:val="4"/>
  </w:num>
  <w:num w:numId="38">
    <w:abstractNumId w:val="24"/>
  </w:num>
  <w:num w:numId="39">
    <w:abstractNumId w:val="27"/>
  </w:num>
  <w:num w:numId="40">
    <w:abstractNumId w:val="1"/>
  </w:num>
  <w:num w:numId="41">
    <w:abstractNumId w:val="34"/>
  </w:num>
  <w:num w:numId="42">
    <w:abstractNumId w:val="32"/>
  </w:num>
  <w:num w:numId="43">
    <w:abstractNumId w:val="35"/>
  </w:num>
  <w:num w:numId="44">
    <w:abstractNumId w:val="15"/>
  </w:num>
  <w:num w:numId="45">
    <w:abstractNumId w:val="39"/>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47"/>
  <w:consecutiveHyphenLimit w:val="2"/>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B3"/>
    <w:rsid w:val="00000D68"/>
    <w:rsid w:val="00001217"/>
    <w:rsid w:val="000027B1"/>
    <w:rsid w:val="000028DA"/>
    <w:rsid w:val="00002B1B"/>
    <w:rsid w:val="00003300"/>
    <w:rsid w:val="000034A0"/>
    <w:rsid w:val="00005AD6"/>
    <w:rsid w:val="00007237"/>
    <w:rsid w:val="000072C6"/>
    <w:rsid w:val="00010024"/>
    <w:rsid w:val="00010514"/>
    <w:rsid w:val="000109BF"/>
    <w:rsid w:val="000119E4"/>
    <w:rsid w:val="00012CBE"/>
    <w:rsid w:val="00013039"/>
    <w:rsid w:val="00015CB0"/>
    <w:rsid w:val="0001742D"/>
    <w:rsid w:val="000209E0"/>
    <w:rsid w:val="00020B14"/>
    <w:rsid w:val="00021127"/>
    <w:rsid w:val="000211EC"/>
    <w:rsid w:val="000214E3"/>
    <w:rsid w:val="00021DED"/>
    <w:rsid w:val="00022E5D"/>
    <w:rsid w:val="0002314A"/>
    <w:rsid w:val="00023A5A"/>
    <w:rsid w:val="00023AD1"/>
    <w:rsid w:val="0002682A"/>
    <w:rsid w:val="000268AF"/>
    <w:rsid w:val="00026C07"/>
    <w:rsid w:val="000270DD"/>
    <w:rsid w:val="00030504"/>
    <w:rsid w:val="00030702"/>
    <w:rsid w:val="00032F23"/>
    <w:rsid w:val="00033E30"/>
    <w:rsid w:val="00035D65"/>
    <w:rsid w:val="000362FA"/>
    <w:rsid w:val="00036DED"/>
    <w:rsid w:val="000427CD"/>
    <w:rsid w:val="00042F0B"/>
    <w:rsid w:val="00043211"/>
    <w:rsid w:val="00044172"/>
    <w:rsid w:val="000449C4"/>
    <w:rsid w:val="000461D9"/>
    <w:rsid w:val="00046697"/>
    <w:rsid w:val="00047291"/>
    <w:rsid w:val="00050583"/>
    <w:rsid w:val="000505E0"/>
    <w:rsid w:val="000511FF"/>
    <w:rsid w:val="00051987"/>
    <w:rsid w:val="00052838"/>
    <w:rsid w:val="00053E96"/>
    <w:rsid w:val="00055616"/>
    <w:rsid w:val="00056586"/>
    <w:rsid w:val="0005677C"/>
    <w:rsid w:val="00056DE0"/>
    <w:rsid w:val="0006350B"/>
    <w:rsid w:val="00066924"/>
    <w:rsid w:val="000709A1"/>
    <w:rsid w:val="00070D6A"/>
    <w:rsid w:val="000720CD"/>
    <w:rsid w:val="00073B82"/>
    <w:rsid w:val="00074F4A"/>
    <w:rsid w:val="000754A5"/>
    <w:rsid w:val="00076230"/>
    <w:rsid w:val="00076345"/>
    <w:rsid w:val="0007686F"/>
    <w:rsid w:val="00076EF7"/>
    <w:rsid w:val="00077B14"/>
    <w:rsid w:val="00077F74"/>
    <w:rsid w:val="0008057E"/>
    <w:rsid w:val="0008185C"/>
    <w:rsid w:val="00081AC2"/>
    <w:rsid w:val="0008221B"/>
    <w:rsid w:val="000844FC"/>
    <w:rsid w:val="0008512C"/>
    <w:rsid w:val="00085248"/>
    <w:rsid w:val="00085AFD"/>
    <w:rsid w:val="00086BAC"/>
    <w:rsid w:val="000907B9"/>
    <w:rsid w:val="00090DEF"/>
    <w:rsid w:val="0009218E"/>
    <w:rsid w:val="00092645"/>
    <w:rsid w:val="000928E9"/>
    <w:rsid w:val="00094B18"/>
    <w:rsid w:val="0009661D"/>
    <w:rsid w:val="00096A10"/>
    <w:rsid w:val="000A1A2F"/>
    <w:rsid w:val="000A245B"/>
    <w:rsid w:val="000A3768"/>
    <w:rsid w:val="000A412B"/>
    <w:rsid w:val="000A486C"/>
    <w:rsid w:val="000A721B"/>
    <w:rsid w:val="000A76E5"/>
    <w:rsid w:val="000B2B2D"/>
    <w:rsid w:val="000B2EE8"/>
    <w:rsid w:val="000B4742"/>
    <w:rsid w:val="000B4D8B"/>
    <w:rsid w:val="000B4FE3"/>
    <w:rsid w:val="000B646D"/>
    <w:rsid w:val="000B785F"/>
    <w:rsid w:val="000B7F37"/>
    <w:rsid w:val="000C3A35"/>
    <w:rsid w:val="000C3CEC"/>
    <w:rsid w:val="000C4031"/>
    <w:rsid w:val="000C483B"/>
    <w:rsid w:val="000C6638"/>
    <w:rsid w:val="000C6A62"/>
    <w:rsid w:val="000C7E37"/>
    <w:rsid w:val="000D0C78"/>
    <w:rsid w:val="000D1ACE"/>
    <w:rsid w:val="000D25FC"/>
    <w:rsid w:val="000D31A8"/>
    <w:rsid w:val="000D79CE"/>
    <w:rsid w:val="000E04A3"/>
    <w:rsid w:val="000E1EE1"/>
    <w:rsid w:val="000E1FAC"/>
    <w:rsid w:val="000E2728"/>
    <w:rsid w:val="000E2D33"/>
    <w:rsid w:val="000E3E9A"/>
    <w:rsid w:val="000E6D0E"/>
    <w:rsid w:val="000F1AF1"/>
    <w:rsid w:val="000F3C41"/>
    <w:rsid w:val="000F5607"/>
    <w:rsid w:val="000F591A"/>
    <w:rsid w:val="000F7421"/>
    <w:rsid w:val="001039D7"/>
    <w:rsid w:val="00105C5C"/>
    <w:rsid w:val="00106292"/>
    <w:rsid w:val="0010633E"/>
    <w:rsid w:val="00106AC5"/>
    <w:rsid w:val="0010728F"/>
    <w:rsid w:val="001078CB"/>
    <w:rsid w:val="00107C13"/>
    <w:rsid w:val="00110BF8"/>
    <w:rsid w:val="00111B48"/>
    <w:rsid w:val="00111FCC"/>
    <w:rsid w:val="001134B3"/>
    <w:rsid w:val="0011368D"/>
    <w:rsid w:val="001152AF"/>
    <w:rsid w:val="001164A2"/>
    <w:rsid w:val="0011669F"/>
    <w:rsid w:val="00120F5A"/>
    <w:rsid w:val="00120F64"/>
    <w:rsid w:val="0012221D"/>
    <w:rsid w:val="00125A85"/>
    <w:rsid w:val="001260EF"/>
    <w:rsid w:val="00126FAA"/>
    <w:rsid w:val="00127AF3"/>
    <w:rsid w:val="00127BF6"/>
    <w:rsid w:val="00127E4B"/>
    <w:rsid w:val="00130EA8"/>
    <w:rsid w:val="0013109A"/>
    <w:rsid w:val="001316B6"/>
    <w:rsid w:val="00134385"/>
    <w:rsid w:val="0013441C"/>
    <w:rsid w:val="00135051"/>
    <w:rsid w:val="0013728E"/>
    <w:rsid w:val="00137F29"/>
    <w:rsid w:val="0014282F"/>
    <w:rsid w:val="00143EEC"/>
    <w:rsid w:val="00145579"/>
    <w:rsid w:val="0014650C"/>
    <w:rsid w:val="0014703B"/>
    <w:rsid w:val="00147863"/>
    <w:rsid w:val="00150B85"/>
    <w:rsid w:val="00151C9D"/>
    <w:rsid w:val="00151E25"/>
    <w:rsid w:val="00151E5B"/>
    <w:rsid w:val="0015396E"/>
    <w:rsid w:val="00153FE0"/>
    <w:rsid w:val="00154D56"/>
    <w:rsid w:val="001559EE"/>
    <w:rsid w:val="0015642C"/>
    <w:rsid w:val="00157927"/>
    <w:rsid w:val="00157D9C"/>
    <w:rsid w:val="00161D16"/>
    <w:rsid w:val="001620B8"/>
    <w:rsid w:val="00164FE2"/>
    <w:rsid w:val="00165343"/>
    <w:rsid w:val="001665D9"/>
    <w:rsid w:val="00167F97"/>
    <w:rsid w:val="001750A2"/>
    <w:rsid w:val="00175DA6"/>
    <w:rsid w:val="00175F19"/>
    <w:rsid w:val="00176111"/>
    <w:rsid w:val="0017669D"/>
    <w:rsid w:val="001768EE"/>
    <w:rsid w:val="00176A99"/>
    <w:rsid w:val="001772AB"/>
    <w:rsid w:val="00177F6E"/>
    <w:rsid w:val="001823E8"/>
    <w:rsid w:val="00182FCA"/>
    <w:rsid w:val="00184842"/>
    <w:rsid w:val="001851C4"/>
    <w:rsid w:val="0018546F"/>
    <w:rsid w:val="001854A7"/>
    <w:rsid w:val="00186801"/>
    <w:rsid w:val="00186F19"/>
    <w:rsid w:val="00187018"/>
    <w:rsid w:val="00187776"/>
    <w:rsid w:val="00191F2E"/>
    <w:rsid w:val="0019343F"/>
    <w:rsid w:val="00193A12"/>
    <w:rsid w:val="00195A66"/>
    <w:rsid w:val="001A0021"/>
    <w:rsid w:val="001A0220"/>
    <w:rsid w:val="001A02B5"/>
    <w:rsid w:val="001A1850"/>
    <w:rsid w:val="001A25FB"/>
    <w:rsid w:val="001A4FE4"/>
    <w:rsid w:val="001A53CA"/>
    <w:rsid w:val="001A6538"/>
    <w:rsid w:val="001A6880"/>
    <w:rsid w:val="001A7A7C"/>
    <w:rsid w:val="001B0E51"/>
    <w:rsid w:val="001B3C55"/>
    <w:rsid w:val="001B3F2A"/>
    <w:rsid w:val="001B4472"/>
    <w:rsid w:val="001B46D6"/>
    <w:rsid w:val="001B6C07"/>
    <w:rsid w:val="001B6DED"/>
    <w:rsid w:val="001B6E2B"/>
    <w:rsid w:val="001B7306"/>
    <w:rsid w:val="001B7D14"/>
    <w:rsid w:val="001B7D47"/>
    <w:rsid w:val="001C0C31"/>
    <w:rsid w:val="001C1C8C"/>
    <w:rsid w:val="001C21F9"/>
    <w:rsid w:val="001C222C"/>
    <w:rsid w:val="001C30D5"/>
    <w:rsid w:val="001C33EF"/>
    <w:rsid w:val="001C3F70"/>
    <w:rsid w:val="001D0595"/>
    <w:rsid w:val="001D1F67"/>
    <w:rsid w:val="001D34C6"/>
    <w:rsid w:val="001D37A8"/>
    <w:rsid w:val="001D3B8B"/>
    <w:rsid w:val="001D3FB1"/>
    <w:rsid w:val="001D407F"/>
    <w:rsid w:val="001D64B8"/>
    <w:rsid w:val="001D7318"/>
    <w:rsid w:val="001D78C5"/>
    <w:rsid w:val="001E0130"/>
    <w:rsid w:val="001E0F15"/>
    <w:rsid w:val="001E148F"/>
    <w:rsid w:val="001E15BC"/>
    <w:rsid w:val="001E2534"/>
    <w:rsid w:val="001E2E70"/>
    <w:rsid w:val="001E35F1"/>
    <w:rsid w:val="001E6398"/>
    <w:rsid w:val="001E63C1"/>
    <w:rsid w:val="001E7E3B"/>
    <w:rsid w:val="001F0C1F"/>
    <w:rsid w:val="001F184C"/>
    <w:rsid w:val="001F26E1"/>
    <w:rsid w:val="001F2DE8"/>
    <w:rsid w:val="001F3825"/>
    <w:rsid w:val="001F5448"/>
    <w:rsid w:val="001F7273"/>
    <w:rsid w:val="00202F1A"/>
    <w:rsid w:val="00203194"/>
    <w:rsid w:val="00205605"/>
    <w:rsid w:val="00207291"/>
    <w:rsid w:val="00212EF9"/>
    <w:rsid w:val="002154D9"/>
    <w:rsid w:val="00216035"/>
    <w:rsid w:val="00216171"/>
    <w:rsid w:val="0021742C"/>
    <w:rsid w:val="0021777A"/>
    <w:rsid w:val="00220248"/>
    <w:rsid w:val="00222EF5"/>
    <w:rsid w:val="00225EF0"/>
    <w:rsid w:val="002316A2"/>
    <w:rsid w:val="002321DD"/>
    <w:rsid w:val="002328F9"/>
    <w:rsid w:val="00236120"/>
    <w:rsid w:val="002365DD"/>
    <w:rsid w:val="0023695B"/>
    <w:rsid w:val="00237DBA"/>
    <w:rsid w:val="00240807"/>
    <w:rsid w:val="0024182E"/>
    <w:rsid w:val="002423E5"/>
    <w:rsid w:val="00242505"/>
    <w:rsid w:val="0024255D"/>
    <w:rsid w:val="00244524"/>
    <w:rsid w:val="00245B85"/>
    <w:rsid w:val="00247903"/>
    <w:rsid w:val="00247B9D"/>
    <w:rsid w:val="0025064C"/>
    <w:rsid w:val="0025150A"/>
    <w:rsid w:val="00251BA3"/>
    <w:rsid w:val="00253316"/>
    <w:rsid w:val="00254B83"/>
    <w:rsid w:val="00255914"/>
    <w:rsid w:val="0026072F"/>
    <w:rsid w:val="00262786"/>
    <w:rsid w:val="00262A4E"/>
    <w:rsid w:val="00263E3B"/>
    <w:rsid w:val="00264C9E"/>
    <w:rsid w:val="00265033"/>
    <w:rsid w:val="00266036"/>
    <w:rsid w:val="00267342"/>
    <w:rsid w:val="002703FE"/>
    <w:rsid w:val="00270425"/>
    <w:rsid w:val="00271C26"/>
    <w:rsid w:val="0027246B"/>
    <w:rsid w:val="0027329C"/>
    <w:rsid w:val="00275903"/>
    <w:rsid w:val="002762C5"/>
    <w:rsid w:val="00276468"/>
    <w:rsid w:val="00276527"/>
    <w:rsid w:val="0028248E"/>
    <w:rsid w:val="00282E79"/>
    <w:rsid w:val="002847E3"/>
    <w:rsid w:val="00285775"/>
    <w:rsid w:val="00287AB3"/>
    <w:rsid w:val="00287BCC"/>
    <w:rsid w:val="0029371A"/>
    <w:rsid w:val="00293BDB"/>
    <w:rsid w:val="00294126"/>
    <w:rsid w:val="002955E5"/>
    <w:rsid w:val="00295A39"/>
    <w:rsid w:val="002A2DB7"/>
    <w:rsid w:val="002A4664"/>
    <w:rsid w:val="002A5DB2"/>
    <w:rsid w:val="002B13C1"/>
    <w:rsid w:val="002B4266"/>
    <w:rsid w:val="002B4E23"/>
    <w:rsid w:val="002C07D1"/>
    <w:rsid w:val="002C1DF3"/>
    <w:rsid w:val="002C1EDB"/>
    <w:rsid w:val="002C3B7E"/>
    <w:rsid w:val="002C558F"/>
    <w:rsid w:val="002C6263"/>
    <w:rsid w:val="002C63D7"/>
    <w:rsid w:val="002C65F2"/>
    <w:rsid w:val="002C66EF"/>
    <w:rsid w:val="002C679E"/>
    <w:rsid w:val="002C6EDF"/>
    <w:rsid w:val="002C7C88"/>
    <w:rsid w:val="002D17B5"/>
    <w:rsid w:val="002D1CB4"/>
    <w:rsid w:val="002D28BB"/>
    <w:rsid w:val="002D3B34"/>
    <w:rsid w:val="002D4775"/>
    <w:rsid w:val="002D4D7A"/>
    <w:rsid w:val="002D6BCC"/>
    <w:rsid w:val="002E17BF"/>
    <w:rsid w:val="002E2E4B"/>
    <w:rsid w:val="002E3317"/>
    <w:rsid w:val="002E4AB9"/>
    <w:rsid w:val="002E673E"/>
    <w:rsid w:val="002E6C48"/>
    <w:rsid w:val="002E73D4"/>
    <w:rsid w:val="002E7691"/>
    <w:rsid w:val="002F14EB"/>
    <w:rsid w:val="002F2318"/>
    <w:rsid w:val="002F560E"/>
    <w:rsid w:val="002F794D"/>
    <w:rsid w:val="00300056"/>
    <w:rsid w:val="00301985"/>
    <w:rsid w:val="003061B2"/>
    <w:rsid w:val="0030724C"/>
    <w:rsid w:val="003105C5"/>
    <w:rsid w:val="0031096A"/>
    <w:rsid w:val="00311008"/>
    <w:rsid w:val="00312D5F"/>
    <w:rsid w:val="00315BA2"/>
    <w:rsid w:val="00316048"/>
    <w:rsid w:val="003168FB"/>
    <w:rsid w:val="00317EA5"/>
    <w:rsid w:val="00317EC1"/>
    <w:rsid w:val="003225DA"/>
    <w:rsid w:val="00323F2A"/>
    <w:rsid w:val="00325DB6"/>
    <w:rsid w:val="00326A5C"/>
    <w:rsid w:val="00326C7B"/>
    <w:rsid w:val="00326FEC"/>
    <w:rsid w:val="00330B1B"/>
    <w:rsid w:val="00330DA5"/>
    <w:rsid w:val="00331BA6"/>
    <w:rsid w:val="00331CA2"/>
    <w:rsid w:val="0033255B"/>
    <w:rsid w:val="0033320A"/>
    <w:rsid w:val="003347AA"/>
    <w:rsid w:val="00334DA0"/>
    <w:rsid w:val="003350AC"/>
    <w:rsid w:val="00335F52"/>
    <w:rsid w:val="0033693B"/>
    <w:rsid w:val="00336BB4"/>
    <w:rsid w:val="003409BA"/>
    <w:rsid w:val="00341880"/>
    <w:rsid w:val="00342098"/>
    <w:rsid w:val="00342164"/>
    <w:rsid w:val="00342A40"/>
    <w:rsid w:val="00342E08"/>
    <w:rsid w:val="0034494C"/>
    <w:rsid w:val="00345024"/>
    <w:rsid w:val="00345095"/>
    <w:rsid w:val="0034574D"/>
    <w:rsid w:val="00345EFB"/>
    <w:rsid w:val="0034687C"/>
    <w:rsid w:val="0035128A"/>
    <w:rsid w:val="00352D6B"/>
    <w:rsid w:val="003531F3"/>
    <w:rsid w:val="003539CE"/>
    <w:rsid w:val="003552E0"/>
    <w:rsid w:val="0035589E"/>
    <w:rsid w:val="003563FD"/>
    <w:rsid w:val="0035692E"/>
    <w:rsid w:val="0035757A"/>
    <w:rsid w:val="003606F8"/>
    <w:rsid w:val="003617CD"/>
    <w:rsid w:val="0036208B"/>
    <w:rsid w:val="00365575"/>
    <w:rsid w:val="00365ABD"/>
    <w:rsid w:val="0036634B"/>
    <w:rsid w:val="003669C4"/>
    <w:rsid w:val="00366B97"/>
    <w:rsid w:val="00367012"/>
    <w:rsid w:val="00367AED"/>
    <w:rsid w:val="003705C5"/>
    <w:rsid w:val="003709B7"/>
    <w:rsid w:val="0037317C"/>
    <w:rsid w:val="00374A68"/>
    <w:rsid w:val="00375CCF"/>
    <w:rsid w:val="003760BD"/>
    <w:rsid w:val="0037693E"/>
    <w:rsid w:val="003773C4"/>
    <w:rsid w:val="003775EE"/>
    <w:rsid w:val="00383291"/>
    <w:rsid w:val="00384AB7"/>
    <w:rsid w:val="003854E3"/>
    <w:rsid w:val="00385F7B"/>
    <w:rsid w:val="0038608B"/>
    <w:rsid w:val="003860FD"/>
    <w:rsid w:val="0038644B"/>
    <w:rsid w:val="00392122"/>
    <w:rsid w:val="0039381B"/>
    <w:rsid w:val="00393AD8"/>
    <w:rsid w:val="00394190"/>
    <w:rsid w:val="00395098"/>
    <w:rsid w:val="003969A9"/>
    <w:rsid w:val="00397004"/>
    <w:rsid w:val="003A0278"/>
    <w:rsid w:val="003A0BA8"/>
    <w:rsid w:val="003A21E2"/>
    <w:rsid w:val="003A2A9A"/>
    <w:rsid w:val="003A4135"/>
    <w:rsid w:val="003A455E"/>
    <w:rsid w:val="003A79BA"/>
    <w:rsid w:val="003A7E83"/>
    <w:rsid w:val="003B15E8"/>
    <w:rsid w:val="003B308B"/>
    <w:rsid w:val="003B363E"/>
    <w:rsid w:val="003B3738"/>
    <w:rsid w:val="003B3F79"/>
    <w:rsid w:val="003B4547"/>
    <w:rsid w:val="003B5754"/>
    <w:rsid w:val="003B6F76"/>
    <w:rsid w:val="003B78AA"/>
    <w:rsid w:val="003C048E"/>
    <w:rsid w:val="003C0EBF"/>
    <w:rsid w:val="003C1A36"/>
    <w:rsid w:val="003C2E19"/>
    <w:rsid w:val="003C4155"/>
    <w:rsid w:val="003C4C6B"/>
    <w:rsid w:val="003C513B"/>
    <w:rsid w:val="003C6EE9"/>
    <w:rsid w:val="003C789F"/>
    <w:rsid w:val="003C7C33"/>
    <w:rsid w:val="003D2D43"/>
    <w:rsid w:val="003D2D9F"/>
    <w:rsid w:val="003D5019"/>
    <w:rsid w:val="003D510A"/>
    <w:rsid w:val="003D667D"/>
    <w:rsid w:val="003D6C73"/>
    <w:rsid w:val="003D71E7"/>
    <w:rsid w:val="003D7E29"/>
    <w:rsid w:val="003E2F92"/>
    <w:rsid w:val="003E4D99"/>
    <w:rsid w:val="003E507C"/>
    <w:rsid w:val="003E78FA"/>
    <w:rsid w:val="003F0755"/>
    <w:rsid w:val="003F11CB"/>
    <w:rsid w:val="003F2552"/>
    <w:rsid w:val="003F60C6"/>
    <w:rsid w:val="003F6F4B"/>
    <w:rsid w:val="003F7CA5"/>
    <w:rsid w:val="0040304B"/>
    <w:rsid w:val="0040397A"/>
    <w:rsid w:val="00404B4C"/>
    <w:rsid w:val="00404E0F"/>
    <w:rsid w:val="00405A0C"/>
    <w:rsid w:val="00406057"/>
    <w:rsid w:val="00406AE9"/>
    <w:rsid w:val="00407790"/>
    <w:rsid w:val="0041026F"/>
    <w:rsid w:val="004116ED"/>
    <w:rsid w:val="0041246E"/>
    <w:rsid w:val="00414334"/>
    <w:rsid w:val="00414795"/>
    <w:rsid w:val="00414FBC"/>
    <w:rsid w:val="00415056"/>
    <w:rsid w:val="00415940"/>
    <w:rsid w:val="00417DEB"/>
    <w:rsid w:val="00420AFE"/>
    <w:rsid w:val="00422490"/>
    <w:rsid w:val="00423B52"/>
    <w:rsid w:val="00425651"/>
    <w:rsid w:val="00427BF6"/>
    <w:rsid w:val="00427EA5"/>
    <w:rsid w:val="00430F69"/>
    <w:rsid w:val="0043101F"/>
    <w:rsid w:val="00431490"/>
    <w:rsid w:val="004316DD"/>
    <w:rsid w:val="004326D8"/>
    <w:rsid w:val="0043386E"/>
    <w:rsid w:val="0043418F"/>
    <w:rsid w:val="004342C5"/>
    <w:rsid w:val="00434DAC"/>
    <w:rsid w:val="00434F14"/>
    <w:rsid w:val="00435E61"/>
    <w:rsid w:val="00435FA4"/>
    <w:rsid w:val="00437694"/>
    <w:rsid w:val="0044181E"/>
    <w:rsid w:val="00445A8F"/>
    <w:rsid w:val="0044713C"/>
    <w:rsid w:val="004517CD"/>
    <w:rsid w:val="00453BD3"/>
    <w:rsid w:val="004547B2"/>
    <w:rsid w:val="00454B34"/>
    <w:rsid w:val="004550AE"/>
    <w:rsid w:val="00455819"/>
    <w:rsid w:val="00456437"/>
    <w:rsid w:val="00460E96"/>
    <w:rsid w:val="0046438F"/>
    <w:rsid w:val="00464569"/>
    <w:rsid w:val="00466CA5"/>
    <w:rsid w:val="00467A72"/>
    <w:rsid w:val="00470E2A"/>
    <w:rsid w:val="00473635"/>
    <w:rsid w:val="00473693"/>
    <w:rsid w:val="00474C37"/>
    <w:rsid w:val="00474C82"/>
    <w:rsid w:val="004770C6"/>
    <w:rsid w:val="00477178"/>
    <w:rsid w:val="00480A42"/>
    <w:rsid w:val="00481D0B"/>
    <w:rsid w:val="0048209E"/>
    <w:rsid w:val="00482ED2"/>
    <w:rsid w:val="004845F0"/>
    <w:rsid w:val="00484873"/>
    <w:rsid w:val="0048564C"/>
    <w:rsid w:val="00485778"/>
    <w:rsid w:val="00490694"/>
    <w:rsid w:val="00490891"/>
    <w:rsid w:val="004919DA"/>
    <w:rsid w:val="004923F6"/>
    <w:rsid w:val="00492618"/>
    <w:rsid w:val="004937D9"/>
    <w:rsid w:val="00493DF3"/>
    <w:rsid w:val="00494844"/>
    <w:rsid w:val="00495A7F"/>
    <w:rsid w:val="00497413"/>
    <w:rsid w:val="004A26AD"/>
    <w:rsid w:val="004A3250"/>
    <w:rsid w:val="004A43D1"/>
    <w:rsid w:val="004A5864"/>
    <w:rsid w:val="004A6068"/>
    <w:rsid w:val="004A69C8"/>
    <w:rsid w:val="004B0A80"/>
    <w:rsid w:val="004B0BEC"/>
    <w:rsid w:val="004B12CE"/>
    <w:rsid w:val="004B41CC"/>
    <w:rsid w:val="004B69AB"/>
    <w:rsid w:val="004B7274"/>
    <w:rsid w:val="004B7E53"/>
    <w:rsid w:val="004C10CD"/>
    <w:rsid w:val="004C3700"/>
    <w:rsid w:val="004C4D5B"/>
    <w:rsid w:val="004C505E"/>
    <w:rsid w:val="004C5457"/>
    <w:rsid w:val="004D09C2"/>
    <w:rsid w:val="004D0A1D"/>
    <w:rsid w:val="004D155F"/>
    <w:rsid w:val="004D3051"/>
    <w:rsid w:val="004D32AF"/>
    <w:rsid w:val="004D378B"/>
    <w:rsid w:val="004D4551"/>
    <w:rsid w:val="004D4DCF"/>
    <w:rsid w:val="004D54D2"/>
    <w:rsid w:val="004D5651"/>
    <w:rsid w:val="004D6D84"/>
    <w:rsid w:val="004D7F56"/>
    <w:rsid w:val="004D7FB1"/>
    <w:rsid w:val="004E38B6"/>
    <w:rsid w:val="004E5E6F"/>
    <w:rsid w:val="004E67CA"/>
    <w:rsid w:val="004E7F57"/>
    <w:rsid w:val="004F0373"/>
    <w:rsid w:val="004F104E"/>
    <w:rsid w:val="004F1A97"/>
    <w:rsid w:val="004F1B94"/>
    <w:rsid w:val="004F1C69"/>
    <w:rsid w:val="004F3EE9"/>
    <w:rsid w:val="004F42C2"/>
    <w:rsid w:val="004F5C21"/>
    <w:rsid w:val="004F6CA7"/>
    <w:rsid w:val="00500265"/>
    <w:rsid w:val="00500837"/>
    <w:rsid w:val="00500978"/>
    <w:rsid w:val="00500EBD"/>
    <w:rsid w:val="005035FE"/>
    <w:rsid w:val="005042F1"/>
    <w:rsid w:val="00504C8D"/>
    <w:rsid w:val="0050552D"/>
    <w:rsid w:val="00505550"/>
    <w:rsid w:val="0050605B"/>
    <w:rsid w:val="00506113"/>
    <w:rsid w:val="005123BE"/>
    <w:rsid w:val="0051288A"/>
    <w:rsid w:val="00512F01"/>
    <w:rsid w:val="00515252"/>
    <w:rsid w:val="00520965"/>
    <w:rsid w:val="00520BBC"/>
    <w:rsid w:val="005234BB"/>
    <w:rsid w:val="0052383D"/>
    <w:rsid w:val="00523867"/>
    <w:rsid w:val="00524363"/>
    <w:rsid w:val="0052475A"/>
    <w:rsid w:val="00524A97"/>
    <w:rsid w:val="0052506E"/>
    <w:rsid w:val="00527954"/>
    <w:rsid w:val="00527A95"/>
    <w:rsid w:val="00530020"/>
    <w:rsid w:val="0053030C"/>
    <w:rsid w:val="00531AA8"/>
    <w:rsid w:val="00532AD5"/>
    <w:rsid w:val="00534AA1"/>
    <w:rsid w:val="00534E73"/>
    <w:rsid w:val="005358E0"/>
    <w:rsid w:val="005358EA"/>
    <w:rsid w:val="00536784"/>
    <w:rsid w:val="00540748"/>
    <w:rsid w:val="0054088C"/>
    <w:rsid w:val="00540B18"/>
    <w:rsid w:val="00540EDC"/>
    <w:rsid w:val="005427B2"/>
    <w:rsid w:val="005434A5"/>
    <w:rsid w:val="0054389F"/>
    <w:rsid w:val="00543E83"/>
    <w:rsid w:val="00544F37"/>
    <w:rsid w:val="00547403"/>
    <w:rsid w:val="00547A74"/>
    <w:rsid w:val="00547EB3"/>
    <w:rsid w:val="00550755"/>
    <w:rsid w:val="0055188F"/>
    <w:rsid w:val="00551E3D"/>
    <w:rsid w:val="00552620"/>
    <w:rsid w:val="00552DBC"/>
    <w:rsid w:val="00553BA6"/>
    <w:rsid w:val="00555ED9"/>
    <w:rsid w:val="00557F89"/>
    <w:rsid w:val="00560FDA"/>
    <w:rsid w:val="0056219C"/>
    <w:rsid w:val="005640B3"/>
    <w:rsid w:val="00565106"/>
    <w:rsid w:val="00567024"/>
    <w:rsid w:val="005679D2"/>
    <w:rsid w:val="0057038F"/>
    <w:rsid w:val="00572A3C"/>
    <w:rsid w:val="005734B6"/>
    <w:rsid w:val="005736CF"/>
    <w:rsid w:val="005743DC"/>
    <w:rsid w:val="005744A7"/>
    <w:rsid w:val="00575607"/>
    <w:rsid w:val="00575672"/>
    <w:rsid w:val="00575CDD"/>
    <w:rsid w:val="00577B1D"/>
    <w:rsid w:val="00580BA8"/>
    <w:rsid w:val="0058133F"/>
    <w:rsid w:val="00581578"/>
    <w:rsid w:val="00583101"/>
    <w:rsid w:val="005835CF"/>
    <w:rsid w:val="00583C40"/>
    <w:rsid w:val="005912E5"/>
    <w:rsid w:val="00593248"/>
    <w:rsid w:val="00593521"/>
    <w:rsid w:val="00593D36"/>
    <w:rsid w:val="00593F43"/>
    <w:rsid w:val="00594C1A"/>
    <w:rsid w:val="00595240"/>
    <w:rsid w:val="005974BF"/>
    <w:rsid w:val="005978CE"/>
    <w:rsid w:val="00597B1C"/>
    <w:rsid w:val="005A053A"/>
    <w:rsid w:val="005A078E"/>
    <w:rsid w:val="005A0F5B"/>
    <w:rsid w:val="005A17CE"/>
    <w:rsid w:val="005A3197"/>
    <w:rsid w:val="005A42A1"/>
    <w:rsid w:val="005A6A1E"/>
    <w:rsid w:val="005A6EFF"/>
    <w:rsid w:val="005A709B"/>
    <w:rsid w:val="005A7CAB"/>
    <w:rsid w:val="005A7F83"/>
    <w:rsid w:val="005B0F21"/>
    <w:rsid w:val="005B20E0"/>
    <w:rsid w:val="005B3D72"/>
    <w:rsid w:val="005B55D4"/>
    <w:rsid w:val="005C122D"/>
    <w:rsid w:val="005C1F25"/>
    <w:rsid w:val="005C1FC9"/>
    <w:rsid w:val="005C213C"/>
    <w:rsid w:val="005C2164"/>
    <w:rsid w:val="005C2221"/>
    <w:rsid w:val="005C28CE"/>
    <w:rsid w:val="005C290B"/>
    <w:rsid w:val="005C2FE8"/>
    <w:rsid w:val="005C3E69"/>
    <w:rsid w:val="005C43B7"/>
    <w:rsid w:val="005C54DC"/>
    <w:rsid w:val="005C5FC3"/>
    <w:rsid w:val="005C656D"/>
    <w:rsid w:val="005C66DC"/>
    <w:rsid w:val="005C6E31"/>
    <w:rsid w:val="005C7CAE"/>
    <w:rsid w:val="005D09E5"/>
    <w:rsid w:val="005D2F17"/>
    <w:rsid w:val="005D45D8"/>
    <w:rsid w:val="005D5BDB"/>
    <w:rsid w:val="005D71F1"/>
    <w:rsid w:val="005D7BB3"/>
    <w:rsid w:val="005E10CB"/>
    <w:rsid w:val="005E2519"/>
    <w:rsid w:val="005E32BF"/>
    <w:rsid w:val="005E436B"/>
    <w:rsid w:val="005E43F8"/>
    <w:rsid w:val="005E48CA"/>
    <w:rsid w:val="005E6448"/>
    <w:rsid w:val="005E690E"/>
    <w:rsid w:val="005E69C4"/>
    <w:rsid w:val="005F3C6B"/>
    <w:rsid w:val="005F3E36"/>
    <w:rsid w:val="005F4163"/>
    <w:rsid w:val="005F4B53"/>
    <w:rsid w:val="005F4D71"/>
    <w:rsid w:val="005F5297"/>
    <w:rsid w:val="005F5EAB"/>
    <w:rsid w:val="005F70EA"/>
    <w:rsid w:val="00601243"/>
    <w:rsid w:val="0060135A"/>
    <w:rsid w:val="00601AAB"/>
    <w:rsid w:val="006027EE"/>
    <w:rsid w:val="00603BB9"/>
    <w:rsid w:val="00604688"/>
    <w:rsid w:val="00604F19"/>
    <w:rsid w:val="00605CBB"/>
    <w:rsid w:val="00610B97"/>
    <w:rsid w:val="00610D42"/>
    <w:rsid w:val="00611349"/>
    <w:rsid w:val="00612712"/>
    <w:rsid w:val="00612FE4"/>
    <w:rsid w:val="00613877"/>
    <w:rsid w:val="00614011"/>
    <w:rsid w:val="00616F72"/>
    <w:rsid w:val="0061794D"/>
    <w:rsid w:val="00620EC8"/>
    <w:rsid w:val="006214AE"/>
    <w:rsid w:val="006214C6"/>
    <w:rsid w:val="006219D8"/>
    <w:rsid w:val="00622E86"/>
    <w:rsid w:val="006245DE"/>
    <w:rsid w:val="00624E24"/>
    <w:rsid w:val="00624F34"/>
    <w:rsid w:val="00625044"/>
    <w:rsid w:val="00626EB6"/>
    <w:rsid w:val="00627153"/>
    <w:rsid w:val="006307FB"/>
    <w:rsid w:val="00630B04"/>
    <w:rsid w:val="00632241"/>
    <w:rsid w:val="006324C4"/>
    <w:rsid w:val="006333F2"/>
    <w:rsid w:val="006347BC"/>
    <w:rsid w:val="00635399"/>
    <w:rsid w:val="006375B2"/>
    <w:rsid w:val="00640510"/>
    <w:rsid w:val="00641158"/>
    <w:rsid w:val="00645F15"/>
    <w:rsid w:val="006475FF"/>
    <w:rsid w:val="00650237"/>
    <w:rsid w:val="00650DB9"/>
    <w:rsid w:val="00651217"/>
    <w:rsid w:val="006530AD"/>
    <w:rsid w:val="00653209"/>
    <w:rsid w:val="00654BF5"/>
    <w:rsid w:val="0065530D"/>
    <w:rsid w:val="006555BC"/>
    <w:rsid w:val="0066003E"/>
    <w:rsid w:val="006603DF"/>
    <w:rsid w:val="00660BCC"/>
    <w:rsid w:val="006615F2"/>
    <w:rsid w:val="00663460"/>
    <w:rsid w:val="00664259"/>
    <w:rsid w:val="0066556C"/>
    <w:rsid w:val="0066699A"/>
    <w:rsid w:val="00667B93"/>
    <w:rsid w:val="00670BF8"/>
    <w:rsid w:val="00670F7E"/>
    <w:rsid w:val="0067321B"/>
    <w:rsid w:val="00673758"/>
    <w:rsid w:val="006762B2"/>
    <w:rsid w:val="00680D0A"/>
    <w:rsid w:val="00681A85"/>
    <w:rsid w:val="006830B9"/>
    <w:rsid w:val="006834E6"/>
    <w:rsid w:val="0068373C"/>
    <w:rsid w:val="00683B67"/>
    <w:rsid w:val="006841D2"/>
    <w:rsid w:val="00684ACC"/>
    <w:rsid w:val="006865E4"/>
    <w:rsid w:val="0068763B"/>
    <w:rsid w:val="00690140"/>
    <w:rsid w:val="006909E2"/>
    <w:rsid w:val="0069408F"/>
    <w:rsid w:val="00695960"/>
    <w:rsid w:val="006963A2"/>
    <w:rsid w:val="00696EDA"/>
    <w:rsid w:val="006972A0"/>
    <w:rsid w:val="00697467"/>
    <w:rsid w:val="006A00AE"/>
    <w:rsid w:val="006A025A"/>
    <w:rsid w:val="006A047A"/>
    <w:rsid w:val="006A1B56"/>
    <w:rsid w:val="006A2535"/>
    <w:rsid w:val="006A2D4D"/>
    <w:rsid w:val="006A45EB"/>
    <w:rsid w:val="006A5114"/>
    <w:rsid w:val="006A5FF6"/>
    <w:rsid w:val="006A6B9C"/>
    <w:rsid w:val="006A6DAE"/>
    <w:rsid w:val="006A7BCB"/>
    <w:rsid w:val="006B0841"/>
    <w:rsid w:val="006B145F"/>
    <w:rsid w:val="006B2DED"/>
    <w:rsid w:val="006B300A"/>
    <w:rsid w:val="006B32F3"/>
    <w:rsid w:val="006B54A6"/>
    <w:rsid w:val="006B5666"/>
    <w:rsid w:val="006B610D"/>
    <w:rsid w:val="006C09A0"/>
    <w:rsid w:val="006C0B0F"/>
    <w:rsid w:val="006C1119"/>
    <w:rsid w:val="006C20F2"/>
    <w:rsid w:val="006C26A0"/>
    <w:rsid w:val="006C2C62"/>
    <w:rsid w:val="006C386D"/>
    <w:rsid w:val="006C541C"/>
    <w:rsid w:val="006C5F5D"/>
    <w:rsid w:val="006C6A5E"/>
    <w:rsid w:val="006D1AF7"/>
    <w:rsid w:val="006D201B"/>
    <w:rsid w:val="006D3894"/>
    <w:rsid w:val="006D4BC4"/>
    <w:rsid w:val="006D5193"/>
    <w:rsid w:val="006D5E25"/>
    <w:rsid w:val="006D68E5"/>
    <w:rsid w:val="006D6C74"/>
    <w:rsid w:val="006D72F7"/>
    <w:rsid w:val="006D7836"/>
    <w:rsid w:val="006D79F5"/>
    <w:rsid w:val="006D7D4C"/>
    <w:rsid w:val="006E1415"/>
    <w:rsid w:val="006E1FFA"/>
    <w:rsid w:val="006E2138"/>
    <w:rsid w:val="006E490E"/>
    <w:rsid w:val="006E53C0"/>
    <w:rsid w:val="006E68D6"/>
    <w:rsid w:val="006E719A"/>
    <w:rsid w:val="006E7E70"/>
    <w:rsid w:val="006F089E"/>
    <w:rsid w:val="006F0BE1"/>
    <w:rsid w:val="006F0EFC"/>
    <w:rsid w:val="006F12F5"/>
    <w:rsid w:val="006F26E9"/>
    <w:rsid w:val="006F4ACF"/>
    <w:rsid w:val="006F4B81"/>
    <w:rsid w:val="006F520F"/>
    <w:rsid w:val="006F58F2"/>
    <w:rsid w:val="00701E74"/>
    <w:rsid w:val="00702C0E"/>
    <w:rsid w:val="00703158"/>
    <w:rsid w:val="00703B19"/>
    <w:rsid w:val="00704D7C"/>
    <w:rsid w:val="0070504B"/>
    <w:rsid w:val="00705FF0"/>
    <w:rsid w:val="00707699"/>
    <w:rsid w:val="00711614"/>
    <w:rsid w:val="00713C9B"/>
    <w:rsid w:val="00714235"/>
    <w:rsid w:val="0071673F"/>
    <w:rsid w:val="0072146A"/>
    <w:rsid w:val="007215EB"/>
    <w:rsid w:val="00721F88"/>
    <w:rsid w:val="0072222D"/>
    <w:rsid w:val="007228DD"/>
    <w:rsid w:val="00722D92"/>
    <w:rsid w:val="00723544"/>
    <w:rsid w:val="007243BF"/>
    <w:rsid w:val="00724AA1"/>
    <w:rsid w:val="00724FA9"/>
    <w:rsid w:val="007316B8"/>
    <w:rsid w:val="00732EBD"/>
    <w:rsid w:val="00734810"/>
    <w:rsid w:val="0073547D"/>
    <w:rsid w:val="0073744C"/>
    <w:rsid w:val="007377B5"/>
    <w:rsid w:val="007401FD"/>
    <w:rsid w:val="007402EC"/>
    <w:rsid w:val="00741292"/>
    <w:rsid w:val="00741E7C"/>
    <w:rsid w:val="0074443F"/>
    <w:rsid w:val="0074543B"/>
    <w:rsid w:val="007500A0"/>
    <w:rsid w:val="007504C0"/>
    <w:rsid w:val="00750A0F"/>
    <w:rsid w:val="00752568"/>
    <w:rsid w:val="00752F89"/>
    <w:rsid w:val="00753062"/>
    <w:rsid w:val="0075454A"/>
    <w:rsid w:val="007547B2"/>
    <w:rsid w:val="007573B2"/>
    <w:rsid w:val="007604CC"/>
    <w:rsid w:val="007604DE"/>
    <w:rsid w:val="007622F8"/>
    <w:rsid w:val="00762BEC"/>
    <w:rsid w:val="00767D7B"/>
    <w:rsid w:val="00767DA5"/>
    <w:rsid w:val="007708EA"/>
    <w:rsid w:val="007723B8"/>
    <w:rsid w:val="00772685"/>
    <w:rsid w:val="00772E91"/>
    <w:rsid w:val="00773EBE"/>
    <w:rsid w:val="00774550"/>
    <w:rsid w:val="00774979"/>
    <w:rsid w:val="00774997"/>
    <w:rsid w:val="00776A79"/>
    <w:rsid w:val="00780220"/>
    <w:rsid w:val="00780A72"/>
    <w:rsid w:val="00780BD1"/>
    <w:rsid w:val="007810C1"/>
    <w:rsid w:val="00782049"/>
    <w:rsid w:val="00782512"/>
    <w:rsid w:val="00786876"/>
    <w:rsid w:val="00786908"/>
    <w:rsid w:val="00787E2B"/>
    <w:rsid w:val="007902C2"/>
    <w:rsid w:val="00791BAA"/>
    <w:rsid w:val="00793CF7"/>
    <w:rsid w:val="007951D9"/>
    <w:rsid w:val="007968AB"/>
    <w:rsid w:val="00797E65"/>
    <w:rsid w:val="007A034F"/>
    <w:rsid w:val="007A2172"/>
    <w:rsid w:val="007A315B"/>
    <w:rsid w:val="007A368F"/>
    <w:rsid w:val="007A59D6"/>
    <w:rsid w:val="007A5F28"/>
    <w:rsid w:val="007A629F"/>
    <w:rsid w:val="007B1507"/>
    <w:rsid w:val="007B2BF8"/>
    <w:rsid w:val="007B2E07"/>
    <w:rsid w:val="007B48F6"/>
    <w:rsid w:val="007B4CE7"/>
    <w:rsid w:val="007B7152"/>
    <w:rsid w:val="007C0695"/>
    <w:rsid w:val="007C2042"/>
    <w:rsid w:val="007C2753"/>
    <w:rsid w:val="007C39BD"/>
    <w:rsid w:val="007C50CE"/>
    <w:rsid w:val="007C5701"/>
    <w:rsid w:val="007C776A"/>
    <w:rsid w:val="007D23CC"/>
    <w:rsid w:val="007D23D0"/>
    <w:rsid w:val="007D3E02"/>
    <w:rsid w:val="007D54CF"/>
    <w:rsid w:val="007D678F"/>
    <w:rsid w:val="007D6DC5"/>
    <w:rsid w:val="007D72F4"/>
    <w:rsid w:val="007E0659"/>
    <w:rsid w:val="007E1766"/>
    <w:rsid w:val="007E2DCF"/>
    <w:rsid w:val="007E5872"/>
    <w:rsid w:val="007E59AD"/>
    <w:rsid w:val="007E7996"/>
    <w:rsid w:val="007F11AE"/>
    <w:rsid w:val="007F11FF"/>
    <w:rsid w:val="007F16FA"/>
    <w:rsid w:val="007F1864"/>
    <w:rsid w:val="007F1BC2"/>
    <w:rsid w:val="007F3544"/>
    <w:rsid w:val="007F412F"/>
    <w:rsid w:val="007F73C6"/>
    <w:rsid w:val="00803014"/>
    <w:rsid w:val="008044A7"/>
    <w:rsid w:val="0080454E"/>
    <w:rsid w:val="00804CBB"/>
    <w:rsid w:val="00805BC9"/>
    <w:rsid w:val="0080695A"/>
    <w:rsid w:val="00810286"/>
    <w:rsid w:val="00810F76"/>
    <w:rsid w:val="00813327"/>
    <w:rsid w:val="00823691"/>
    <w:rsid w:val="00823961"/>
    <w:rsid w:val="00823B05"/>
    <w:rsid w:val="00824EF4"/>
    <w:rsid w:val="0082573A"/>
    <w:rsid w:val="00826668"/>
    <w:rsid w:val="00830B45"/>
    <w:rsid w:val="0083407D"/>
    <w:rsid w:val="00835247"/>
    <w:rsid w:val="0083699C"/>
    <w:rsid w:val="008371EE"/>
    <w:rsid w:val="0083765E"/>
    <w:rsid w:val="008401F3"/>
    <w:rsid w:val="00842B28"/>
    <w:rsid w:val="00844B9D"/>
    <w:rsid w:val="00845E91"/>
    <w:rsid w:val="008470D2"/>
    <w:rsid w:val="0085345A"/>
    <w:rsid w:val="00853D90"/>
    <w:rsid w:val="0085575C"/>
    <w:rsid w:val="00856FAC"/>
    <w:rsid w:val="00857761"/>
    <w:rsid w:val="00857E11"/>
    <w:rsid w:val="00860A27"/>
    <w:rsid w:val="008614F9"/>
    <w:rsid w:val="00861EF8"/>
    <w:rsid w:val="008627F9"/>
    <w:rsid w:val="008669F8"/>
    <w:rsid w:val="00870066"/>
    <w:rsid w:val="008716DE"/>
    <w:rsid w:val="008718A4"/>
    <w:rsid w:val="00871F94"/>
    <w:rsid w:val="00872ACC"/>
    <w:rsid w:val="008751ED"/>
    <w:rsid w:val="008767F2"/>
    <w:rsid w:val="00876D98"/>
    <w:rsid w:val="0088030D"/>
    <w:rsid w:val="0088128E"/>
    <w:rsid w:val="00881711"/>
    <w:rsid w:val="00881DF4"/>
    <w:rsid w:val="008829AF"/>
    <w:rsid w:val="008830DE"/>
    <w:rsid w:val="00885F5D"/>
    <w:rsid w:val="00890232"/>
    <w:rsid w:val="00890F4C"/>
    <w:rsid w:val="0089360E"/>
    <w:rsid w:val="00894686"/>
    <w:rsid w:val="0089575D"/>
    <w:rsid w:val="00895AC8"/>
    <w:rsid w:val="0089654D"/>
    <w:rsid w:val="00897ABA"/>
    <w:rsid w:val="008A1BE7"/>
    <w:rsid w:val="008A2672"/>
    <w:rsid w:val="008A2AA3"/>
    <w:rsid w:val="008A3A35"/>
    <w:rsid w:val="008A543A"/>
    <w:rsid w:val="008A5E6B"/>
    <w:rsid w:val="008A7688"/>
    <w:rsid w:val="008A7835"/>
    <w:rsid w:val="008A7D16"/>
    <w:rsid w:val="008B0204"/>
    <w:rsid w:val="008B07D0"/>
    <w:rsid w:val="008B0976"/>
    <w:rsid w:val="008B0C0A"/>
    <w:rsid w:val="008B2CF1"/>
    <w:rsid w:val="008B39CA"/>
    <w:rsid w:val="008B465C"/>
    <w:rsid w:val="008B5971"/>
    <w:rsid w:val="008B5D9B"/>
    <w:rsid w:val="008B6D33"/>
    <w:rsid w:val="008C0AC7"/>
    <w:rsid w:val="008C1096"/>
    <w:rsid w:val="008C16C2"/>
    <w:rsid w:val="008C195A"/>
    <w:rsid w:val="008C213A"/>
    <w:rsid w:val="008C297E"/>
    <w:rsid w:val="008C6FDA"/>
    <w:rsid w:val="008D1B42"/>
    <w:rsid w:val="008D1B9F"/>
    <w:rsid w:val="008D2AAE"/>
    <w:rsid w:val="008D5464"/>
    <w:rsid w:val="008D7990"/>
    <w:rsid w:val="008D7D1D"/>
    <w:rsid w:val="008E1BFD"/>
    <w:rsid w:val="008E20B7"/>
    <w:rsid w:val="008E20D0"/>
    <w:rsid w:val="008E3B08"/>
    <w:rsid w:val="008E76AE"/>
    <w:rsid w:val="008F070D"/>
    <w:rsid w:val="008F200F"/>
    <w:rsid w:val="008F243F"/>
    <w:rsid w:val="008F3847"/>
    <w:rsid w:val="008F48E8"/>
    <w:rsid w:val="008F68E8"/>
    <w:rsid w:val="008F69A1"/>
    <w:rsid w:val="008F7C8E"/>
    <w:rsid w:val="009004A4"/>
    <w:rsid w:val="009007D1"/>
    <w:rsid w:val="00900C58"/>
    <w:rsid w:val="00900F53"/>
    <w:rsid w:val="00901074"/>
    <w:rsid w:val="00901608"/>
    <w:rsid w:val="009021F7"/>
    <w:rsid w:val="00902A14"/>
    <w:rsid w:val="0090443C"/>
    <w:rsid w:val="00904DB2"/>
    <w:rsid w:val="00906186"/>
    <w:rsid w:val="00910467"/>
    <w:rsid w:val="00910863"/>
    <w:rsid w:val="00911EAF"/>
    <w:rsid w:val="00913F7E"/>
    <w:rsid w:val="0091525A"/>
    <w:rsid w:val="0091720F"/>
    <w:rsid w:val="009174CD"/>
    <w:rsid w:val="00917531"/>
    <w:rsid w:val="0091759A"/>
    <w:rsid w:val="00917F5F"/>
    <w:rsid w:val="00921AB7"/>
    <w:rsid w:val="00921BCD"/>
    <w:rsid w:val="00921F45"/>
    <w:rsid w:val="0092307C"/>
    <w:rsid w:val="009247B0"/>
    <w:rsid w:val="00924A89"/>
    <w:rsid w:val="00924E52"/>
    <w:rsid w:val="00927693"/>
    <w:rsid w:val="009277DB"/>
    <w:rsid w:val="0092788A"/>
    <w:rsid w:val="0093136C"/>
    <w:rsid w:val="00931FE0"/>
    <w:rsid w:val="00932A7D"/>
    <w:rsid w:val="0093335F"/>
    <w:rsid w:val="009334A6"/>
    <w:rsid w:val="00935A78"/>
    <w:rsid w:val="009408CC"/>
    <w:rsid w:val="00940C28"/>
    <w:rsid w:val="00941199"/>
    <w:rsid w:val="00941D86"/>
    <w:rsid w:val="009433D4"/>
    <w:rsid w:val="00943D4F"/>
    <w:rsid w:val="00943F8E"/>
    <w:rsid w:val="00946ECD"/>
    <w:rsid w:val="00947BF0"/>
    <w:rsid w:val="00950DE6"/>
    <w:rsid w:val="00951CDD"/>
    <w:rsid w:val="0095261A"/>
    <w:rsid w:val="00952C47"/>
    <w:rsid w:val="00953BFF"/>
    <w:rsid w:val="00953E2B"/>
    <w:rsid w:val="00953F7E"/>
    <w:rsid w:val="009554DD"/>
    <w:rsid w:val="00957184"/>
    <w:rsid w:val="009613A5"/>
    <w:rsid w:val="0096203A"/>
    <w:rsid w:val="00962C5F"/>
    <w:rsid w:val="009631EB"/>
    <w:rsid w:val="00963B5B"/>
    <w:rsid w:val="00963C18"/>
    <w:rsid w:val="009640B4"/>
    <w:rsid w:val="00964283"/>
    <w:rsid w:val="0096431C"/>
    <w:rsid w:val="00964397"/>
    <w:rsid w:val="009662AD"/>
    <w:rsid w:val="009670D8"/>
    <w:rsid w:val="00967159"/>
    <w:rsid w:val="00970576"/>
    <w:rsid w:val="0097364C"/>
    <w:rsid w:val="00975E6B"/>
    <w:rsid w:val="00976C6D"/>
    <w:rsid w:val="00980E77"/>
    <w:rsid w:val="00981562"/>
    <w:rsid w:val="00983570"/>
    <w:rsid w:val="00983946"/>
    <w:rsid w:val="009840EE"/>
    <w:rsid w:val="00984150"/>
    <w:rsid w:val="00985499"/>
    <w:rsid w:val="00987491"/>
    <w:rsid w:val="00987848"/>
    <w:rsid w:val="00987B98"/>
    <w:rsid w:val="00987F86"/>
    <w:rsid w:val="00990422"/>
    <w:rsid w:val="00990B21"/>
    <w:rsid w:val="009912AC"/>
    <w:rsid w:val="00993A63"/>
    <w:rsid w:val="00993A6A"/>
    <w:rsid w:val="009949B7"/>
    <w:rsid w:val="00995908"/>
    <w:rsid w:val="009972B4"/>
    <w:rsid w:val="009A07BF"/>
    <w:rsid w:val="009A1D96"/>
    <w:rsid w:val="009A20AB"/>
    <w:rsid w:val="009A23B6"/>
    <w:rsid w:val="009A569B"/>
    <w:rsid w:val="009A57AF"/>
    <w:rsid w:val="009B0570"/>
    <w:rsid w:val="009B2A04"/>
    <w:rsid w:val="009B3F03"/>
    <w:rsid w:val="009B4200"/>
    <w:rsid w:val="009B4808"/>
    <w:rsid w:val="009B6DB9"/>
    <w:rsid w:val="009B6EC0"/>
    <w:rsid w:val="009C1377"/>
    <w:rsid w:val="009C1963"/>
    <w:rsid w:val="009C2AB3"/>
    <w:rsid w:val="009C30E1"/>
    <w:rsid w:val="009C4D85"/>
    <w:rsid w:val="009C4E37"/>
    <w:rsid w:val="009C568F"/>
    <w:rsid w:val="009C57EE"/>
    <w:rsid w:val="009C57F7"/>
    <w:rsid w:val="009C5F27"/>
    <w:rsid w:val="009D234E"/>
    <w:rsid w:val="009D432D"/>
    <w:rsid w:val="009D4825"/>
    <w:rsid w:val="009D5266"/>
    <w:rsid w:val="009D6C1D"/>
    <w:rsid w:val="009E0DF1"/>
    <w:rsid w:val="009E15E3"/>
    <w:rsid w:val="009E16BF"/>
    <w:rsid w:val="009E1E49"/>
    <w:rsid w:val="009E220C"/>
    <w:rsid w:val="009E2C3C"/>
    <w:rsid w:val="009E2D1C"/>
    <w:rsid w:val="009E420E"/>
    <w:rsid w:val="009E464D"/>
    <w:rsid w:val="009E63F3"/>
    <w:rsid w:val="009E6B99"/>
    <w:rsid w:val="009E6C4B"/>
    <w:rsid w:val="009F6996"/>
    <w:rsid w:val="00A002BB"/>
    <w:rsid w:val="00A0085A"/>
    <w:rsid w:val="00A00EA8"/>
    <w:rsid w:val="00A02E7D"/>
    <w:rsid w:val="00A032E9"/>
    <w:rsid w:val="00A04074"/>
    <w:rsid w:val="00A0443F"/>
    <w:rsid w:val="00A04F95"/>
    <w:rsid w:val="00A05EF1"/>
    <w:rsid w:val="00A0731A"/>
    <w:rsid w:val="00A12D3F"/>
    <w:rsid w:val="00A14580"/>
    <w:rsid w:val="00A14D44"/>
    <w:rsid w:val="00A15B76"/>
    <w:rsid w:val="00A17DC2"/>
    <w:rsid w:val="00A211DB"/>
    <w:rsid w:val="00A24023"/>
    <w:rsid w:val="00A24C2C"/>
    <w:rsid w:val="00A26110"/>
    <w:rsid w:val="00A302CB"/>
    <w:rsid w:val="00A30F52"/>
    <w:rsid w:val="00A32F66"/>
    <w:rsid w:val="00A35EC6"/>
    <w:rsid w:val="00A36B55"/>
    <w:rsid w:val="00A40E19"/>
    <w:rsid w:val="00A41AA3"/>
    <w:rsid w:val="00A42292"/>
    <w:rsid w:val="00A425EF"/>
    <w:rsid w:val="00A42E88"/>
    <w:rsid w:val="00A441F0"/>
    <w:rsid w:val="00A44DF3"/>
    <w:rsid w:val="00A4568E"/>
    <w:rsid w:val="00A46CF1"/>
    <w:rsid w:val="00A4709F"/>
    <w:rsid w:val="00A51DF8"/>
    <w:rsid w:val="00A52E94"/>
    <w:rsid w:val="00A538A1"/>
    <w:rsid w:val="00A540AE"/>
    <w:rsid w:val="00A54A35"/>
    <w:rsid w:val="00A55B5D"/>
    <w:rsid w:val="00A56529"/>
    <w:rsid w:val="00A566F4"/>
    <w:rsid w:val="00A569F2"/>
    <w:rsid w:val="00A57070"/>
    <w:rsid w:val="00A600B4"/>
    <w:rsid w:val="00A608E2"/>
    <w:rsid w:val="00A61595"/>
    <w:rsid w:val="00A621E1"/>
    <w:rsid w:val="00A62AE6"/>
    <w:rsid w:val="00A63900"/>
    <w:rsid w:val="00A6411C"/>
    <w:rsid w:val="00A702FC"/>
    <w:rsid w:val="00A71322"/>
    <w:rsid w:val="00A7382D"/>
    <w:rsid w:val="00A74F48"/>
    <w:rsid w:val="00A76EE7"/>
    <w:rsid w:val="00A778D2"/>
    <w:rsid w:val="00A77E2D"/>
    <w:rsid w:val="00A80DF5"/>
    <w:rsid w:val="00A820AF"/>
    <w:rsid w:val="00A82A93"/>
    <w:rsid w:val="00A82B3A"/>
    <w:rsid w:val="00A83F61"/>
    <w:rsid w:val="00A84750"/>
    <w:rsid w:val="00A856F0"/>
    <w:rsid w:val="00A8685C"/>
    <w:rsid w:val="00A87FB8"/>
    <w:rsid w:val="00A92D75"/>
    <w:rsid w:val="00A9570B"/>
    <w:rsid w:val="00A96189"/>
    <w:rsid w:val="00A96A6A"/>
    <w:rsid w:val="00A96B8B"/>
    <w:rsid w:val="00AA1E12"/>
    <w:rsid w:val="00AA3704"/>
    <w:rsid w:val="00AA4A0E"/>
    <w:rsid w:val="00AA4A1C"/>
    <w:rsid w:val="00AA518A"/>
    <w:rsid w:val="00AA6E65"/>
    <w:rsid w:val="00AA70B6"/>
    <w:rsid w:val="00AA79BF"/>
    <w:rsid w:val="00AB0652"/>
    <w:rsid w:val="00AB083E"/>
    <w:rsid w:val="00AB0A76"/>
    <w:rsid w:val="00AB1A48"/>
    <w:rsid w:val="00AB438C"/>
    <w:rsid w:val="00AB474E"/>
    <w:rsid w:val="00AB4A06"/>
    <w:rsid w:val="00AB59A5"/>
    <w:rsid w:val="00AB5A9B"/>
    <w:rsid w:val="00AB6F22"/>
    <w:rsid w:val="00AB7102"/>
    <w:rsid w:val="00AB79AB"/>
    <w:rsid w:val="00AC1B7F"/>
    <w:rsid w:val="00AC2011"/>
    <w:rsid w:val="00AC34B8"/>
    <w:rsid w:val="00AC37F1"/>
    <w:rsid w:val="00AC3EA8"/>
    <w:rsid w:val="00AC5C2C"/>
    <w:rsid w:val="00AC674E"/>
    <w:rsid w:val="00AC6CD6"/>
    <w:rsid w:val="00AC78E6"/>
    <w:rsid w:val="00AC7B7F"/>
    <w:rsid w:val="00AD01D6"/>
    <w:rsid w:val="00AD063E"/>
    <w:rsid w:val="00AD1E5C"/>
    <w:rsid w:val="00AD1E6A"/>
    <w:rsid w:val="00AD212E"/>
    <w:rsid w:val="00AD288D"/>
    <w:rsid w:val="00AD4330"/>
    <w:rsid w:val="00AD50F9"/>
    <w:rsid w:val="00AD5258"/>
    <w:rsid w:val="00AE0943"/>
    <w:rsid w:val="00AE116C"/>
    <w:rsid w:val="00AE199D"/>
    <w:rsid w:val="00AE19E1"/>
    <w:rsid w:val="00AE29CC"/>
    <w:rsid w:val="00AE374E"/>
    <w:rsid w:val="00AE37CB"/>
    <w:rsid w:val="00AE4D36"/>
    <w:rsid w:val="00AE71F9"/>
    <w:rsid w:val="00AE7E22"/>
    <w:rsid w:val="00AF028F"/>
    <w:rsid w:val="00AF0E82"/>
    <w:rsid w:val="00AF2A5D"/>
    <w:rsid w:val="00AF5313"/>
    <w:rsid w:val="00AF7262"/>
    <w:rsid w:val="00B01E03"/>
    <w:rsid w:val="00B02FFA"/>
    <w:rsid w:val="00B058D7"/>
    <w:rsid w:val="00B05C9F"/>
    <w:rsid w:val="00B06516"/>
    <w:rsid w:val="00B11E68"/>
    <w:rsid w:val="00B13C7F"/>
    <w:rsid w:val="00B13DD2"/>
    <w:rsid w:val="00B14113"/>
    <w:rsid w:val="00B14A1F"/>
    <w:rsid w:val="00B15285"/>
    <w:rsid w:val="00B17637"/>
    <w:rsid w:val="00B212D3"/>
    <w:rsid w:val="00B22593"/>
    <w:rsid w:val="00B22FDF"/>
    <w:rsid w:val="00B23103"/>
    <w:rsid w:val="00B246AF"/>
    <w:rsid w:val="00B24C20"/>
    <w:rsid w:val="00B24CBE"/>
    <w:rsid w:val="00B2557F"/>
    <w:rsid w:val="00B25782"/>
    <w:rsid w:val="00B25A30"/>
    <w:rsid w:val="00B27E73"/>
    <w:rsid w:val="00B305B6"/>
    <w:rsid w:val="00B30DA2"/>
    <w:rsid w:val="00B32CD0"/>
    <w:rsid w:val="00B32E3B"/>
    <w:rsid w:val="00B34135"/>
    <w:rsid w:val="00B36856"/>
    <w:rsid w:val="00B374F0"/>
    <w:rsid w:val="00B40515"/>
    <w:rsid w:val="00B40BB7"/>
    <w:rsid w:val="00B41E51"/>
    <w:rsid w:val="00B45F63"/>
    <w:rsid w:val="00B46036"/>
    <w:rsid w:val="00B46070"/>
    <w:rsid w:val="00B469BD"/>
    <w:rsid w:val="00B4707D"/>
    <w:rsid w:val="00B51C6C"/>
    <w:rsid w:val="00B52666"/>
    <w:rsid w:val="00B52B8F"/>
    <w:rsid w:val="00B560A0"/>
    <w:rsid w:val="00B577BA"/>
    <w:rsid w:val="00B57E1A"/>
    <w:rsid w:val="00B61131"/>
    <w:rsid w:val="00B6124C"/>
    <w:rsid w:val="00B61349"/>
    <w:rsid w:val="00B617A8"/>
    <w:rsid w:val="00B6340A"/>
    <w:rsid w:val="00B63499"/>
    <w:rsid w:val="00B63744"/>
    <w:rsid w:val="00B63BF0"/>
    <w:rsid w:val="00B643F2"/>
    <w:rsid w:val="00B65A0E"/>
    <w:rsid w:val="00B66BA8"/>
    <w:rsid w:val="00B67BC9"/>
    <w:rsid w:val="00B70ADF"/>
    <w:rsid w:val="00B7324F"/>
    <w:rsid w:val="00B73998"/>
    <w:rsid w:val="00B73CD2"/>
    <w:rsid w:val="00B7409F"/>
    <w:rsid w:val="00B74764"/>
    <w:rsid w:val="00B74951"/>
    <w:rsid w:val="00B756B3"/>
    <w:rsid w:val="00B75C98"/>
    <w:rsid w:val="00B76A54"/>
    <w:rsid w:val="00B77AF4"/>
    <w:rsid w:val="00B80226"/>
    <w:rsid w:val="00B81277"/>
    <w:rsid w:val="00B81FA5"/>
    <w:rsid w:val="00B84AEF"/>
    <w:rsid w:val="00B84CDC"/>
    <w:rsid w:val="00B84DAC"/>
    <w:rsid w:val="00B84DC5"/>
    <w:rsid w:val="00B901EC"/>
    <w:rsid w:val="00B90CA6"/>
    <w:rsid w:val="00B93968"/>
    <w:rsid w:val="00B94559"/>
    <w:rsid w:val="00B94576"/>
    <w:rsid w:val="00B958D2"/>
    <w:rsid w:val="00B95A06"/>
    <w:rsid w:val="00BA21F4"/>
    <w:rsid w:val="00BA3009"/>
    <w:rsid w:val="00BA3425"/>
    <w:rsid w:val="00BA3AD8"/>
    <w:rsid w:val="00BB0EF0"/>
    <w:rsid w:val="00BB3302"/>
    <w:rsid w:val="00BB5294"/>
    <w:rsid w:val="00BB5AD3"/>
    <w:rsid w:val="00BB7455"/>
    <w:rsid w:val="00BB7CDA"/>
    <w:rsid w:val="00BC0388"/>
    <w:rsid w:val="00BC36EF"/>
    <w:rsid w:val="00BC40BE"/>
    <w:rsid w:val="00BC49A4"/>
    <w:rsid w:val="00BC6497"/>
    <w:rsid w:val="00BC6F8C"/>
    <w:rsid w:val="00BC7526"/>
    <w:rsid w:val="00BD077B"/>
    <w:rsid w:val="00BD0C9B"/>
    <w:rsid w:val="00BD1ADE"/>
    <w:rsid w:val="00BD2474"/>
    <w:rsid w:val="00BD3DA8"/>
    <w:rsid w:val="00BD435E"/>
    <w:rsid w:val="00BE01C6"/>
    <w:rsid w:val="00BE0DA5"/>
    <w:rsid w:val="00BE59C3"/>
    <w:rsid w:val="00BE672B"/>
    <w:rsid w:val="00BE73F5"/>
    <w:rsid w:val="00BE7AAE"/>
    <w:rsid w:val="00BE7C6D"/>
    <w:rsid w:val="00BE7D33"/>
    <w:rsid w:val="00BF1E6F"/>
    <w:rsid w:val="00BF335F"/>
    <w:rsid w:val="00BF3A50"/>
    <w:rsid w:val="00BF3E4D"/>
    <w:rsid w:val="00BF4675"/>
    <w:rsid w:val="00BF4847"/>
    <w:rsid w:val="00BF4AF8"/>
    <w:rsid w:val="00BF4DA1"/>
    <w:rsid w:val="00BF6044"/>
    <w:rsid w:val="00BF6FC9"/>
    <w:rsid w:val="00BF7D66"/>
    <w:rsid w:val="00C000CF"/>
    <w:rsid w:val="00C02881"/>
    <w:rsid w:val="00C03AA0"/>
    <w:rsid w:val="00C044F8"/>
    <w:rsid w:val="00C0451C"/>
    <w:rsid w:val="00C053DB"/>
    <w:rsid w:val="00C058E9"/>
    <w:rsid w:val="00C0696A"/>
    <w:rsid w:val="00C0751C"/>
    <w:rsid w:val="00C101E1"/>
    <w:rsid w:val="00C12D54"/>
    <w:rsid w:val="00C13612"/>
    <w:rsid w:val="00C1552E"/>
    <w:rsid w:val="00C155B6"/>
    <w:rsid w:val="00C16561"/>
    <w:rsid w:val="00C21140"/>
    <w:rsid w:val="00C22F19"/>
    <w:rsid w:val="00C23B2E"/>
    <w:rsid w:val="00C26937"/>
    <w:rsid w:val="00C26E9D"/>
    <w:rsid w:val="00C3070B"/>
    <w:rsid w:val="00C311CE"/>
    <w:rsid w:val="00C313DF"/>
    <w:rsid w:val="00C31F39"/>
    <w:rsid w:val="00C3250C"/>
    <w:rsid w:val="00C33111"/>
    <w:rsid w:val="00C334B4"/>
    <w:rsid w:val="00C337E7"/>
    <w:rsid w:val="00C33D36"/>
    <w:rsid w:val="00C36477"/>
    <w:rsid w:val="00C37F4D"/>
    <w:rsid w:val="00C40E8A"/>
    <w:rsid w:val="00C40F5F"/>
    <w:rsid w:val="00C4196D"/>
    <w:rsid w:val="00C4568D"/>
    <w:rsid w:val="00C47D0D"/>
    <w:rsid w:val="00C47E9C"/>
    <w:rsid w:val="00C50A8F"/>
    <w:rsid w:val="00C5189D"/>
    <w:rsid w:val="00C51ACF"/>
    <w:rsid w:val="00C530D3"/>
    <w:rsid w:val="00C554F6"/>
    <w:rsid w:val="00C56448"/>
    <w:rsid w:val="00C565C3"/>
    <w:rsid w:val="00C577D9"/>
    <w:rsid w:val="00C57ADD"/>
    <w:rsid w:val="00C60948"/>
    <w:rsid w:val="00C609EB"/>
    <w:rsid w:val="00C610F5"/>
    <w:rsid w:val="00C6387A"/>
    <w:rsid w:val="00C64775"/>
    <w:rsid w:val="00C64F1F"/>
    <w:rsid w:val="00C64FF7"/>
    <w:rsid w:val="00C65EA9"/>
    <w:rsid w:val="00C706BC"/>
    <w:rsid w:val="00C709F0"/>
    <w:rsid w:val="00C71340"/>
    <w:rsid w:val="00C723C7"/>
    <w:rsid w:val="00C74720"/>
    <w:rsid w:val="00C74BB1"/>
    <w:rsid w:val="00C774FB"/>
    <w:rsid w:val="00C804B6"/>
    <w:rsid w:val="00C80BC8"/>
    <w:rsid w:val="00C81E4D"/>
    <w:rsid w:val="00C827A2"/>
    <w:rsid w:val="00C837B9"/>
    <w:rsid w:val="00C838BE"/>
    <w:rsid w:val="00C84736"/>
    <w:rsid w:val="00C8486E"/>
    <w:rsid w:val="00C84D7E"/>
    <w:rsid w:val="00C86A06"/>
    <w:rsid w:val="00C87A2A"/>
    <w:rsid w:val="00C90020"/>
    <w:rsid w:val="00C906CC"/>
    <w:rsid w:val="00C90E73"/>
    <w:rsid w:val="00C914F3"/>
    <w:rsid w:val="00C93AA0"/>
    <w:rsid w:val="00C948A2"/>
    <w:rsid w:val="00C94DDF"/>
    <w:rsid w:val="00C96AD7"/>
    <w:rsid w:val="00C97F93"/>
    <w:rsid w:val="00CA110B"/>
    <w:rsid w:val="00CA1A0D"/>
    <w:rsid w:val="00CA221A"/>
    <w:rsid w:val="00CA2AFA"/>
    <w:rsid w:val="00CA2D43"/>
    <w:rsid w:val="00CA3A36"/>
    <w:rsid w:val="00CA49E0"/>
    <w:rsid w:val="00CA6575"/>
    <w:rsid w:val="00CA7607"/>
    <w:rsid w:val="00CB0184"/>
    <w:rsid w:val="00CB0F54"/>
    <w:rsid w:val="00CB3A05"/>
    <w:rsid w:val="00CB42D1"/>
    <w:rsid w:val="00CB4AF8"/>
    <w:rsid w:val="00CB6ACD"/>
    <w:rsid w:val="00CB6E59"/>
    <w:rsid w:val="00CB6FD5"/>
    <w:rsid w:val="00CB745D"/>
    <w:rsid w:val="00CB766E"/>
    <w:rsid w:val="00CB7860"/>
    <w:rsid w:val="00CC0E12"/>
    <w:rsid w:val="00CC13A0"/>
    <w:rsid w:val="00CC2483"/>
    <w:rsid w:val="00CC2F0E"/>
    <w:rsid w:val="00CC41B1"/>
    <w:rsid w:val="00CC61CC"/>
    <w:rsid w:val="00CC63C1"/>
    <w:rsid w:val="00CD1A5F"/>
    <w:rsid w:val="00CD3695"/>
    <w:rsid w:val="00CD4C22"/>
    <w:rsid w:val="00CD7BEF"/>
    <w:rsid w:val="00CE01AD"/>
    <w:rsid w:val="00CE024C"/>
    <w:rsid w:val="00CE0F2A"/>
    <w:rsid w:val="00CE0FBD"/>
    <w:rsid w:val="00CE18C5"/>
    <w:rsid w:val="00CE3061"/>
    <w:rsid w:val="00CE3C48"/>
    <w:rsid w:val="00CE417C"/>
    <w:rsid w:val="00CE5C4D"/>
    <w:rsid w:val="00CE6B03"/>
    <w:rsid w:val="00CE6EC1"/>
    <w:rsid w:val="00CE7AC7"/>
    <w:rsid w:val="00CF2569"/>
    <w:rsid w:val="00CF3EDD"/>
    <w:rsid w:val="00CF4151"/>
    <w:rsid w:val="00CF444A"/>
    <w:rsid w:val="00CF49E4"/>
    <w:rsid w:val="00CF6290"/>
    <w:rsid w:val="00CF696A"/>
    <w:rsid w:val="00D0191D"/>
    <w:rsid w:val="00D01DFD"/>
    <w:rsid w:val="00D04365"/>
    <w:rsid w:val="00D052D9"/>
    <w:rsid w:val="00D06176"/>
    <w:rsid w:val="00D07137"/>
    <w:rsid w:val="00D10CFE"/>
    <w:rsid w:val="00D1452D"/>
    <w:rsid w:val="00D20360"/>
    <w:rsid w:val="00D222D1"/>
    <w:rsid w:val="00D2268B"/>
    <w:rsid w:val="00D22F93"/>
    <w:rsid w:val="00D23242"/>
    <w:rsid w:val="00D2389E"/>
    <w:rsid w:val="00D245F6"/>
    <w:rsid w:val="00D24DDF"/>
    <w:rsid w:val="00D2546B"/>
    <w:rsid w:val="00D257AB"/>
    <w:rsid w:val="00D267D6"/>
    <w:rsid w:val="00D30055"/>
    <w:rsid w:val="00D311C4"/>
    <w:rsid w:val="00D31AFF"/>
    <w:rsid w:val="00D31D92"/>
    <w:rsid w:val="00D32018"/>
    <w:rsid w:val="00D3224B"/>
    <w:rsid w:val="00D323A8"/>
    <w:rsid w:val="00D327CE"/>
    <w:rsid w:val="00D32CAD"/>
    <w:rsid w:val="00D347DD"/>
    <w:rsid w:val="00D34AC9"/>
    <w:rsid w:val="00D3559E"/>
    <w:rsid w:val="00D35D2B"/>
    <w:rsid w:val="00D35ECA"/>
    <w:rsid w:val="00D36BD6"/>
    <w:rsid w:val="00D3716B"/>
    <w:rsid w:val="00D41DD4"/>
    <w:rsid w:val="00D42934"/>
    <w:rsid w:val="00D4448B"/>
    <w:rsid w:val="00D44B36"/>
    <w:rsid w:val="00D45E02"/>
    <w:rsid w:val="00D47BE9"/>
    <w:rsid w:val="00D505F1"/>
    <w:rsid w:val="00D51421"/>
    <w:rsid w:val="00D54E3B"/>
    <w:rsid w:val="00D551AA"/>
    <w:rsid w:val="00D559D0"/>
    <w:rsid w:val="00D564D0"/>
    <w:rsid w:val="00D60644"/>
    <w:rsid w:val="00D607B6"/>
    <w:rsid w:val="00D6288A"/>
    <w:rsid w:val="00D63223"/>
    <w:rsid w:val="00D65659"/>
    <w:rsid w:val="00D661A8"/>
    <w:rsid w:val="00D66386"/>
    <w:rsid w:val="00D6701A"/>
    <w:rsid w:val="00D70F32"/>
    <w:rsid w:val="00D728CB"/>
    <w:rsid w:val="00D74453"/>
    <w:rsid w:val="00D74A3D"/>
    <w:rsid w:val="00D74D86"/>
    <w:rsid w:val="00D7698E"/>
    <w:rsid w:val="00D76E69"/>
    <w:rsid w:val="00D779E9"/>
    <w:rsid w:val="00D822A8"/>
    <w:rsid w:val="00D8298E"/>
    <w:rsid w:val="00D84D47"/>
    <w:rsid w:val="00D85104"/>
    <w:rsid w:val="00D867BD"/>
    <w:rsid w:val="00D86971"/>
    <w:rsid w:val="00D87977"/>
    <w:rsid w:val="00D90525"/>
    <w:rsid w:val="00D92693"/>
    <w:rsid w:val="00D92A95"/>
    <w:rsid w:val="00D933D7"/>
    <w:rsid w:val="00D93497"/>
    <w:rsid w:val="00D9597C"/>
    <w:rsid w:val="00D968D5"/>
    <w:rsid w:val="00D97B33"/>
    <w:rsid w:val="00D97CCA"/>
    <w:rsid w:val="00DA188F"/>
    <w:rsid w:val="00DA23FB"/>
    <w:rsid w:val="00DA4EB3"/>
    <w:rsid w:val="00DA5077"/>
    <w:rsid w:val="00DA5B9E"/>
    <w:rsid w:val="00DA5E7F"/>
    <w:rsid w:val="00DA6B0E"/>
    <w:rsid w:val="00DA76C6"/>
    <w:rsid w:val="00DB14A2"/>
    <w:rsid w:val="00DB20B1"/>
    <w:rsid w:val="00DB2535"/>
    <w:rsid w:val="00DB271A"/>
    <w:rsid w:val="00DB2DC8"/>
    <w:rsid w:val="00DB70D4"/>
    <w:rsid w:val="00DC023D"/>
    <w:rsid w:val="00DC08F5"/>
    <w:rsid w:val="00DC14E7"/>
    <w:rsid w:val="00DC1BB7"/>
    <w:rsid w:val="00DC2594"/>
    <w:rsid w:val="00DC3C40"/>
    <w:rsid w:val="00DC512D"/>
    <w:rsid w:val="00DC6970"/>
    <w:rsid w:val="00DC7FDD"/>
    <w:rsid w:val="00DD0DE7"/>
    <w:rsid w:val="00DD179A"/>
    <w:rsid w:val="00DD2507"/>
    <w:rsid w:val="00DD28AD"/>
    <w:rsid w:val="00DD2A3B"/>
    <w:rsid w:val="00DD424C"/>
    <w:rsid w:val="00DD4E99"/>
    <w:rsid w:val="00DD72D0"/>
    <w:rsid w:val="00DE2087"/>
    <w:rsid w:val="00DE34FC"/>
    <w:rsid w:val="00DE418B"/>
    <w:rsid w:val="00DE4290"/>
    <w:rsid w:val="00DE4616"/>
    <w:rsid w:val="00DE5A99"/>
    <w:rsid w:val="00DE7EEB"/>
    <w:rsid w:val="00DF1267"/>
    <w:rsid w:val="00DF1527"/>
    <w:rsid w:val="00DF20AC"/>
    <w:rsid w:val="00DF29B8"/>
    <w:rsid w:val="00DF2E9E"/>
    <w:rsid w:val="00DF355C"/>
    <w:rsid w:val="00DF5621"/>
    <w:rsid w:val="00DF64E6"/>
    <w:rsid w:val="00DF7200"/>
    <w:rsid w:val="00DF7BFD"/>
    <w:rsid w:val="00DF7EED"/>
    <w:rsid w:val="00DF7F53"/>
    <w:rsid w:val="00E0394A"/>
    <w:rsid w:val="00E05CCE"/>
    <w:rsid w:val="00E0627D"/>
    <w:rsid w:val="00E07473"/>
    <w:rsid w:val="00E0748D"/>
    <w:rsid w:val="00E11555"/>
    <w:rsid w:val="00E128FC"/>
    <w:rsid w:val="00E1383C"/>
    <w:rsid w:val="00E1465C"/>
    <w:rsid w:val="00E156EA"/>
    <w:rsid w:val="00E165E4"/>
    <w:rsid w:val="00E21684"/>
    <w:rsid w:val="00E227D0"/>
    <w:rsid w:val="00E22A05"/>
    <w:rsid w:val="00E23CDD"/>
    <w:rsid w:val="00E243CF"/>
    <w:rsid w:val="00E25B14"/>
    <w:rsid w:val="00E262BE"/>
    <w:rsid w:val="00E26E57"/>
    <w:rsid w:val="00E27029"/>
    <w:rsid w:val="00E27E8C"/>
    <w:rsid w:val="00E350C4"/>
    <w:rsid w:val="00E36663"/>
    <w:rsid w:val="00E42551"/>
    <w:rsid w:val="00E443E2"/>
    <w:rsid w:val="00E455CF"/>
    <w:rsid w:val="00E45F6C"/>
    <w:rsid w:val="00E46055"/>
    <w:rsid w:val="00E47AE2"/>
    <w:rsid w:val="00E50642"/>
    <w:rsid w:val="00E50647"/>
    <w:rsid w:val="00E50C8F"/>
    <w:rsid w:val="00E50D19"/>
    <w:rsid w:val="00E51B8E"/>
    <w:rsid w:val="00E5342B"/>
    <w:rsid w:val="00E544AE"/>
    <w:rsid w:val="00E55A2F"/>
    <w:rsid w:val="00E5731D"/>
    <w:rsid w:val="00E62C0C"/>
    <w:rsid w:val="00E6513F"/>
    <w:rsid w:val="00E662FC"/>
    <w:rsid w:val="00E664B7"/>
    <w:rsid w:val="00E73A4D"/>
    <w:rsid w:val="00E73CAF"/>
    <w:rsid w:val="00E7400B"/>
    <w:rsid w:val="00E742CA"/>
    <w:rsid w:val="00E74512"/>
    <w:rsid w:val="00E75F89"/>
    <w:rsid w:val="00E76062"/>
    <w:rsid w:val="00E7625C"/>
    <w:rsid w:val="00E7643E"/>
    <w:rsid w:val="00E76BB1"/>
    <w:rsid w:val="00E77418"/>
    <w:rsid w:val="00E84D73"/>
    <w:rsid w:val="00E870DF"/>
    <w:rsid w:val="00E872BE"/>
    <w:rsid w:val="00E87792"/>
    <w:rsid w:val="00E90199"/>
    <w:rsid w:val="00E9108B"/>
    <w:rsid w:val="00E9465B"/>
    <w:rsid w:val="00E94E8F"/>
    <w:rsid w:val="00E95826"/>
    <w:rsid w:val="00E9664B"/>
    <w:rsid w:val="00E967F1"/>
    <w:rsid w:val="00E96BA4"/>
    <w:rsid w:val="00EA0391"/>
    <w:rsid w:val="00EA05B2"/>
    <w:rsid w:val="00EA1E6E"/>
    <w:rsid w:val="00EA3D49"/>
    <w:rsid w:val="00EA461B"/>
    <w:rsid w:val="00EA5ED4"/>
    <w:rsid w:val="00EA6A04"/>
    <w:rsid w:val="00EA6BC4"/>
    <w:rsid w:val="00EA7CD0"/>
    <w:rsid w:val="00EA7DC2"/>
    <w:rsid w:val="00EB2208"/>
    <w:rsid w:val="00EB335F"/>
    <w:rsid w:val="00EB3CE6"/>
    <w:rsid w:val="00EB5742"/>
    <w:rsid w:val="00EB59A2"/>
    <w:rsid w:val="00EB5C13"/>
    <w:rsid w:val="00EB6449"/>
    <w:rsid w:val="00EB6EE8"/>
    <w:rsid w:val="00EC213D"/>
    <w:rsid w:val="00EC240F"/>
    <w:rsid w:val="00EC2924"/>
    <w:rsid w:val="00EC2CF9"/>
    <w:rsid w:val="00EC558C"/>
    <w:rsid w:val="00EC61DA"/>
    <w:rsid w:val="00EC7DEB"/>
    <w:rsid w:val="00ED031A"/>
    <w:rsid w:val="00ED05B9"/>
    <w:rsid w:val="00ED0A28"/>
    <w:rsid w:val="00ED0B12"/>
    <w:rsid w:val="00ED2B2C"/>
    <w:rsid w:val="00ED3030"/>
    <w:rsid w:val="00ED51C8"/>
    <w:rsid w:val="00ED5BB2"/>
    <w:rsid w:val="00ED5E0A"/>
    <w:rsid w:val="00ED65F9"/>
    <w:rsid w:val="00EE19AB"/>
    <w:rsid w:val="00EE1B05"/>
    <w:rsid w:val="00EE1D87"/>
    <w:rsid w:val="00EE5682"/>
    <w:rsid w:val="00EF015B"/>
    <w:rsid w:val="00EF0598"/>
    <w:rsid w:val="00EF16F8"/>
    <w:rsid w:val="00EF1BEC"/>
    <w:rsid w:val="00EF2493"/>
    <w:rsid w:val="00EF49F9"/>
    <w:rsid w:val="00EF6369"/>
    <w:rsid w:val="00EF6BA2"/>
    <w:rsid w:val="00F01570"/>
    <w:rsid w:val="00F02601"/>
    <w:rsid w:val="00F03B9B"/>
    <w:rsid w:val="00F0401E"/>
    <w:rsid w:val="00F0503C"/>
    <w:rsid w:val="00F066FB"/>
    <w:rsid w:val="00F067E7"/>
    <w:rsid w:val="00F108E5"/>
    <w:rsid w:val="00F16323"/>
    <w:rsid w:val="00F16621"/>
    <w:rsid w:val="00F20FC4"/>
    <w:rsid w:val="00F22486"/>
    <w:rsid w:val="00F23610"/>
    <w:rsid w:val="00F23FF8"/>
    <w:rsid w:val="00F254D0"/>
    <w:rsid w:val="00F27AD3"/>
    <w:rsid w:val="00F30438"/>
    <w:rsid w:val="00F30B04"/>
    <w:rsid w:val="00F30C43"/>
    <w:rsid w:val="00F336BF"/>
    <w:rsid w:val="00F34E03"/>
    <w:rsid w:val="00F34F3B"/>
    <w:rsid w:val="00F34FB6"/>
    <w:rsid w:val="00F35DAE"/>
    <w:rsid w:val="00F40F3E"/>
    <w:rsid w:val="00F41378"/>
    <w:rsid w:val="00F414D2"/>
    <w:rsid w:val="00F427EB"/>
    <w:rsid w:val="00F4285C"/>
    <w:rsid w:val="00F42B36"/>
    <w:rsid w:val="00F43619"/>
    <w:rsid w:val="00F4364A"/>
    <w:rsid w:val="00F43679"/>
    <w:rsid w:val="00F450E2"/>
    <w:rsid w:val="00F51304"/>
    <w:rsid w:val="00F52C0D"/>
    <w:rsid w:val="00F53858"/>
    <w:rsid w:val="00F57122"/>
    <w:rsid w:val="00F61AF5"/>
    <w:rsid w:val="00F61BE0"/>
    <w:rsid w:val="00F62AFA"/>
    <w:rsid w:val="00F65A2A"/>
    <w:rsid w:val="00F662FF"/>
    <w:rsid w:val="00F66A95"/>
    <w:rsid w:val="00F709F0"/>
    <w:rsid w:val="00F70F3E"/>
    <w:rsid w:val="00F71659"/>
    <w:rsid w:val="00F71724"/>
    <w:rsid w:val="00F71F62"/>
    <w:rsid w:val="00F72204"/>
    <w:rsid w:val="00F72790"/>
    <w:rsid w:val="00F72F44"/>
    <w:rsid w:val="00F73718"/>
    <w:rsid w:val="00F76511"/>
    <w:rsid w:val="00F76B23"/>
    <w:rsid w:val="00F77097"/>
    <w:rsid w:val="00F800BE"/>
    <w:rsid w:val="00F80BE6"/>
    <w:rsid w:val="00F81C7F"/>
    <w:rsid w:val="00F822E2"/>
    <w:rsid w:val="00F843CB"/>
    <w:rsid w:val="00F849F3"/>
    <w:rsid w:val="00F8589A"/>
    <w:rsid w:val="00F85CE0"/>
    <w:rsid w:val="00F9145D"/>
    <w:rsid w:val="00F94C93"/>
    <w:rsid w:val="00F955BF"/>
    <w:rsid w:val="00F95A49"/>
    <w:rsid w:val="00F96236"/>
    <w:rsid w:val="00F97956"/>
    <w:rsid w:val="00FA12F9"/>
    <w:rsid w:val="00FA1A07"/>
    <w:rsid w:val="00FA2D60"/>
    <w:rsid w:val="00FA4506"/>
    <w:rsid w:val="00FA506B"/>
    <w:rsid w:val="00FA6ACC"/>
    <w:rsid w:val="00FB09DF"/>
    <w:rsid w:val="00FB1262"/>
    <w:rsid w:val="00FB2161"/>
    <w:rsid w:val="00FB2A6B"/>
    <w:rsid w:val="00FB53F7"/>
    <w:rsid w:val="00FB58B9"/>
    <w:rsid w:val="00FB58D9"/>
    <w:rsid w:val="00FB6808"/>
    <w:rsid w:val="00FB6A26"/>
    <w:rsid w:val="00FB7353"/>
    <w:rsid w:val="00FB7C6E"/>
    <w:rsid w:val="00FC1139"/>
    <w:rsid w:val="00FC1E69"/>
    <w:rsid w:val="00FC24B4"/>
    <w:rsid w:val="00FC3FA2"/>
    <w:rsid w:val="00FC43E5"/>
    <w:rsid w:val="00FC48E4"/>
    <w:rsid w:val="00FC5560"/>
    <w:rsid w:val="00FC5B1C"/>
    <w:rsid w:val="00FC63B8"/>
    <w:rsid w:val="00FC7063"/>
    <w:rsid w:val="00FC7849"/>
    <w:rsid w:val="00FD010A"/>
    <w:rsid w:val="00FD1615"/>
    <w:rsid w:val="00FD1B54"/>
    <w:rsid w:val="00FD4793"/>
    <w:rsid w:val="00FE0087"/>
    <w:rsid w:val="00FE123C"/>
    <w:rsid w:val="00FE34DE"/>
    <w:rsid w:val="00FE4BBF"/>
    <w:rsid w:val="00FF01F8"/>
    <w:rsid w:val="00FF026B"/>
    <w:rsid w:val="00FF2936"/>
    <w:rsid w:val="00FF29A9"/>
    <w:rsid w:val="00FF33E9"/>
    <w:rsid w:val="00FF7DA2"/>
    <w:rsid w:val="00FF7E1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7A68A0F-F6FB-48EF-AEA2-F2AACAA7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8C"/>
    <w:pPr>
      <w:spacing w:before="120"/>
    </w:pPr>
    <w:rPr>
      <w:sz w:val="24"/>
      <w:lang w:val="en-GB"/>
    </w:rPr>
  </w:style>
  <w:style w:type="paragraph" w:styleId="Heading1">
    <w:name w:val="heading 1"/>
    <w:basedOn w:val="Normal"/>
    <w:next w:val="Normal"/>
    <w:link w:val="Heading1Char"/>
    <w:qFormat/>
    <w:rsid w:val="00FD4793"/>
    <w:pPr>
      <w:keepNext/>
      <w:suppressAutoHyphens/>
      <w:jc w:val="center"/>
      <w:outlineLvl w:val="0"/>
    </w:pPr>
    <w:rPr>
      <w:b/>
      <w:smallCaps/>
      <w:kern w:val="28"/>
      <w:sz w:val="28"/>
    </w:rPr>
  </w:style>
  <w:style w:type="paragraph" w:styleId="Heading2">
    <w:name w:val="heading 2"/>
    <w:basedOn w:val="Normal"/>
    <w:next w:val="Normal"/>
    <w:link w:val="Heading2Char"/>
    <w:uiPriority w:val="1"/>
    <w:qFormat/>
    <w:rsid w:val="008829AF"/>
    <w:pPr>
      <w:keepNext/>
      <w:keepLines/>
      <w:suppressAutoHyphens/>
      <w:spacing w:before="240"/>
      <w:outlineLvl w:val="1"/>
    </w:pPr>
    <w:rPr>
      <w:b/>
      <w:sz w:val="22"/>
    </w:rPr>
  </w:style>
  <w:style w:type="paragraph" w:styleId="Heading3">
    <w:name w:val="heading 3"/>
    <w:basedOn w:val="Normal"/>
    <w:next w:val="Normal"/>
    <w:link w:val="Heading3Char"/>
    <w:uiPriority w:val="1"/>
    <w:qFormat/>
    <w:rsid w:val="00FD4793"/>
    <w:pPr>
      <w:keepNext/>
      <w:spacing w:before="240" w:after="60"/>
      <w:outlineLvl w:val="2"/>
    </w:pPr>
    <w:rPr>
      <w:b/>
    </w:rPr>
  </w:style>
  <w:style w:type="paragraph" w:styleId="Heading4">
    <w:name w:val="heading 4"/>
    <w:basedOn w:val="Normal"/>
    <w:next w:val="Normal"/>
    <w:link w:val="Heading4Char"/>
    <w:qFormat/>
    <w:rsid w:val="00FD4793"/>
    <w:pPr>
      <w:keepNext/>
      <w:spacing w:before="240" w:after="60"/>
      <w:outlineLvl w:val="3"/>
    </w:pPr>
    <w:rPr>
      <w:b/>
      <w:i/>
    </w:rPr>
  </w:style>
  <w:style w:type="paragraph" w:styleId="Heading5">
    <w:name w:val="heading 5"/>
    <w:basedOn w:val="Normal"/>
    <w:next w:val="Normal"/>
    <w:link w:val="Heading5Char"/>
    <w:qFormat/>
    <w:rsid w:val="00FD4793"/>
    <w:pPr>
      <w:spacing w:before="240" w:after="60"/>
      <w:outlineLvl w:val="4"/>
    </w:pPr>
    <w:rPr>
      <w:rFonts w:ascii="Arial" w:hAnsi="Arial"/>
      <w:sz w:val="22"/>
    </w:rPr>
  </w:style>
  <w:style w:type="paragraph" w:styleId="Heading6">
    <w:name w:val="heading 6"/>
    <w:basedOn w:val="Normal"/>
    <w:next w:val="Normal"/>
    <w:link w:val="Heading6Char"/>
    <w:qFormat/>
    <w:rsid w:val="00FD4793"/>
    <w:pPr>
      <w:spacing w:before="240" w:after="60"/>
      <w:outlineLvl w:val="5"/>
    </w:pPr>
    <w:rPr>
      <w:rFonts w:ascii="Arial" w:hAnsi="Arial"/>
      <w:i/>
      <w:sz w:val="22"/>
    </w:rPr>
  </w:style>
  <w:style w:type="paragraph" w:styleId="Heading7">
    <w:name w:val="heading 7"/>
    <w:basedOn w:val="Normal"/>
    <w:next w:val="Normal"/>
    <w:link w:val="Heading7Char"/>
    <w:qFormat/>
    <w:rsid w:val="00FD4793"/>
    <w:pPr>
      <w:spacing w:before="240" w:after="60"/>
      <w:outlineLvl w:val="6"/>
    </w:pPr>
    <w:rPr>
      <w:rFonts w:ascii="Arial" w:hAnsi="Arial"/>
    </w:rPr>
  </w:style>
  <w:style w:type="paragraph" w:styleId="Heading8">
    <w:name w:val="heading 8"/>
    <w:basedOn w:val="Normal"/>
    <w:next w:val="Normal"/>
    <w:link w:val="Heading8Char"/>
    <w:qFormat/>
    <w:rsid w:val="00FD4793"/>
    <w:pPr>
      <w:spacing w:before="240" w:after="60"/>
      <w:outlineLvl w:val="7"/>
    </w:pPr>
    <w:rPr>
      <w:rFonts w:ascii="Arial" w:hAnsi="Arial"/>
      <w:i/>
    </w:rPr>
  </w:style>
  <w:style w:type="paragraph" w:styleId="Heading9">
    <w:name w:val="heading 9"/>
    <w:basedOn w:val="Normal"/>
    <w:next w:val="Normal"/>
    <w:link w:val="Heading9Char"/>
    <w:qFormat/>
    <w:rsid w:val="00FD479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FD4793"/>
    <w:pPr>
      <w:tabs>
        <w:tab w:val="right" w:leader="dot" w:pos="3931"/>
      </w:tabs>
      <w:spacing w:after="120"/>
    </w:pPr>
    <w:rPr>
      <w:b/>
    </w:rPr>
  </w:style>
  <w:style w:type="paragraph" w:styleId="TOC2">
    <w:name w:val="toc 2"/>
    <w:basedOn w:val="Normal"/>
    <w:next w:val="Normal"/>
    <w:uiPriority w:val="39"/>
    <w:rsid w:val="00FD4793"/>
    <w:pPr>
      <w:tabs>
        <w:tab w:val="right" w:leader="dot" w:pos="3931"/>
      </w:tabs>
      <w:spacing w:before="0"/>
      <w:ind w:left="360"/>
    </w:pPr>
  </w:style>
  <w:style w:type="paragraph" w:styleId="TOC3">
    <w:name w:val="toc 3"/>
    <w:basedOn w:val="Normal"/>
    <w:next w:val="Normal"/>
    <w:uiPriority w:val="39"/>
    <w:rsid w:val="00FD4793"/>
    <w:pPr>
      <w:tabs>
        <w:tab w:val="right" w:leader="dot" w:pos="3931"/>
      </w:tabs>
      <w:spacing w:before="0"/>
      <w:ind w:left="200"/>
    </w:pPr>
    <w:rPr>
      <w:i/>
    </w:rPr>
  </w:style>
  <w:style w:type="paragraph" w:styleId="TOC4">
    <w:name w:val="toc 4"/>
    <w:basedOn w:val="Normal"/>
    <w:next w:val="Normal"/>
    <w:rsid w:val="00FD4793"/>
    <w:pPr>
      <w:tabs>
        <w:tab w:val="right" w:leader="dot" w:pos="3931"/>
      </w:tabs>
      <w:spacing w:before="0"/>
      <w:ind w:left="400"/>
    </w:pPr>
    <w:rPr>
      <w:sz w:val="18"/>
    </w:rPr>
  </w:style>
  <w:style w:type="paragraph" w:styleId="TOC5">
    <w:name w:val="toc 5"/>
    <w:basedOn w:val="Normal"/>
    <w:next w:val="Normal"/>
    <w:rsid w:val="00FD4793"/>
    <w:pPr>
      <w:tabs>
        <w:tab w:val="right" w:leader="dot" w:pos="3931"/>
      </w:tabs>
      <w:spacing w:before="0"/>
      <w:ind w:left="600"/>
    </w:pPr>
    <w:rPr>
      <w:sz w:val="18"/>
    </w:rPr>
  </w:style>
  <w:style w:type="paragraph" w:styleId="TOC6">
    <w:name w:val="toc 6"/>
    <w:basedOn w:val="Normal"/>
    <w:next w:val="Normal"/>
    <w:rsid w:val="00FD4793"/>
    <w:pPr>
      <w:tabs>
        <w:tab w:val="right" w:leader="dot" w:pos="3931"/>
      </w:tabs>
      <w:spacing w:before="0"/>
      <w:ind w:left="800"/>
    </w:pPr>
    <w:rPr>
      <w:sz w:val="18"/>
    </w:rPr>
  </w:style>
  <w:style w:type="paragraph" w:styleId="TOC7">
    <w:name w:val="toc 7"/>
    <w:basedOn w:val="Normal"/>
    <w:next w:val="Normal"/>
    <w:rsid w:val="00FD4793"/>
    <w:pPr>
      <w:tabs>
        <w:tab w:val="right" w:leader="dot" w:pos="3931"/>
      </w:tabs>
      <w:spacing w:before="0"/>
      <w:ind w:left="1000"/>
    </w:pPr>
    <w:rPr>
      <w:sz w:val="18"/>
    </w:rPr>
  </w:style>
  <w:style w:type="paragraph" w:styleId="TOC8">
    <w:name w:val="toc 8"/>
    <w:basedOn w:val="Normal"/>
    <w:next w:val="Normal"/>
    <w:rsid w:val="00FD4793"/>
    <w:pPr>
      <w:tabs>
        <w:tab w:val="right" w:leader="dot" w:pos="3931"/>
      </w:tabs>
      <w:spacing w:before="0"/>
      <w:ind w:left="1200"/>
    </w:pPr>
    <w:rPr>
      <w:sz w:val="18"/>
    </w:rPr>
  </w:style>
  <w:style w:type="paragraph" w:styleId="TOC9">
    <w:name w:val="toc 9"/>
    <w:basedOn w:val="Normal"/>
    <w:next w:val="Normal"/>
    <w:rsid w:val="00FD4793"/>
    <w:pPr>
      <w:tabs>
        <w:tab w:val="right" w:leader="dot" w:pos="3931"/>
      </w:tabs>
      <w:spacing w:before="0"/>
      <w:ind w:left="1400"/>
    </w:pPr>
    <w:rPr>
      <w:sz w:val="18"/>
    </w:rPr>
  </w:style>
  <w:style w:type="paragraph" w:styleId="Index1">
    <w:name w:val="index 1"/>
    <w:basedOn w:val="Normal"/>
    <w:next w:val="Normal"/>
    <w:rsid w:val="00FD4793"/>
    <w:pPr>
      <w:tabs>
        <w:tab w:val="left" w:leader="dot" w:pos="9000"/>
        <w:tab w:val="right" w:pos="9360"/>
      </w:tabs>
      <w:suppressAutoHyphens/>
      <w:ind w:left="1440" w:right="720" w:hanging="1440"/>
    </w:pPr>
  </w:style>
  <w:style w:type="paragraph" w:styleId="Index2">
    <w:name w:val="index 2"/>
    <w:basedOn w:val="Normal"/>
    <w:next w:val="Normal"/>
    <w:rsid w:val="00FD4793"/>
    <w:pPr>
      <w:tabs>
        <w:tab w:val="left" w:leader="dot" w:pos="9000"/>
        <w:tab w:val="right" w:pos="9360"/>
      </w:tabs>
      <w:suppressAutoHyphens/>
      <w:ind w:left="1440" w:right="720" w:hanging="720"/>
    </w:pPr>
  </w:style>
  <w:style w:type="paragraph" w:styleId="TOAHeading">
    <w:name w:val="toa heading"/>
    <w:basedOn w:val="Normal"/>
    <w:next w:val="Normal"/>
    <w:rsid w:val="00FD4793"/>
    <w:pPr>
      <w:tabs>
        <w:tab w:val="left" w:pos="9000"/>
        <w:tab w:val="right" w:pos="9360"/>
      </w:tabs>
      <w:suppressAutoHyphens/>
    </w:pPr>
  </w:style>
  <w:style w:type="paragraph" w:styleId="Caption">
    <w:name w:val="caption"/>
    <w:basedOn w:val="Normal"/>
    <w:next w:val="Normal"/>
    <w:qFormat/>
    <w:rsid w:val="00FD4793"/>
  </w:style>
  <w:style w:type="character" w:customStyle="1" w:styleId="EquationCaption">
    <w:name w:val="_Equation Caption"/>
    <w:rsid w:val="00FD4793"/>
  </w:style>
  <w:style w:type="paragraph" w:styleId="Header">
    <w:name w:val="header"/>
    <w:basedOn w:val="Normal"/>
    <w:link w:val="HeaderChar"/>
    <w:uiPriority w:val="99"/>
    <w:rsid w:val="00FD4793"/>
    <w:pPr>
      <w:tabs>
        <w:tab w:val="center" w:pos="4320"/>
        <w:tab w:val="right" w:pos="8640"/>
      </w:tabs>
    </w:pPr>
  </w:style>
  <w:style w:type="paragraph" w:styleId="Footer">
    <w:name w:val="footer"/>
    <w:basedOn w:val="Normal"/>
    <w:link w:val="FooterChar"/>
    <w:uiPriority w:val="99"/>
    <w:rsid w:val="00FD4793"/>
    <w:pPr>
      <w:tabs>
        <w:tab w:val="center" w:pos="4320"/>
        <w:tab w:val="right" w:pos="8640"/>
      </w:tabs>
    </w:pPr>
  </w:style>
  <w:style w:type="character" w:styleId="PageNumber">
    <w:name w:val="page number"/>
    <w:basedOn w:val="DefaultParagraphFont"/>
    <w:rsid w:val="00FD4793"/>
  </w:style>
  <w:style w:type="paragraph" w:styleId="FootnoteText">
    <w:name w:val="footnote text"/>
    <w:link w:val="FootnoteTextChar"/>
    <w:rsid w:val="00FD4793"/>
    <w:rPr>
      <w:noProof/>
      <w:sz w:val="16"/>
    </w:rPr>
  </w:style>
  <w:style w:type="character" w:styleId="FootnoteReference">
    <w:name w:val="footnote reference"/>
    <w:basedOn w:val="DefaultParagraphFont"/>
    <w:rsid w:val="00DC14E7"/>
    <w:rPr>
      <w:sz w:val="22"/>
      <w:szCs w:val="22"/>
      <w:vertAlign w:val="superscript"/>
    </w:rPr>
  </w:style>
  <w:style w:type="paragraph" w:styleId="BodyText">
    <w:name w:val="Body Text"/>
    <w:basedOn w:val="Normal"/>
    <w:link w:val="BodyTextChar"/>
    <w:rsid w:val="00FD4793"/>
    <w:pPr>
      <w:spacing w:before="0"/>
    </w:pPr>
  </w:style>
  <w:style w:type="paragraph" w:styleId="NormalWeb">
    <w:name w:val="Normal (Web)"/>
    <w:basedOn w:val="Normal"/>
    <w:rsid w:val="00FD4793"/>
    <w:pPr>
      <w:spacing w:before="100" w:beforeAutospacing="1" w:after="100" w:afterAutospacing="1"/>
    </w:pPr>
    <w:rPr>
      <w:rFonts w:ascii="Arial Unicode MS" w:eastAsia="Arial Unicode MS" w:hAnsi="Arial Unicode MS" w:cs="Arial Unicode MS"/>
      <w:szCs w:val="24"/>
    </w:rPr>
  </w:style>
  <w:style w:type="paragraph" w:customStyle="1" w:styleId="TitleMain">
    <w:name w:val="Title: Main"/>
    <w:basedOn w:val="Normal"/>
    <w:rsid w:val="00FD4793"/>
    <w:pPr>
      <w:pBdr>
        <w:top w:val="single" w:sz="6" w:space="1" w:color="auto"/>
        <w:bottom w:val="single" w:sz="6" w:space="1" w:color="auto"/>
        <w:between w:val="single" w:sz="6" w:space="1" w:color="auto"/>
      </w:pBdr>
      <w:suppressAutoHyphens/>
    </w:pPr>
    <w:rPr>
      <w:b/>
      <w:sz w:val="36"/>
    </w:rPr>
  </w:style>
  <w:style w:type="paragraph" w:styleId="BodyTextIndent">
    <w:name w:val="Body Text Indent"/>
    <w:basedOn w:val="Normal"/>
    <w:link w:val="BodyTextIndentChar"/>
    <w:rsid w:val="00FD4793"/>
    <w:pPr>
      <w:spacing w:before="0"/>
      <w:ind w:left="1440"/>
    </w:pPr>
  </w:style>
  <w:style w:type="paragraph" w:styleId="BodyText2">
    <w:name w:val="Body Text 2"/>
    <w:basedOn w:val="Normal"/>
    <w:link w:val="BodyText2Char"/>
    <w:rsid w:val="00FD4793"/>
    <w:pPr>
      <w:autoSpaceDE w:val="0"/>
      <w:autoSpaceDN w:val="0"/>
      <w:adjustRightInd w:val="0"/>
      <w:spacing w:before="0" w:line="240" w:lineRule="atLeast"/>
    </w:pPr>
    <w:rPr>
      <w:color w:val="800080"/>
      <w:sz w:val="16"/>
      <w:szCs w:val="24"/>
    </w:rPr>
  </w:style>
  <w:style w:type="paragraph" w:styleId="BodyTextIndent2">
    <w:name w:val="Body Text Indent 2"/>
    <w:basedOn w:val="Normal"/>
    <w:link w:val="BodyTextIndent2Char"/>
    <w:rsid w:val="00FD4793"/>
    <w:pPr>
      <w:ind w:left="540" w:hanging="540"/>
    </w:pPr>
    <w:rPr>
      <w:color w:val="FF0000"/>
      <w:sz w:val="18"/>
      <w:szCs w:val="18"/>
    </w:rPr>
  </w:style>
  <w:style w:type="paragraph" w:styleId="BodyTextIndent3">
    <w:name w:val="Body Text Indent 3"/>
    <w:basedOn w:val="Normal"/>
    <w:link w:val="BodyTextIndent3Char"/>
    <w:rsid w:val="00FD4793"/>
    <w:pPr>
      <w:ind w:left="540" w:hanging="540"/>
    </w:pPr>
  </w:style>
  <w:style w:type="character" w:styleId="Hyperlink">
    <w:name w:val="Hyperlink"/>
    <w:basedOn w:val="DefaultParagraphFont"/>
    <w:uiPriority w:val="99"/>
    <w:rsid w:val="00FD4793"/>
    <w:rPr>
      <w:color w:val="0000FF"/>
      <w:u w:val="single"/>
    </w:rPr>
  </w:style>
  <w:style w:type="paragraph" w:styleId="BalloonText">
    <w:name w:val="Balloon Text"/>
    <w:basedOn w:val="Normal"/>
    <w:link w:val="BalloonTextChar"/>
    <w:rsid w:val="001134B3"/>
    <w:rPr>
      <w:rFonts w:ascii="Tahoma" w:hAnsi="Tahoma"/>
      <w:sz w:val="16"/>
      <w:szCs w:val="16"/>
    </w:rPr>
  </w:style>
  <w:style w:type="character" w:customStyle="1" w:styleId="FootnoteTextChar">
    <w:name w:val="Footnote Text Char"/>
    <w:basedOn w:val="DefaultParagraphFont"/>
    <w:link w:val="FootnoteText"/>
    <w:rsid w:val="00625044"/>
    <w:rPr>
      <w:noProof/>
      <w:sz w:val="16"/>
      <w:lang w:val="en-US" w:eastAsia="en-US" w:bidi="ar-SA"/>
    </w:rPr>
  </w:style>
  <w:style w:type="character" w:styleId="CommentReference">
    <w:name w:val="annotation reference"/>
    <w:basedOn w:val="DefaultParagraphFont"/>
    <w:uiPriority w:val="99"/>
    <w:rsid w:val="00B560A0"/>
    <w:rPr>
      <w:sz w:val="16"/>
      <w:szCs w:val="16"/>
    </w:rPr>
  </w:style>
  <w:style w:type="paragraph" w:styleId="CommentText">
    <w:name w:val="annotation text"/>
    <w:basedOn w:val="Normal"/>
    <w:link w:val="CommentTextChar"/>
    <w:uiPriority w:val="99"/>
    <w:rsid w:val="00B560A0"/>
    <w:rPr>
      <w:sz w:val="20"/>
    </w:rPr>
  </w:style>
  <w:style w:type="character" w:customStyle="1" w:styleId="CommentTextChar">
    <w:name w:val="Comment Text Char"/>
    <w:basedOn w:val="DefaultParagraphFont"/>
    <w:link w:val="CommentText"/>
    <w:uiPriority w:val="99"/>
    <w:rsid w:val="00B560A0"/>
  </w:style>
  <w:style w:type="paragraph" w:styleId="ListParagraph">
    <w:name w:val="List Paragraph"/>
    <w:basedOn w:val="Normal"/>
    <w:uiPriority w:val="34"/>
    <w:qFormat/>
    <w:rsid w:val="007F1BC2"/>
    <w:pPr>
      <w:ind w:left="720"/>
      <w:contextualSpacing/>
    </w:pPr>
    <w:rPr>
      <w:szCs w:val="24"/>
    </w:rPr>
  </w:style>
  <w:style w:type="paragraph" w:customStyle="1" w:styleId="Head2">
    <w:name w:val="Head2"/>
    <w:basedOn w:val="Normal"/>
    <w:rsid w:val="000214E3"/>
    <w:pPr>
      <w:keepNext/>
      <w:suppressAutoHyphens/>
      <w:spacing w:before="100" w:after="100"/>
    </w:pPr>
    <w:rPr>
      <w:rFonts w:ascii="Times New Roman Bold" w:hAnsi="Times New Roman Bold"/>
      <w:b/>
    </w:rPr>
  </w:style>
  <w:style w:type="table" w:styleId="TableGrid">
    <w:name w:val="Table Grid"/>
    <w:basedOn w:val="TableNormal"/>
    <w:uiPriority w:val="39"/>
    <w:rsid w:val="005E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A486C"/>
    <w:rPr>
      <w:b/>
      <w:bCs/>
    </w:rPr>
  </w:style>
  <w:style w:type="character" w:customStyle="1" w:styleId="CommentSubjectChar">
    <w:name w:val="Comment Subject Char"/>
    <w:basedOn w:val="CommentTextChar"/>
    <w:link w:val="CommentSubject"/>
    <w:rsid w:val="000A486C"/>
    <w:rPr>
      <w:b/>
      <w:bCs/>
    </w:rPr>
  </w:style>
  <w:style w:type="character" w:customStyle="1" w:styleId="ssens">
    <w:name w:val="ssens"/>
    <w:basedOn w:val="DefaultParagraphFont"/>
    <w:rsid w:val="000A486C"/>
  </w:style>
  <w:style w:type="character" w:customStyle="1" w:styleId="url2">
    <w:name w:val="url2"/>
    <w:basedOn w:val="DefaultParagraphFont"/>
    <w:rsid w:val="00090DEF"/>
    <w:rPr>
      <w:color w:val="418000"/>
      <w:sz w:val="26"/>
      <w:szCs w:val="26"/>
    </w:rPr>
  </w:style>
  <w:style w:type="paragraph" w:styleId="TOCHeading">
    <w:name w:val="TOC Heading"/>
    <w:basedOn w:val="Heading1"/>
    <w:next w:val="Normal"/>
    <w:uiPriority w:val="39"/>
    <w:unhideWhenUsed/>
    <w:qFormat/>
    <w:rsid w:val="0083699C"/>
    <w:pPr>
      <w:keepLines/>
      <w:suppressAutoHyphens w:val="0"/>
      <w:spacing w:before="480" w:line="276" w:lineRule="auto"/>
      <w:jc w:val="left"/>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HeaderChar">
    <w:name w:val="Header Char"/>
    <w:basedOn w:val="DefaultParagraphFont"/>
    <w:link w:val="Header"/>
    <w:uiPriority w:val="99"/>
    <w:rsid w:val="00601AAB"/>
    <w:rPr>
      <w:sz w:val="24"/>
    </w:rPr>
  </w:style>
  <w:style w:type="paragraph" w:styleId="PlainText">
    <w:name w:val="Plain Text"/>
    <w:basedOn w:val="Normal"/>
    <w:link w:val="PlainTextChar"/>
    <w:uiPriority w:val="99"/>
    <w:unhideWhenUsed/>
    <w:rsid w:val="00E73CAF"/>
    <w:pPr>
      <w:spacing w:befor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73CAF"/>
    <w:rPr>
      <w:rFonts w:ascii="Consolas" w:eastAsiaTheme="minorHAnsi" w:hAnsi="Consolas" w:cstheme="minorBidi"/>
      <w:sz w:val="21"/>
      <w:szCs w:val="21"/>
    </w:rPr>
  </w:style>
  <w:style w:type="character" w:customStyle="1" w:styleId="Heading1Char">
    <w:name w:val="Heading 1 Char"/>
    <w:basedOn w:val="DefaultParagraphFont"/>
    <w:link w:val="Heading1"/>
    <w:rsid w:val="00AF5313"/>
    <w:rPr>
      <w:b/>
      <w:smallCaps/>
      <w:kern w:val="28"/>
      <w:sz w:val="28"/>
    </w:rPr>
  </w:style>
  <w:style w:type="character" w:customStyle="1" w:styleId="Heading2Char">
    <w:name w:val="Heading 2 Char"/>
    <w:basedOn w:val="DefaultParagraphFont"/>
    <w:link w:val="Heading2"/>
    <w:uiPriority w:val="1"/>
    <w:rsid w:val="00AF5313"/>
    <w:rPr>
      <w:b/>
      <w:sz w:val="22"/>
    </w:rPr>
  </w:style>
  <w:style w:type="character" w:customStyle="1" w:styleId="Heading3Char">
    <w:name w:val="Heading 3 Char"/>
    <w:basedOn w:val="DefaultParagraphFont"/>
    <w:link w:val="Heading3"/>
    <w:uiPriority w:val="1"/>
    <w:rsid w:val="00AF5313"/>
    <w:rPr>
      <w:b/>
      <w:sz w:val="24"/>
    </w:rPr>
  </w:style>
  <w:style w:type="character" w:customStyle="1" w:styleId="Heading4Char">
    <w:name w:val="Heading 4 Char"/>
    <w:basedOn w:val="DefaultParagraphFont"/>
    <w:link w:val="Heading4"/>
    <w:rsid w:val="00AF5313"/>
    <w:rPr>
      <w:b/>
      <w:i/>
      <w:sz w:val="24"/>
    </w:rPr>
  </w:style>
  <w:style w:type="character" w:customStyle="1" w:styleId="Heading5Char">
    <w:name w:val="Heading 5 Char"/>
    <w:basedOn w:val="DefaultParagraphFont"/>
    <w:link w:val="Heading5"/>
    <w:rsid w:val="00AF5313"/>
    <w:rPr>
      <w:rFonts w:ascii="Arial" w:hAnsi="Arial"/>
      <w:sz w:val="22"/>
    </w:rPr>
  </w:style>
  <w:style w:type="character" w:customStyle="1" w:styleId="Heading6Char">
    <w:name w:val="Heading 6 Char"/>
    <w:basedOn w:val="DefaultParagraphFont"/>
    <w:link w:val="Heading6"/>
    <w:rsid w:val="00AF5313"/>
    <w:rPr>
      <w:rFonts w:ascii="Arial" w:hAnsi="Arial"/>
      <w:i/>
      <w:sz w:val="22"/>
    </w:rPr>
  </w:style>
  <w:style w:type="character" w:customStyle="1" w:styleId="Heading7Char">
    <w:name w:val="Heading 7 Char"/>
    <w:basedOn w:val="DefaultParagraphFont"/>
    <w:link w:val="Heading7"/>
    <w:rsid w:val="00AF5313"/>
    <w:rPr>
      <w:rFonts w:ascii="Arial" w:hAnsi="Arial"/>
      <w:sz w:val="24"/>
    </w:rPr>
  </w:style>
  <w:style w:type="character" w:customStyle="1" w:styleId="Heading8Char">
    <w:name w:val="Heading 8 Char"/>
    <w:basedOn w:val="DefaultParagraphFont"/>
    <w:link w:val="Heading8"/>
    <w:rsid w:val="00AF5313"/>
    <w:rPr>
      <w:rFonts w:ascii="Arial" w:hAnsi="Arial"/>
      <w:i/>
      <w:sz w:val="24"/>
    </w:rPr>
  </w:style>
  <w:style w:type="character" w:customStyle="1" w:styleId="Heading9Char">
    <w:name w:val="Heading 9 Char"/>
    <w:basedOn w:val="DefaultParagraphFont"/>
    <w:link w:val="Heading9"/>
    <w:rsid w:val="00AF5313"/>
    <w:rPr>
      <w:rFonts w:ascii="Arial" w:hAnsi="Arial"/>
      <w:i/>
      <w:sz w:val="18"/>
    </w:rPr>
  </w:style>
  <w:style w:type="character" w:customStyle="1" w:styleId="FooterChar">
    <w:name w:val="Footer Char"/>
    <w:basedOn w:val="DefaultParagraphFont"/>
    <w:link w:val="Footer"/>
    <w:uiPriority w:val="99"/>
    <w:rsid w:val="00AF5313"/>
    <w:rPr>
      <w:sz w:val="24"/>
    </w:rPr>
  </w:style>
  <w:style w:type="character" w:customStyle="1" w:styleId="BodyTextChar">
    <w:name w:val="Body Text Char"/>
    <w:basedOn w:val="DefaultParagraphFont"/>
    <w:link w:val="BodyText"/>
    <w:rsid w:val="00AF5313"/>
    <w:rPr>
      <w:sz w:val="24"/>
    </w:rPr>
  </w:style>
  <w:style w:type="character" w:customStyle="1" w:styleId="BodyTextIndentChar">
    <w:name w:val="Body Text Indent Char"/>
    <w:basedOn w:val="DefaultParagraphFont"/>
    <w:link w:val="BodyTextIndent"/>
    <w:rsid w:val="00AF5313"/>
    <w:rPr>
      <w:sz w:val="24"/>
    </w:rPr>
  </w:style>
  <w:style w:type="character" w:customStyle="1" w:styleId="BodyText2Char">
    <w:name w:val="Body Text 2 Char"/>
    <w:basedOn w:val="DefaultParagraphFont"/>
    <w:link w:val="BodyText2"/>
    <w:rsid w:val="00AF5313"/>
    <w:rPr>
      <w:color w:val="800080"/>
      <w:sz w:val="16"/>
      <w:szCs w:val="24"/>
    </w:rPr>
  </w:style>
  <w:style w:type="character" w:customStyle="1" w:styleId="BodyTextIndent2Char">
    <w:name w:val="Body Text Indent 2 Char"/>
    <w:basedOn w:val="DefaultParagraphFont"/>
    <w:link w:val="BodyTextIndent2"/>
    <w:rsid w:val="00AF5313"/>
    <w:rPr>
      <w:color w:val="FF0000"/>
      <w:sz w:val="18"/>
      <w:szCs w:val="18"/>
    </w:rPr>
  </w:style>
  <w:style w:type="character" w:customStyle="1" w:styleId="BodyTextIndent3Char">
    <w:name w:val="Body Text Indent 3 Char"/>
    <w:basedOn w:val="DefaultParagraphFont"/>
    <w:link w:val="BodyTextIndent3"/>
    <w:rsid w:val="00AF5313"/>
    <w:rPr>
      <w:sz w:val="24"/>
    </w:rPr>
  </w:style>
  <w:style w:type="character" w:customStyle="1" w:styleId="BalloonTextChar">
    <w:name w:val="Balloon Text Char"/>
    <w:basedOn w:val="DefaultParagraphFont"/>
    <w:link w:val="BalloonText"/>
    <w:rsid w:val="00AF5313"/>
    <w:rPr>
      <w:rFonts w:ascii="Tahoma" w:hAnsi="Tahoma"/>
      <w:sz w:val="16"/>
      <w:szCs w:val="16"/>
    </w:rPr>
  </w:style>
  <w:style w:type="character" w:styleId="FollowedHyperlink">
    <w:name w:val="FollowedHyperlink"/>
    <w:basedOn w:val="DefaultParagraphFont"/>
    <w:semiHidden/>
    <w:unhideWhenUsed/>
    <w:rsid w:val="00980E77"/>
    <w:rPr>
      <w:color w:val="800080" w:themeColor="followedHyperlink"/>
      <w:u w:val="single"/>
    </w:rPr>
  </w:style>
  <w:style w:type="paragraph" w:customStyle="1" w:styleId="Default">
    <w:name w:val="Default"/>
    <w:rsid w:val="00287AB3"/>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043211"/>
  </w:style>
  <w:style w:type="paragraph" w:styleId="Revision">
    <w:name w:val="Revision"/>
    <w:hidden/>
    <w:uiPriority w:val="99"/>
    <w:semiHidden/>
    <w:rsid w:val="00AB0652"/>
    <w:rPr>
      <w:sz w:val="24"/>
      <w:lang w:val="en-GB"/>
    </w:rPr>
  </w:style>
  <w:style w:type="character" w:customStyle="1" w:styleId="user-name">
    <w:name w:val="user-name"/>
    <w:basedOn w:val="DefaultParagraphFont"/>
    <w:rsid w:val="00AA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4C76-7174-4EA9-A221-7428DEC3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DRAFT</vt:lpstr>
    </vt:vector>
  </TitlesOfParts>
  <Company>The World Bank Group</Company>
  <LinksUpToDate>false</LinksUpToDate>
  <CharactersWithSpaces>18577</CharactersWithSpaces>
  <SharedDoc>false</SharedDoc>
  <HLinks>
    <vt:vector size="396" baseType="variant">
      <vt:variant>
        <vt:i4>1048624</vt:i4>
      </vt:variant>
      <vt:variant>
        <vt:i4>386</vt:i4>
      </vt:variant>
      <vt:variant>
        <vt:i4>0</vt:i4>
      </vt:variant>
      <vt:variant>
        <vt:i4>5</vt:i4>
      </vt:variant>
      <vt:variant>
        <vt:lpwstr/>
      </vt:variant>
      <vt:variant>
        <vt:lpwstr>_Toc62453515</vt:lpwstr>
      </vt:variant>
      <vt:variant>
        <vt:i4>1114160</vt:i4>
      </vt:variant>
      <vt:variant>
        <vt:i4>378</vt:i4>
      </vt:variant>
      <vt:variant>
        <vt:i4>0</vt:i4>
      </vt:variant>
      <vt:variant>
        <vt:i4>5</vt:i4>
      </vt:variant>
      <vt:variant>
        <vt:lpwstr/>
      </vt:variant>
      <vt:variant>
        <vt:lpwstr>_Toc62453514</vt:lpwstr>
      </vt:variant>
      <vt:variant>
        <vt:i4>1441840</vt:i4>
      </vt:variant>
      <vt:variant>
        <vt:i4>370</vt:i4>
      </vt:variant>
      <vt:variant>
        <vt:i4>0</vt:i4>
      </vt:variant>
      <vt:variant>
        <vt:i4>5</vt:i4>
      </vt:variant>
      <vt:variant>
        <vt:lpwstr/>
      </vt:variant>
      <vt:variant>
        <vt:lpwstr>_Toc62453513</vt:lpwstr>
      </vt:variant>
      <vt:variant>
        <vt:i4>1507376</vt:i4>
      </vt:variant>
      <vt:variant>
        <vt:i4>362</vt:i4>
      </vt:variant>
      <vt:variant>
        <vt:i4>0</vt:i4>
      </vt:variant>
      <vt:variant>
        <vt:i4>5</vt:i4>
      </vt:variant>
      <vt:variant>
        <vt:lpwstr/>
      </vt:variant>
      <vt:variant>
        <vt:lpwstr>_Toc62453512</vt:lpwstr>
      </vt:variant>
      <vt:variant>
        <vt:i4>1310768</vt:i4>
      </vt:variant>
      <vt:variant>
        <vt:i4>356</vt:i4>
      </vt:variant>
      <vt:variant>
        <vt:i4>0</vt:i4>
      </vt:variant>
      <vt:variant>
        <vt:i4>5</vt:i4>
      </vt:variant>
      <vt:variant>
        <vt:lpwstr/>
      </vt:variant>
      <vt:variant>
        <vt:lpwstr>_Toc62453511</vt:lpwstr>
      </vt:variant>
      <vt:variant>
        <vt:i4>1376304</vt:i4>
      </vt:variant>
      <vt:variant>
        <vt:i4>348</vt:i4>
      </vt:variant>
      <vt:variant>
        <vt:i4>0</vt:i4>
      </vt:variant>
      <vt:variant>
        <vt:i4>5</vt:i4>
      </vt:variant>
      <vt:variant>
        <vt:lpwstr/>
      </vt:variant>
      <vt:variant>
        <vt:lpwstr>_Toc62453510</vt:lpwstr>
      </vt:variant>
      <vt:variant>
        <vt:i4>1835057</vt:i4>
      </vt:variant>
      <vt:variant>
        <vt:i4>340</vt:i4>
      </vt:variant>
      <vt:variant>
        <vt:i4>0</vt:i4>
      </vt:variant>
      <vt:variant>
        <vt:i4>5</vt:i4>
      </vt:variant>
      <vt:variant>
        <vt:lpwstr/>
      </vt:variant>
      <vt:variant>
        <vt:lpwstr>_Toc62453509</vt:lpwstr>
      </vt:variant>
      <vt:variant>
        <vt:i4>1900593</vt:i4>
      </vt:variant>
      <vt:variant>
        <vt:i4>332</vt:i4>
      </vt:variant>
      <vt:variant>
        <vt:i4>0</vt:i4>
      </vt:variant>
      <vt:variant>
        <vt:i4>5</vt:i4>
      </vt:variant>
      <vt:variant>
        <vt:lpwstr/>
      </vt:variant>
      <vt:variant>
        <vt:lpwstr>_Toc62453508</vt:lpwstr>
      </vt:variant>
      <vt:variant>
        <vt:i4>1179697</vt:i4>
      </vt:variant>
      <vt:variant>
        <vt:i4>326</vt:i4>
      </vt:variant>
      <vt:variant>
        <vt:i4>0</vt:i4>
      </vt:variant>
      <vt:variant>
        <vt:i4>5</vt:i4>
      </vt:variant>
      <vt:variant>
        <vt:lpwstr/>
      </vt:variant>
      <vt:variant>
        <vt:lpwstr>_Toc62453507</vt:lpwstr>
      </vt:variant>
      <vt:variant>
        <vt:i4>1245233</vt:i4>
      </vt:variant>
      <vt:variant>
        <vt:i4>320</vt:i4>
      </vt:variant>
      <vt:variant>
        <vt:i4>0</vt:i4>
      </vt:variant>
      <vt:variant>
        <vt:i4>5</vt:i4>
      </vt:variant>
      <vt:variant>
        <vt:lpwstr/>
      </vt:variant>
      <vt:variant>
        <vt:lpwstr>_Toc62453506</vt:lpwstr>
      </vt:variant>
      <vt:variant>
        <vt:i4>1114161</vt:i4>
      </vt:variant>
      <vt:variant>
        <vt:i4>314</vt:i4>
      </vt:variant>
      <vt:variant>
        <vt:i4>0</vt:i4>
      </vt:variant>
      <vt:variant>
        <vt:i4>5</vt:i4>
      </vt:variant>
      <vt:variant>
        <vt:lpwstr/>
      </vt:variant>
      <vt:variant>
        <vt:lpwstr>_Toc62453504</vt:lpwstr>
      </vt:variant>
      <vt:variant>
        <vt:i4>1507377</vt:i4>
      </vt:variant>
      <vt:variant>
        <vt:i4>308</vt:i4>
      </vt:variant>
      <vt:variant>
        <vt:i4>0</vt:i4>
      </vt:variant>
      <vt:variant>
        <vt:i4>5</vt:i4>
      </vt:variant>
      <vt:variant>
        <vt:lpwstr/>
      </vt:variant>
      <vt:variant>
        <vt:lpwstr>_Toc62453502</vt:lpwstr>
      </vt:variant>
      <vt:variant>
        <vt:i4>1310769</vt:i4>
      </vt:variant>
      <vt:variant>
        <vt:i4>302</vt:i4>
      </vt:variant>
      <vt:variant>
        <vt:i4>0</vt:i4>
      </vt:variant>
      <vt:variant>
        <vt:i4>5</vt:i4>
      </vt:variant>
      <vt:variant>
        <vt:lpwstr/>
      </vt:variant>
      <vt:variant>
        <vt:lpwstr>_Toc62453501</vt:lpwstr>
      </vt:variant>
      <vt:variant>
        <vt:i4>1376305</vt:i4>
      </vt:variant>
      <vt:variant>
        <vt:i4>296</vt:i4>
      </vt:variant>
      <vt:variant>
        <vt:i4>0</vt:i4>
      </vt:variant>
      <vt:variant>
        <vt:i4>5</vt:i4>
      </vt:variant>
      <vt:variant>
        <vt:lpwstr/>
      </vt:variant>
      <vt:variant>
        <vt:lpwstr>_Toc62453500</vt:lpwstr>
      </vt:variant>
      <vt:variant>
        <vt:i4>1900600</vt:i4>
      </vt:variant>
      <vt:variant>
        <vt:i4>290</vt:i4>
      </vt:variant>
      <vt:variant>
        <vt:i4>0</vt:i4>
      </vt:variant>
      <vt:variant>
        <vt:i4>5</vt:i4>
      </vt:variant>
      <vt:variant>
        <vt:lpwstr/>
      </vt:variant>
      <vt:variant>
        <vt:lpwstr>_Toc62453499</vt:lpwstr>
      </vt:variant>
      <vt:variant>
        <vt:i4>1835064</vt:i4>
      </vt:variant>
      <vt:variant>
        <vt:i4>284</vt:i4>
      </vt:variant>
      <vt:variant>
        <vt:i4>0</vt:i4>
      </vt:variant>
      <vt:variant>
        <vt:i4>5</vt:i4>
      </vt:variant>
      <vt:variant>
        <vt:lpwstr/>
      </vt:variant>
      <vt:variant>
        <vt:lpwstr>_Toc62453498</vt:lpwstr>
      </vt:variant>
      <vt:variant>
        <vt:i4>1245240</vt:i4>
      </vt:variant>
      <vt:variant>
        <vt:i4>278</vt:i4>
      </vt:variant>
      <vt:variant>
        <vt:i4>0</vt:i4>
      </vt:variant>
      <vt:variant>
        <vt:i4>5</vt:i4>
      </vt:variant>
      <vt:variant>
        <vt:lpwstr/>
      </vt:variant>
      <vt:variant>
        <vt:lpwstr>_Toc62453497</vt:lpwstr>
      </vt:variant>
      <vt:variant>
        <vt:i4>1179704</vt:i4>
      </vt:variant>
      <vt:variant>
        <vt:i4>272</vt:i4>
      </vt:variant>
      <vt:variant>
        <vt:i4>0</vt:i4>
      </vt:variant>
      <vt:variant>
        <vt:i4>5</vt:i4>
      </vt:variant>
      <vt:variant>
        <vt:lpwstr/>
      </vt:variant>
      <vt:variant>
        <vt:lpwstr>_Toc62453496</vt:lpwstr>
      </vt:variant>
      <vt:variant>
        <vt:i4>1114168</vt:i4>
      </vt:variant>
      <vt:variant>
        <vt:i4>266</vt:i4>
      </vt:variant>
      <vt:variant>
        <vt:i4>0</vt:i4>
      </vt:variant>
      <vt:variant>
        <vt:i4>5</vt:i4>
      </vt:variant>
      <vt:variant>
        <vt:lpwstr/>
      </vt:variant>
      <vt:variant>
        <vt:lpwstr>_Toc62453495</vt:lpwstr>
      </vt:variant>
      <vt:variant>
        <vt:i4>1048632</vt:i4>
      </vt:variant>
      <vt:variant>
        <vt:i4>260</vt:i4>
      </vt:variant>
      <vt:variant>
        <vt:i4>0</vt:i4>
      </vt:variant>
      <vt:variant>
        <vt:i4>5</vt:i4>
      </vt:variant>
      <vt:variant>
        <vt:lpwstr/>
      </vt:variant>
      <vt:variant>
        <vt:lpwstr>_Toc62453494</vt:lpwstr>
      </vt:variant>
      <vt:variant>
        <vt:i4>1507384</vt:i4>
      </vt:variant>
      <vt:variant>
        <vt:i4>254</vt:i4>
      </vt:variant>
      <vt:variant>
        <vt:i4>0</vt:i4>
      </vt:variant>
      <vt:variant>
        <vt:i4>5</vt:i4>
      </vt:variant>
      <vt:variant>
        <vt:lpwstr/>
      </vt:variant>
      <vt:variant>
        <vt:lpwstr>_Toc62453493</vt:lpwstr>
      </vt:variant>
      <vt:variant>
        <vt:i4>1441848</vt:i4>
      </vt:variant>
      <vt:variant>
        <vt:i4>248</vt:i4>
      </vt:variant>
      <vt:variant>
        <vt:i4>0</vt:i4>
      </vt:variant>
      <vt:variant>
        <vt:i4>5</vt:i4>
      </vt:variant>
      <vt:variant>
        <vt:lpwstr/>
      </vt:variant>
      <vt:variant>
        <vt:lpwstr>_Toc62453492</vt:lpwstr>
      </vt:variant>
      <vt:variant>
        <vt:i4>1376312</vt:i4>
      </vt:variant>
      <vt:variant>
        <vt:i4>242</vt:i4>
      </vt:variant>
      <vt:variant>
        <vt:i4>0</vt:i4>
      </vt:variant>
      <vt:variant>
        <vt:i4>5</vt:i4>
      </vt:variant>
      <vt:variant>
        <vt:lpwstr/>
      </vt:variant>
      <vt:variant>
        <vt:lpwstr>_Toc62453491</vt:lpwstr>
      </vt:variant>
      <vt:variant>
        <vt:i4>1310776</vt:i4>
      </vt:variant>
      <vt:variant>
        <vt:i4>236</vt:i4>
      </vt:variant>
      <vt:variant>
        <vt:i4>0</vt:i4>
      </vt:variant>
      <vt:variant>
        <vt:i4>5</vt:i4>
      </vt:variant>
      <vt:variant>
        <vt:lpwstr/>
      </vt:variant>
      <vt:variant>
        <vt:lpwstr>_Toc62453490</vt:lpwstr>
      </vt:variant>
      <vt:variant>
        <vt:i4>1900601</vt:i4>
      </vt:variant>
      <vt:variant>
        <vt:i4>230</vt:i4>
      </vt:variant>
      <vt:variant>
        <vt:i4>0</vt:i4>
      </vt:variant>
      <vt:variant>
        <vt:i4>5</vt:i4>
      </vt:variant>
      <vt:variant>
        <vt:lpwstr/>
      </vt:variant>
      <vt:variant>
        <vt:lpwstr>_Toc62453489</vt:lpwstr>
      </vt:variant>
      <vt:variant>
        <vt:i4>1835065</vt:i4>
      </vt:variant>
      <vt:variant>
        <vt:i4>224</vt:i4>
      </vt:variant>
      <vt:variant>
        <vt:i4>0</vt:i4>
      </vt:variant>
      <vt:variant>
        <vt:i4>5</vt:i4>
      </vt:variant>
      <vt:variant>
        <vt:lpwstr/>
      </vt:variant>
      <vt:variant>
        <vt:lpwstr>_Toc62453488</vt:lpwstr>
      </vt:variant>
      <vt:variant>
        <vt:i4>1245241</vt:i4>
      </vt:variant>
      <vt:variant>
        <vt:i4>218</vt:i4>
      </vt:variant>
      <vt:variant>
        <vt:i4>0</vt:i4>
      </vt:variant>
      <vt:variant>
        <vt:i4>5</vt:i4>
      </vt:variant>
      <vt:variant>
        <vt:lpwstr/>
      </vt:variant>
      <vt:variant>
        <vt:lpwstr>_Toc62453487</vt:lpwstr>
      </vt:variant>
      <vt:variant>
        <vt:i4>1179705</vt:i4>
      </vt:variant>
      <vt:variant>
        <vt:i4>212</vt:i4>
      </vt:variant>
      <vt:variant>
        <vt:i4>0</vt:i4>
      </vt:variant>
      <vt:variant>
        <vt:i4>5</vt:i4>
      </vt:variant>
      <vt:variant>
        <vt:lpwstr/>
      </vt:variant>
      <vt:variant>
        <vt:lpwstr>_Toc62453486</vt:lpwstr>
      </vt:variant>
      <vt:variant>
        <vt:i4>1114169</vt:i4>
      </vt:variant>
      <vt:variant>
        <vt:i4>206</vt:i4>
      </vt:variant>
      <vt:variant>
        <vt:i4>0</vt:i4>
      </vt:variant>
      <vt:variant>
        <vt:i4>5</vt:i4>
      </vt:variant>
      <vt:variant>
        <vt:lpwstr/>
      </vt:variant>
      <vt:variant>
        <vt:lpwstr>_Toc62453485</vt:lpwstr>
      </vt:variant>
      <vt:variant>
        <vt:i4>1048633</vt:i4>
      </vt:variant>
      <vt:variant>
        <vt:i4>200</vt:i4>
      </vt:variant>
      <vt:variant>
        <vt:i4>0</vt:i4>
      </vt:variant>
      <vt:variant>
        <vt:i4>5</vt:i4>
      </vt:variant>
      <vt:variant>
        <vt:lpwstr/>
      </vt:variant>
      <vt:variant>
        <vt:lpwstr>_Toc62453484</vt:lpwstr>
      </vt:variant>
      <vt:variant>
        <vt:i4>1507385</vt:i4>
      </vt:variant>
      <vt:variant>
        <vt:i4>194</vt:i4>
      </vt:variant>
      <vt:variant>
        <vt:i4>0</vt:i4>
      </vt:variant>
      <vt:variant>
        <vt:i4>5</vt:i4>
      </vt:variant>
      <vt:variant>
        <vt:lpwstr/>
      </vt:variant>
      <vt:variant>
        <vt:lpwstr>_Toc62453483</vt:lpwstr>
      </vt:variant>
      <vt:variant>
        <vt:i4>1441849</vt:i4>
      </vt:variant>
      <vt:variant>
        <vt:i4>188</vt:i4>
      </vt:variant>
      <vt:variant>
        <vt:i4>0</vt:i4>
      </vt:variant>
      <vt:variant>
        <vt:i4>5</vt:i4>
      </vt:variant>
      <vt:variant>
        <vt:lpwstr/>
      </vt:variant>
      <vt:variant>
        <vt:lpwstr>_Toc62453482</vt:lpwstr>
      </vt:variant>
      <vt:variant>
        <vt:i4>1376313</vt:i4>
      </vt:variant>
      <vt:variant>
        <vt:i4>182</vt:i4>
      </vt:variant>
      <vt:variant>
        <vt:i4>0</vt:i4>
      </vt:variant>
      <vt:variant>
        <vt:i4>5</vt:i4>
      </vt:variant>
      <vt:variant>
        <vt:lpwstr/>
      </vt:variant>
      <vt:variant>
        <vt:lpwstr>_Toc62453481</vt:lpwstr>
      </vt:variant>
      <vt:variant>
        <vt:i4>1310777</vt:i4>
      </vt:variant>
      <vt:variant>
        <vt:i4>176</vt:i4>
      </vt:variant>
      <vt:variant>
        <vt:i4>0</vt:i4>
      </vt:variant>
      <vt:variant>
        <vt:i4>5</vt:i4>
      </vt:variant>
      <vt:variant>
        <vt:lpwstr/>
      </vt:variant>
      <vt:variant>
        <vt:lpwstr>_Toc62453480</vt:lpwstr>
      </vt:variant>
      <vt:variant>
        <vt:i4>1900598</vt:i4>
      </vt:variant>
      <vt:variant>
        <vt:i4>170</vt:i4>
      </vt:variant>
      <vt:variant>
        <vt:i4>0</vt:i4>
      </vt:variant>
      <vt:variant>
        <vt:i4>5</vt:i4>
      </vt:variant>
      <vt:variant>
        <vt:lpwstr/>
      </vt:variant>
      <vt:variant>
        <vt:lpwstr>_Toc62453479</vt:lpwstr>
      </vt:variant>
      <vt:variant>
        <vt:i4>1835062</vt:i4>
      </vt:variant>
      <vt:variant>
        <vt:i4>164</vt:i4>
      </vt:variant>
      <vt:variant>
        <vt:i4>0</vt:i4>
      </vt:variant>
      <vt:variant>
        <vt:i4>5</vt:i4>
      </vt:variant>
      <vt:variant>
        <vt:lpwstr/>
      </vt:variant>
      <vt:variant>
        <vt:lpwstr>_Toc62453478</vt:lpwstr>
      </vt:variant>
      <vt:variant>
        <vt:i4>1245238</vt:i4>
      </vt:variant>
      <vt:variant>
        <vt:i4>158</vt:i4>
      </vt:variant>
      <vt:variant>
        <vt:i4>0</vt:i4>
      </vt:variant>
      <vt:variant>
        <vt:i4>5</vt:i4>
      </vt:variant>
      <vt:variant>
        <vt:lpwstr/>
      </vt:variant>
      <vt:variant>
        <vt:lpwstr>_Toc62453477</vt:lpwstr>
      </vt:variant>
      <vt:variant>
        <vt:i4>1179702</vt:i4>
      </vt:variant>
      <vt:variant>
        <vt:i4>152</vt:i4>
      </vt:variant>
      <vt:variant>
        <vt:i4>0</vt:i4>
      </vt:variant>
      <vt:variant>
        <vt:i4>5</vt:i4>
      </vt:variant>
      <vt:variant>
        <vt:lpwstr/>
      </vt:variant>
      <vt:variant>
        <vt:lpwstr>_Toc62453476</vt:lpwstr>
      </vt:variant>
      <vt:variant>
        <vt:i4>1114166</vt:i4>
      </vt:variant>
      <vt:variant>
        <vt:i4>146</vt:i4>
      </vt:variant>
      <vt:variant>
        <vt:i4>0</vt:i4>
      </vt:variant>
      <vt:variant>
        <vt:i4>5</vt:i4>
      </vt:variant>
      <vt:variant>
        <vt:lpwstr/>
      </vt:variant>
      <vt:variant>
        <vt:lpwstr>_Toc62453475</vt:lpwstr>
      </vt:variant>
      <vt:variant>
        <vt:i4>1048630</vt:i4>
      </vt:variant>
      <vt:variant>
        <vt:i4>140</vt:i4>
      </vt:variant>
      <vt:variant>
        <vt:i4>0</vt:i4>
      </vt:variant>
      <vt:variant>
        <vt:i4>5</vt:i4>
      </vt:variant>
      <vt:variant>
        <vt:lpwstr/>
      </vt:variant>
      <vt:variant>
        <vt:lpwstr>_Toc62453474</vt:lpwstr>
      </vt:variant>
      <vt:variant>
        <vt:i4>1507382</vt:i4>
      </vt:variant>
      <vt:variant>
        <vt:i4>134</vt:i4>
      </vt:variant>
      <vt:variant>
        <vt:i4>0</vt:i4>
      </vt:variant>
      <vt:variant>
        <vt:i4>5</vt:i4>
      </vt:variant>
      <vt:variant>
        <vt:lpwstr/>
      </vt:variant>
      <vt:variant>
        <vt:lpwstr>_Toc62453473</vt:lpwstr>
      </vt:variant>
      <vt:variant>
        <vt:i4>1441846</vt:i4>
      </vt:variant>
      <vt:variant>
        <vt:i4>128</vt:i4>
      </vt:variant>
      <vt:variant>
        <vt:i4>0</vt:i4>
      </vt:variant>
      <vt:variant>
        <vt:i4>5</vt:i4>
      </vt:variant>
      <vt:variant>
        <vt:lpwstr/>
      </vt:variant>
      <vt:variant>
        <vt:lpwstr>_Toc62453472</vt:lpwstr>
      </vt:variant>
      <vt:variant>
        <vt:i4>1376310</vt:i4>
      </vt:variant>
      <vt:variant>
        <vt:i4>122</vt:i4>
      </vt:variant>
      <vt:variant>
        <vt:i4>0</vt:i4>
      </vt:variant>
      <vt:variant>
        <vt:i4>5</vt:i4>
      </vt:variant>
      <vt:variant>
        <vt:lpwstr/>
      </vt:variant>
      <vt:variant>
        <vt:lpwstr>_Toc62453471</vt:lpwstr>
      </vt:variant>
      <vt:variant>
        <vt:i4>1310774</vt:i4>
      </vt:variant>
      <vt:variant>
        <vt:i4>116</vt:i4>
      </vt:variant>
      <vt:variant>
        <vt:i4>0</vt:i4>
      </vt:variant>
      <vt:variant>
        <vt:i4>5</vt:i4>
      </vt:variant>
      <vt:variant>
        <vt:lpwstr/>
      </vt:variant>
      <vt:variant>
        <vt:lpwstr>_Toc62453470</vt:lpwstr>
      </vt:variant>
      <vt:variant>
        <vt:i4>1900599</vt:i4>
      </vt:variant>
      <vt:variant>
        <vt:i4>110</vt:i4>
      </vt:variant>
      <vt:variant>
        <vt:i4>0</vt:i4>
      </vt:variant>
      <vt:variant>
        <vt:i4>5</vt:i4>
      </vt:variant>
      <vt:variant>
        <vt:lpwstr/>
      </vt:variant>
      <vt:variant>
        <vt:lpwstr>_Toc62453469</vt:lpwstr>
      </vt:variant>
      <vt:variant>
        <vt:i4>1835063</vt:i4>
      </vt:variant>
      <vt:variant>
        <vt:i4>104</vt:i4>
      </vt:variant>
      <vt:variant>
        <vt:i4>0</vt:i4>
      </vt:variant>
      <vt:variant>
        <vt:i4>5</vt:i4>
      </vt:variant>
      <vt:variant>
        <vt:lpwstr/>
      </vt:variant>
      <vt:variant>
        <vt:lpwstr>_Toc62453468</vt:lpwstr>
      </vt:variant>
      <vt:variant>
        <vt:i4>1245239</vt:i4>
      </vt:variant>
      <vt:variant>
        <vt:i4>98</vt:i4>
      </vt:variant>
      <vt:variant>
        <vt:i4>0</vt:i4>
      </vt:variant>
      <vt:variant>
        <vt:i4>5</vt:i4>
      </vt:variant>
      <vt:variant>
        <vt:lpwstr/>
      </vt:variant>
      <vt:variant>
        <vt:lpwstr>_Toc62453467</vt:lpwstr>
      </vt:variant>
      <vt:variant>
        <vt:i4>1179703</vt:i4>
      </vt:variant>
      <vt:variant>
        <vt:i4>92</vt:i4>
      </vt:variant>
      <vt:variant>
        <vt:i4>0</vt:i4>
      </vt:variant>
      <vt:variant>
        <vt:i4>5</vt:i4>
      </vt:variant>
      <vt:variant>
        <vt:lpwstr/>
      </vt:variant>
      <vt:variant>
        <vt:lpwstr>_Toc62453466</vt:lpwstr>
      </vt:variant>
      <vt:variant>
        <vt:i4>1114167</vt:i4>
      </vt:variant>
      <vt:variant>
        <vt:i4>86</vt:i4>
      </vt:variant>
      <vt:variant>
        <vt:i4>0</vt:i4>
      </vt:variant>
      <vt:variant>
        <vt:i4>5</vt:i4>
      </vt:variant>
      <vt:variant>
        <vt:lpwstr/>
      </vt:variant>
      <vt:variant>
        <vt:lpwstr>_Toc62453465</vt:lpwstr>
      </vt:variant>
      <vt:variant>
        <vt:i4>1048631</vt:i4>
      </vt:variant>
      <vt:variant>
        <vt:i4>80</vt:i4>
      </vt:variant>
      <vt:variant>
        <vt:i4>0</vt:i4>
      </vt:variant>
      <vt:variant>
        <vt:i4>5</vt:i4>
      </vt:variant>
      <vt:variant>
        <vt:lpwstr/>
      </vt:variant>
      <vt:variant>
        <vt:lpwstr>_Toc62453464</vt:lpwstr>
      </vt:variant>
      <vt:variant>
        <vt:i4>1507383</vt:i4>
      </vt:variant>
      <vt:variant>
        <vt:i4>74</vt:i4>
      </vt:variant>
      <vt:variant>
        <vt:i4>0</vt:i4>
      </vt:variant>
      <vt:variant>
        <vt:i4>5</vt:i4>
      </vt:variant>
      <vt:variant>
        <vt:lpwstr/>
      </vt:variant>
      <vt:variant>
        <vt:lpwstr>_Toc62453463</vt:lpwstr>
      </vt:variant>
      <vt:variant>
        <vt:i4>1441847</vt:i4>
      </vt:variant>
      <vt:variant>
        <vt:i4>68</vt:i4>
      </vt:variant>
      <vt:variant>
        <vt:i4>0</vt:i4>
      </vt:variant>
      <vt:variant>
        <vt:i4>5</vt:i4>
      </vt:variant>
      <vt:variant>
        <vt:lpwstr/>
      </vt:variant>
      <vt:variant>
        <vt:lpwstr>_Toc62453462</vt:lpwstr>
      </vt:variant>
      <vt:variant>
        <vt:i4>1376311</vt:i4>
      </vt:variant>
      <vt:variant>
        <vt:i4>62</vt:i4>
      </vt:variant>
      <vt:variant>
        <vt:i4>0</vt:i4>
      </vt:variant>
      <vt:variant>
        <vt:i4>5</vt:i4>
      </vt:variant>
      <vt:variant>
        <vt:lpwstr/>
      </vt:variant>
      <vt:variant>
        <vt:lpwstr>_Toc62453461</vt:lpwstr>
      </vt:variant>
      <vt:variant>
        <vt:i4>1310775</vt:i4>
      </vt:variant>
      <vt:variant>
        <vt:i4>56</vt:i4>
      </vt:variant>
      <vt:variant>
        <vt:i4>0</vt:i4>
      </vt:variant>
      <vt:variant>
        <vt:i4>5</vt:i4>
      </vt:variant>
      <vt:variant>
        <vt:lpwstr/>
      </vt:variant>
      <vt:variant>
        <vt:lpwstr>_Toc62453460</vt:lpwstr>
      </vt:variant>
      <vt:variant>
        <vt:i4>1900596</vt:i4>
      </vt:variant>
      <vt:variant>
        <vt:i4>50</vt:i4>
      </vt:variant>
      <vt:variant>
        <vt:i4>0</vt:i4>
      </vt:variant>
      <vt:variant>
        <vt:i4>5</vt:i4>
      </vt:variant>
      <vt:variant>
        <vt:lpwstr/>
      </vt:variant>
      <vt:variant>
        <vt:lpwstr>_Toc62453459</vt:lpwstr>
      </vt:variant>
      <vt:variant>
        <vt:i4>1835060</vt:i4>
      </vt:variant>
      <vt:variant>
        <vt:i4>44</vt:i4>
      </vt:variant>
      <vt:variant>
        <vt:i4>0</vt:i4>
      </vt:variant>
      <vt:variant>
        <vt:i4>5</vt:i4>
      </vt:variant>
      <vt:variant>
        <vt:lpwstr/>
      </vt:variant>
      <vt:variant>
        <vt:lpwstr>_Toc62453458</vt:lpwstr>
      </vt:variant>
      <vt:variant>
        <vt:i4>1245236</vt:i4>
      </vt:variant>
      <vt:variant>
        <vt:i4>38</vt:i4>
      </vt:variant>
      <vt:variant>
        <vt:i4>0</vt:i4>
      </vt:variant>
      <vt:variant>
        <vt:i4>5</vt:i4>
      </vt:variant>
      <vt:variant>
        <vt:lpwstr/>
      </vt:variant>
      <vt:variant>
        <vt:lpwstr>_Toc62453457</vt:lpwstr>
      </vt:variant>
      <vt:variant>
        <vt:i4>1179700</vt:i4>
      </vt:variant>
      <vt:variant>
        <vt:i4>32</vt:i4>
      </vt:variant>
      <vt:variant>
        <vt:i4>0</vt:i4>
      </vt:variant>
      <vt:variant>
        <vt:i4>5</vt:i4>
      </vt:variant>
      <vt:variant>
        <vt:lpwstr/>
      </vt:variant>
      <vt:variant>
        <vt:lpwstr>_Toc62453456</vt:lpwstr>
      </vt:variant>
      <vt:variant>
        <vt:i4>1114164</vt:i4>
      </vt:variant>
      <vt:variant>
        <vt:i4>26</vt:i4>
      </vt:variant>
      <vt:variant>
        <vt:i4>0</vt:i4>
      </vt:variant>
      <vt:variant>
        <vt:i4>5</vt:i4>
      </vt:variant>
      <vt:variant>
        <vt:lpwstr/>
      </vt:variant>
      <vt:variant>
        <vt:lpwstr>_Toc62453455</vt:lpwstr>
      </vt:variant>
      <vt:variant>
        <vt:i4>1048628</vt:i4>
      </vt:variant>
      <vt:variant>
        <vt:i4>20</vt:i4>
      </vt:variant>
      <vt:variant>
        <vt:i4>0</vt:i4>
      </vt:variant>
      <vt:variant>
        <vt:i4>5</vt:i4>
      </vt:variant>
      <vt:variant>
        <vt:lpwstr/>
      </vt:variant>
      <vt:variant>
        <vt:lpwstr>_Toc62453454</vt:lpwstr>
      </vt:variant>
      <vt:variant>
        <vt:i4>1507380</vt:i4>
      </vt:variant>
      <vt:variant>
        <vt:i4>14</vt:i4>
      </vt:variant>
      <vt:variant>
        <vt:i4>0</vt:i4>
      </vt:variant>
      <vt:variant>
        <vt:i4>5</vt:i4>
      </vt:variant>
      <vt:variant>
        <vt:lpwstr/>
      </vt:variant>
      <vt:variant>
        <vt:lpwstr>_Toc62453453</vt:lpwstr>
      </vt:variant>
      <vt:variant>
        <vt:i4>1441844</vt:i4>
      </vt:variant>
      <vt:variant>
        <vt:i4>8</vt:i4>
      </vt:variant>
      <vt:variant>
        <vt:i4>0</vt:i4>
      </vt:variant>
      <vt:variant>
        <vt:i4>5</vt:i4>
      </vt:variant>
      <vt:variant>
        <vt:lpwstr/>
      </vt:variant>
      <vt:variant>
        <vt:lpwstr>_Toc62453452</vt:lpwstr>
      </vt:variant>
      <vt:variant>
        <vt:i4>1376308</vt:i4>
      </vt:variant>
      <vt:variant>
        <vt:i4>2</vt:i4>
      </vt:variant>
      <vt:variant>
        <vt:i4>0</vt:i4>
      </vt:variant>
      <vt:variant>
        <vt:i4>5</vt:i4>
      </vt:variant>
      <vt:variant>
        <vt:lpwstr/>
      </vt:variant>
      <vt:variant>
        <vt:lpwstr>_Toc62453451</vt:lpwstr>
      </vt:variant>
      <vt:variant>
        <vt:i4>3997816</vt:i4>
      </vt:variant>
      <vt:variant>
        <vt:i4>6</vt:i4>
      </vt:variant>
      <vt:variant>
        <vt:i4>0</vt:i4>
      </vt:variant>
      <vt:variant>
        <vt:i4>5</vt:i4>
      </vt:variant>
      <vt:variant>
        <vt:lpwstr>http://www.devbusiness.com/</vt:lpwstr>
      </vt:variant>
      <vt:variant>
        <vt:lpwstr/>
      </vt:variant>
      <vt:variant>
        <vt:i4>5308543</vt:i4>
      </vt:variant>
      <vt:variant>
        <vt:i4>3</vt:i4>
      </vt:variant>
      <vt:variant>
        <vt:i4>0</vt:i4>
      </vt:variant>
      <vt:variant>
        <vt:i4>5</vt:i4>
      </vt:variant>
      <vt:variant>
        <vt:lpwstr>mailto:dbsubscribe@un.org</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BB</dc:creator>
  <cp:keywords/>
  <dc:description/>
  <cp:lastModifiedBy>Douglas Fraser</cp:lastModifiedBy>
  <cp:revision>2</cp:revision>
  <cp:lastPrinted>2018-10-25T19:25:00Z</cp:lastPrinted>
  <dcterms:created xsi:type="dcterms:W3CDTF">2018-10-29T20:00:00Z</dcterms:created>
  <dcterms:modified xsi:type="dcterms:W3CDTF">2018-10-29T20:00:00Z</dcterms:modified>
</cp:coreProperties>
</file>