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B467" w14:textId="77777777" w:rsidR="007E7974" w:rsidRPr="008B2B87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  <w:r w:rsidRPr="008B2B8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CONTRACT AWARD INFORMATION – GOODS/WORKS</w:t>
      </w:r>
    </w:p>
    <w:p w14:paraId="1F859FEC" w14:textId="77777777" w:rsidR="006B7B72" w:rsidRPr="008B2B87" w:rsidRDefault="006B7B72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</w:p>
    <w:p w14:paraId="6454E5AB" w14:textId="20CD20D6" w:rsidR="00F45280" w:rsidRPr="008B2B87" w:rsidRDefault="008B2B87" w:rsidP="00F4528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  <w:r w:rsidRPr="008B2B8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 xml:space="preserve">POWER PROJECT </w:t>
      </w:r>
      <w:r w:rsidR="000E0EAE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 xml:space="preserve">– </w:t>
      </w:r>
      <w:r w:rsidRPr="008B2B8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SURINAME -</w:t>
      </w:r>
    </w:p>
    <w:p w14:paraId="27FBAF28" w14:textId="55004F8F" w:rsidR="00481F2F" w:rsidRPr="008B2B87" w:rsidRDefault="000E0EAE" w:rsidP="00F4528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(</w:t>
      </w:r>
      <w:r w:rsidR="008B2B87" w:rsidRPr="008B2B8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ELECTRICITY SYSTEM UPGRADE AND EXPANSION PROJECT</w:t>
      </w:r>
      <w:r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)</w:t>
      </w:r>
    </w:p>
    <w:p w14:paraId="7D7B69CB" w14:textId="77777777" w:rsidR="00481F2F" w:rsidRPr="008B2B87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</w:p>
    <w:p w14:paraId="02968FE7" w14:textId="432B531D" w:rsidR="00481F2F" w:rsidRPr="008B2B87" w:rsidRDefault="00F45280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  <w:r w:rsidRPr="008B2B8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 xml:space="preserve">LOT SUBSTATIONS </w:t>
      </w:r>
      <w:r w:rsidR="00275F2D" w:rsidRPr="008B2B8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CONTRACT</w:t>
      </w:r>
      <w:r w:rsidRPr="008B2B8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- CDB-930-012</w:t>
      </w:r>
    </w:p>
    <w:p w14:paraId="651B4DD5" w14:textId="687472F1" w:rsidR="00481F2F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</w:p>
    <w:p w14:paraId="6385D812" w14:textId="77777777" w:rsidR="00D52A51" w:rsidRPr="00481F2F" w:rsidRDefault="00D52A51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14:paraId="20BF0667" w14:textId="77777777" w:rsidR="00481F2F" w:rsidRPr="00D52A51" w:rsidRDefault="00481F2F" w:rsidP="00481F2F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D52A51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Bid Prices</w:t>
      </w:r>
      <w:r w:rsidR="00D52A51" w:rsidRPr="00D52A51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:</w:t>
      </w:r>
    </w:p>
    <w:p w14:paraId="5B656B6B" w14:textId="77777777" w:rsidR="00481F2F" w:rsidRPr="00481F2F" w:rsidRDefault="00481F2F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481F2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0"/>
        <w:gridCol w:w="1784"/>
        <w:gridCol w:w="1981"/>
      </w:tblGrid>
      <w:tr w:rsidR="00481F2F" w:rsidRPr="00B906CC" w14:paraId="201CB54A" w14:textId="77777777" w:rsidTr="00C879C5">
        <w:trPr>
          <w:trHeight w:val="331"/>
          <w:jc w:val="center"/>
        </w:trPr>
        <w:tc>
          <w:tcPr>
            <w:tcW w:w="5050" w:type="dxa"/>
            <w:shd w:val="clear" w:color="auto" w:fill="auto"/>
          </w:tcPr>
          <w:p w14:paraId="5CD6C515" w14:textId="77777777" w:rsidR="00481F2F" w:rsidRPr="008951CB" w:rsidRDefault="00481F2F" w:rsidP="00B906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8951C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Names of Bidders Submitting Bids</w:t>
            </w:r>
          </w:p>
        </w:tc>
        <w:tc>
          <w:tcPr>
            <w:tcW w:w="1784" w:type="dxa"/>
            <w:shd w:val="clear" w:color="auto" w:fill="auto"/>
          </w:tcPr>
          <w:p w14:paraId="36538EF8" w14:textId="77777777" w:rsidR="00481F2F" w:rsidRPr="008951CB" w:rsidRDefault="00481F2F" w:rsidP="00B90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8951C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Bids Prices at Bid Opening</w:t>
            </w:r>
          </w:p>
          <w:p w14:paraId="3EA09FDA" w14:textId="2381D004" w:rsidR="00D52A51" w:rsidRPr="00C879C5" w:rsidRDefault="00F45280" w:rsidP="00B90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</w:pPr>
            <w:r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(USD</w:t>
            </w:r>
            <w:r w:rsidR="00D52A51"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)</w:t>
            </w:r>
          </w:p>
        </w:tc>
        <w:tc>
          <w:tcPr>
            <w:tcW w:w="1981" w:type="dxa"/>
            <w:shd w:val="clear" w:color="auto" w:fill="auto"/>
          </w:tcPr>
          <w:p w14:paraId="33214D48" w14:textId="77777777" w:rsidR="00481F2F" w:rsidRPr="008951CB" w:rsidRDefault="00275F2D" w:rsidP="00B90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8951C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Correc</w:t>
            </w:r>
            <w:r w:rsidR="00481F2F" w:rsidRPr="008951C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ted Bid Prices</w:t>
            </w:r>
          </w:p>
          <w:p w14:paraId="1F9E89E4" w14:textId="51DA5056" w:rsidR="00481F2F" w:rsidRPr="00C879C5" w:rsidRDefault="00F45280" w:rsidP="00F45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</w:pPr>
            <w:r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(USD</w:t>
            </w:r>
            <w:r w:rsidR="00481F2F"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)</w:t>
            </w:r>
          </w:p>
        </w:tc>
      </w:tr>
      <w:tr w:rsidR="00481F2F" w:rsidRPr="00AB72E1" w14:paraId="56668217" w14:textId="77777777" w:rsidTr="00FB0168">
        <w:trPr>
          <w:trHeight w:val="360"/>
          <w:jc w:val="center"/>
        </w:trPr>
        <w:tc>
          <w:tcPr>
            <w:tcW w:w="5050" w:type="dxa"/>
            <w:shd w:val="clear" w:color="auto" w:fill="auto"/>
            <w:vAlign w:val="bottom"/>
          </w:tcPr>
          <w:p w14:paraId="7016A0DF" w14:textId="49249093" w:rsidR="004B2EDA" w:rsidRPr="008951CB" w:rsidRDefault="00F45280" w:rsidP="00FB01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</w:pPr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>K</w:t>
            </w:r>
            <w:r w:rsidR="00AB72E1"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>alpataru</w:t>
            </w:r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 xml:space="preserve"> P</w:t>
            </w:r>
            <w:r w:rsidR="00AB72E1"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>ower</w:t>
            </w:r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 xml:space="preserve"> T</w:t>
            </w:r>
            <w:r w:rsidR="00AB72E1"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>ransmission</w:t>
            </w:r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 xml:space="preserve"> L</w:t>
            </w:r>
            <w:r w:rsidR="00AB72E1"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>td</w:t>
            </w:r>
            <w:r w:rsidR="00FB0168"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>.</w:t>
            </w:r>
          </w:p>
        </w:tc>
        <w:tc>
          <w:tcPr>
            <w:tcW w:w="1784" w:type="dxa"/>
            <w:shd w:val="clear" w:color="auto" w:fill="auto"/>
            <w:vAlign w:val="bottom"/>
          </w:tcPr>
          <w:p w14:paraId="74F3EBEF" w14:textId="77777777" w:rsidR="00481F2F" w:rsidRPr="00C879C5" w:rsidRDefault="00F45280" w:rsidP="00FB01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</w:pPr>
            <w:r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49,967,002.77</w:t>
            </w:r>
          </w:p>
        </w:tc>
        <w:tc>
          <w:tcPr>
            <w:tcW w:w="1981" w:type="dxa"/>
            <w:shd w:val="clear" w:color="auto" w:fill="auto"/>
            <w:vAlign w:val="bottom"/>
          </w:tcPr>
          <w:p w14:paraId="76488014" w14:textId="77777777" w:rsidR="00481F2F" w:rsidRPr="00C879C5" w:rsidRDefault="00961987" w:rsidP="00FB01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</w:pPr>
            <w:r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49,967,002.40</w:t>
            </w:r>
          </w:p>
        </w:tc>
      </w:tr>
      <w:tr w:rsidR="006B7B72" w:rsidRPr="00AB72E1" w14:paraId="3EFCCEDE" w14:textId="77777777" w:rsidTr="00FB0168">
        <w:trPr>
          <w:trHeight w:val="360"/>
          <w:jc w:val="center"/>
        </w:trPr>
        <w:tc>
          <w:tcPr>
            <w:tcW w:w="5050" w:type="dxa"/>
            <w:shd w:val="clear" w:color="auto" w:fill="auto"/>
            <w:vAlign w:val="bottom"/>
          </w:tcPr>
          <w:p w14:paraId="5E987401" w14:textId="1ABC6969" w:rsidR="004B2EDA" w:rsidRPr="008951CB" w:rsidRDefault="00F45280" w:rsidP="00FB01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</w:pPr>
            <w:proofErr w:type="spellStart"/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E</w:t>
            </w:r>
            <w:r w:rsidR="00AB72E1"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lecnor</w:t>
            </w:r>
            <w:proofErr w:type="spellEnd"/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 xml:space="preserve"> S.A</w:t>
            </w:r>
            <w:r w:rsidR="00FB0168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.</w:t>
            </w:r>
          </w:p>
        </w:tc>
        <w:tc>
          <w:tcPr>
            <w:tcW w:w="1784" w:type="dxa"/>
            <w:shd w:val="clear" w:color="auto" w:fill="auto"/>
            <w:vAlign w:val="bottom"/>
          </w:tcPr>
          <w:p w14:paraId="40E1B9FD" w14:textId="77777777" w:rsidR="006B7B72" w:rsidRPr="00C879C5" w:rsidRDefault="00F45280" w:rsidP="00FB01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</w:pPr>
            <w:r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68,287,212.32</w:t>
            </w:r>
          </w:p>
        </w:tc>
        <w:tc>
          <w:tcPr>
            <w:tcW w:w="1981" w:type="dxa"/>
            <w:shd w:val="clear" w:color="auto" w:fill="auto"/>
            <w:vAlign w:val="bottom"/>
          </w:tcPr>
          <w:p w14:paraId="2161C62F" w14:textId="77777777" w:rsidR="006B7B72" w:rsidRPr="00C879C5" w:rsidRDefault="008951CB" w:rsidP="00FB0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</w:pPr>
            <w:r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N/A</w:t>
            </w:r>
          </w:p>
        </w:tc>
      </w:tr>
      <w:tr w:rsidR="006B7B72" w:rsidRPr="00AB72E1" w14:paraId="237536C1" w14:textId="77777777" w:rsidTr="00FB0168">
        <w:trPr>
          <w:trHeight w:val="360"/>
          <w:jc w:val="center"/>
        </w:trPr>
        <w:tc>
          <w:tcPr>
            <w:tcW w:w="5050" w:type="dxa"/>
            <w:shd w:val="clear" w:color="auto" w:fill="auto"/>
            <w:vAlign w:val="bottom"/>
          </w:tcPr>
          <w:p w14:paraId="1DC89282" w14:textId="640F5D90" w:rsidR="004B2EDA" w:rsidRPr="008951CB" w:rsidRDefault="00F45280" w:rsidP="00FB01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</w:pPr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 xml:space="preserve">JV </w:t>
            </w:r>
            <w:proofErr w:type="spellStart"/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T</w:t>
            </w:r>
            <w:r w:rsidR="00AB72E1"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ransrail</w:t>
            </w:r>
            <w:proofErr w:type="spellEnd"/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 xml:space="preserve"> </w:t>
            </w:r>
            <w:proofErr w:type="spellStart"/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L</w:t>
            </w:r>
            <w:r w:rsidR="00AB72E1"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igthing</w:t>
            </w:r>
            <w:proofErr w:type="spellEnd"/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 xml:space="preserve">/ NVHS </w:t>
            </w:r>
            <w:proofErr w:type="spellStart"/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U</w:t>
            </w:r>
            <w:r w:rsidR="00AB72E1"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nistar</w:t>
            </w:r>
            <w:proofErr w:type="spellEnd"/>
          </w:p>
        </w:tc>
        <w:tc>
          <w:tcPr>
            <w:tcW w:w="1784" w:type="dxa"/>
            <w:shd w:val="clear" w:color="auto" w:fill="auto"/>
            <w:vAlign w:val="bottom"/>
          </w:tcPr>
          <w:p w14:paraId="21EB37D0" w14:textId="77777777" w:rsidR="006B7B72" w:rsidRPr="00C879C5" w:rsidRDefault="00F45280" w:rsidP="00FB01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</w:pPr>
            <w:r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56,528,737.00</w:t>
            </w:r>
          </w:p>
        </w:tc>
        <w:tc>
          <w:tcPr>
            <w:tcW w:w="1981" w:type="dxa"/>
            <w:shd w:val="clear" w:color="auto" w:fill="auto"/>
            <w:vAlign w:val="bottom"/>
          </w:tcPr>
          <w:p w14:paraId="531338C1" w14:textId="77777777" w:rsidR="006B7B72" w:rsidRPr="00C879C5" w:rsidRDefault="008951CB" w:rsidP="00FB0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</w:pPr>
            <w:r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N/A</w:t>
            </w:r>
          </w:p>
        </w:tc>
      </w:tr>
      <w:tr w:rsidR="00F45280" w:rsidRPr="00AB72E1" w14:paraId="020E83F9" w14:textId="77777777" w:rsidTr="00FB0168">
        <w:trPr>
          <w:trHeight w:val="360"/>
          <w:jc w:val="center"/>
        </w:trPr>
        <w:tc>
          <w:tcPr>
            <w:tcW w:w="5050" w:type="dxa"/>
            <w:shd w:val="clear" w:color="auto" w:fill="auto"/>
            <w:vAlign w:val="bottom"/>
          </w:tcPr>
          <w:p w14:paraId="55FD1F43" w14:textId="1ACB3BEC" w:rsidR="00F45280" w:rsidRPr="008951CB" w:rsidRDefault="00F45280" w:rsidP="00FB01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</w:pPr>
            <w:proofErr w:type="spellStart"/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C</w:t>
            </w:r>
            <w:r w:rsidR="00AB72E1"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hint</w:t>
            </w:r>
            <w:proofErr w:type="spellEnd"/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 xml:space="preserve"> E</w:t>
            </w:r>
            <w:r w:rsidR="00AB72E1"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lectric</w:t>
            </w:r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 xml:space="preserve"> C</w:t>
            </w:r>
            <w:r w:rsidR="004D3F75"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o</w:t>
            </w:r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. L</w:t>
            </w:r>
            <w:r w:rsidR="004D3F75"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td</w:t>
            </w:r>
            <w:r w:rsidR="00FB0168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.</w:t>
            </w:r>
          </w:p>
        </w:tc>
        <w:tc>
          <w:tcPr>
            <w:tcW w:w="1784" w:type="dxa"/>
            <w:shd w:val="clear" w:color="auto" w:fill="auto"/>
            <w:vAlign w:val="bottom"/>
          </w:tcPr>
          <w:p w14:paraId="5C756609" w14:textId="77777777" w:rsidR="00F45280" w:rsidRPr="00C879C5" w:rsidRDefault="00F45280" w:rsidP="00FB01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</w:pPr>
            <w:r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57,154,900.10</w:t>
            </w:r>
          </w:p>
        </w:tc>
        <w:tc>
          <w:tcPr>
            <w:tcW w:w="1981" w:type="dxa"/>
            <w:shd w:val="clear" w:color="auto" w:fill="auto"/>
            <w:vAlign w:val="bottom"/>
          </w:tcPr>
          <w:p w14:paraId="6E31A832" w14:textId="77777777" w:rsidR="00F45280" w:rsidRPr="00C879C5" w:rsidRDefault="008951CB" w:rsidP="00FB0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</w:pPr>
            <w:r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N/A</w:t>
            </w:r>
          </w:p>
        </w:tc>
      </w:tr>
      <w:tr w:rsidR="00F45280" w:rsidRPr="00AB72E1" w14:paraId="6729E1EB" w14:textId="77777777" w:rsidTr="00FB0168">
        <w:trPr>
          <w:trHeight w:val="360"/>
          <w:jc w:val="center"/>
        </w:trPr>
        <w:tc>
          <w:tcPr>
            <w:tcW w:w="5050" w:type="dxa"/>
            <w:shd w:val="clear" w:color="auto" w:fill="auto"/>
            <w:vAlign w:val="bottom"/>
          </w:tcPr>
          <w:p w14:paraId="79C7160C" w14:textId="01C686BC" w:rsidR="00F45280" w:rsidRPr="008951CB" w:rsidRDefault="001A7982" w:rsidP="00FB01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C</w:t>
            </w:r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onsortuim</w:t>
            </w:r>
            <w:proofErr w:type="spellEnd"/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S</w:t>
            </w:r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inosoar</w:t>
            </w:r>
            <w:proofErr w:type="spellEnd"/>
            <w:r w:rsidR="00F45280"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/TBEA</w:t>
            </w:r>
          </w:p>
        </w:tc>
        <w:tc>
          <w:tcPr>
            <w:tcW w:w="1784" w:type="dxa"/>
            <w:shd w:val="clear" w:color="auto" w:fill="auto"/>
            <w:vAlign w:val="bottom"/>
          </w:tcPr>
          <w:p w14:paraId="23A38247" w14:textId="77777777" w:rsidR="00F45280" w:rsidRPr="00C879C5" w:rsidRDefault="00F45280" w:rsidP="00FB01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</w:pPr>
            <w:r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62,843,066.71</w:t>
            </w:r>
          </w:p>
        </w:tc>
        <w:tc>
          <w:tcPr>
            <w:tcW w:w="1981" w:type="dxa"/>
            <w:shd w:val="clear" w:color="auto" w:fill="auto"/>
            <w:vAlign w:val="bottom"/>
          </w:tcPr>
          <w:p w14:paraId="1D3DCE8E" w14:textId="77777777" w:rsidR="00F45280" w:rsidRPr="00C879C5" w:rsidRDefault="008951CB" w:rsidP="00FB0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</w:pPr>
            <w:r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N/A</w:t>
            </w:r>
          </w:p>
        </w:tc>
      </w:tr>
      <w:tr w:rsidR="00F45280" w:rsidRPr="00AB72E1" w14:paraId="3A3BF983" w14:textId="77777777" w:rsidTr="00FB0168">
        <w:trPr>
          <w:trHeight w:val="360"/>
          <w:jc w:val="center"/>
        </w:trPr>
        <w:tc>
          <w:tcPr>
            <w:tcW w:w="5050" w:type="dxa"/>
            <w:shd w:val="clear" w:color="auto" w:fill="auto"/>
            <w:vAlign w:val="bottom"/>
          </w:tcPr>
          <w:p w14:paraId="6BD593D5" w14:textId="1453FC27" w:rsidR="00F45280" w:rsidRPr="008951CB" w:rsidRDefault="00F45280" w:rsidP="00FB01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</w:pPr>
            <w:proofErr w:type="spellStart"/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X</w:t>
            </w:r>
            <w:r w:rsidR="001A7982"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injang</w:t>
            </w:r>
            <w:proofErr w:type="spellEnd"/>
          </w:p>
        </w:tc>
        <w:tc>
          <w:tcPr>
            <w:tcW w:w="1784" w:type="dxa"/>
            <w:shd w:val="clear" w:color="auto" w:fill="auto"/>
            <w:vAlign w:val="bottom"/>
          </w:tcPr>
          <w:p w14:paraId="29F2B6DC" w14:textId="77777777" w:rsidR="00F45280" w:rsidRPr="00C879C5" w:rsidRDefault="00F45280" w:rsidP="00FB01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</w:pPr>
            <w:r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39,121,181.11</w:t>
            </w:r>
          </w:p>
        </w:tc>
        <w:tc>
          <w:tcPr>
            <w:tcW w:w="1981" w:type="dxa"/>
            <w:shd w:val="clear" w:color="auto" w:fill="auto"/>
            <w:vAlign w:val="bottom"/>
          </w:tcPr>
          <w:p w14:paraId="319B9F53" w14:textId="77777777" w:rsidR="00F45280" w:rsidRPr="00C879C5" w:rsidRDefault="008951CB" w:rsidP="00FB0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</w:pPr>
            <w:r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N/A</w:t>
            </w:r>
          </w:p>
        </w:tc>
      </w:tr>
      <w:tr w:rsidR="00F45280" w:rsidRPr="00AB72E1" w14:paraId="19F4003D" w14:textId="77777777" w:rsidTr="00FB0168">
        <w:trPr>
          <w:trHeight w:val="360"/>
          <w:jc w:val="center"/>
        </w:trPr>
        <w:tc>
          <w:tcPr>
            <w:tcW w:w="5050" w:type="dxa"/>
            <w:shd w:val="clear" w:color="auto" w:fill="auto"/>
            <w:vAlign w:val="bottom"/>
          </w:tcPr>
          <w:p w14:paraId="0C90BABC" w14:textId="787729E2" w:rsidR="00F45280" w:rsidRPr="008951CB" w:rsidRDefault="00F45280" w:rsidP="00FB01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</w:pPr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JV-</w:t>
            </w:r>
            <w:proofErr w:type="spellStart"/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S</w:t>
            </w:r>
            <w:r w:rsidR="001A7982"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umec</w:t>
            </w:r>
            <w:proofErr w:type="spellEnd"/>
            <w:r w:rsidRPr="008951CB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-SPTTC</w:t>
            </w:r>
          </w:p>
        </w:tc>
        <w:tc>
          <w:tcPr>
            <w:tcW w:w="1784" w:type="dxa"/>
            <w:shd w:val="clear" w:color="auto" w:fill="auto"/>
            <w:vAlign w:val="bottom"/>
          </w:tcPr>
          <w:p w14:paraId="07FA6021" w14:textId="77777777" w:rsidR="00F45280" w:rsidRPr="00C879C5" w:rsidRDefault="00F45280" w:rsidP="00FB01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</w:pPr>
            <w:r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59,790,093.00</w:t>
            </w:r>
          </w:p>
        </w:tc>
        <w:tc>
          <w:tcPr>
            <w:tcW w:w="1981" w:type="dxa"/>
            <w:shd w:val="clear" w:color="auto" w:fill="auto"/>
            <w:vAlign w:val="bottom"/>
          </w:tcPr>
          <w:p w14:paraId="4D2184E4" w14:textId="77777777" w:rsidR="00F45280" w:rsidRPr="00C879C5" w:rsidRDefault="008951CB" w:rsidP="00FB0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</w:pPr>
            <w:r w:rsidRPr="00C87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N/A</w:t>
            </w:r>
          </w:p>
        </w:tc>
      </w:tr>
    </w:tbl>
    <w:p w14:paraId="40B9DCBB" w14:textId="77777777" w:rsidR="00481F2F" w:rsidRDefault="00481F2F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14:paraId="3555D118" w14:textId="7C33C807" w:rsidR="00D52A51" w:rsidRPr="00FB0168" w:rsidRDefault="00D52A51" w:rsidP="00332F69">
      <w:pPr>
        <w:pStyle w:val="ListParagraph"/>
        <w:numPr>
          <w:ilvl w:val="0"/>
          <w:numId w:val="1"/>
        </w:numPr>
        <w:tabs>
          <w:tab w:val="left" w:pos="3420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Number of Bids Rejected:</w:t>
      </w:r>
      <w:r w:rsidR="00104566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ab/>
      </w:r>
      <w:r w:rsidR="00F45280" w:rsidRPr="00C879C5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>1 (</w:t>
      </w:r>
      <w:r w:rsidR="00F45280" w:rsidRPr="00C33241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en-029"/>
        </w:rPr>
        <w:t>S</w:t>
      </w:r>
      <w:r w:rsidR="00A87F40" w:rsidRPr="00C33241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en-029"/>
        </w:rPr>
        <w:t>tate</w:t>
      </w:r>
      <w:r w:rsidR="00C33241" w:rsidRPr="00C33241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en-029"/>
        </w:rPr>
        <w:t>-o</w:t>
      </w:r>
      <w:r w:rsidR="00A87F40" w:rsidRPr="00C33241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en-029"/>
        </w:rPr>
        <w:t>wned</w:t>
      </w:r>
      <w:r w:rsidR="00F45280" w:rsidRPr="00C33241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en-029"/>
        </w:rPr>
        <w:t xml:space="preserve"> E</w:t>
      </w:r>
      <w:r w:rsidR="00A87F40" w:rsidRPr="00C33241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en-029"/>
        </w:rPr>
        <w:t>ntity</w:t>
      </w:r>
      <w:r w:rsidR="00997A55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en-029"/>
        </w:rPr>
        <w:t xml:space="preserve"> which does not meet eligibility criteria referenced at section 1.08 (c) of the Guidelines for Procurement – January 2006</w:t>
      </w:r>
      <w:r w:rsidR="00F45280" w:rsidRPr="00C879C5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>)</w:t>
      </w:r>
    </w:p>
    <w:p w14:paraId="698DBCFC" w14:textId="77777777" w:rsidR="00FB0168" w:rsidRDefault="00FB0168" w:rsidP="00FB0168">
      <w:pPr>
        <w:pStyle w:val="ListParagraph"/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14:paraId="3843536C" w14:textId="4C4DD9AF" w:rsidR="00D52A51" w:rsidRDefault="00D52A51" w:rsidP="00FB0168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Winning Bidder:</w:t>
      </w:r>
      <w:r w:rsidR="00104566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ab/>
      </w:r>
      <w:proofErr w:type="spellStart"/>
      <w:r w:rsidR="00961987" w:rsidRPr="00C879C5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A87F40" w:rsidRPr="00A87F40">
        <w:rPr>
          <w:rFonts w:ascii="Times New Roman" w:hAnsi="Times New Roman" w:cs="Times New Roman"/>
          <w:color w:val="auto"/>
          <w:sz w:val="22"/>
          <w:szCs w:val="22"/>
        </w:rPr>
        <w:t>alpataru</w:t>
      </w:r>
      <w:proofErr w:type="spellEnd"/>
      <w:r w:rsidR="00961987" w:rsidRPr="00C879C5">
        <w:rPr>
          <w:rFonts w:ascii="Times New Roman" w:hAnsi="Times New Roman" w:cs="Times New Roman"/>
          <w:color w:val="auto"/>
          <w:sz w:val="22"/>
          <w:szCs w:val="22"/>
        </w:rPr>
        <w:t xml:space="preserve"> P</w:t>
      </w:r>
      <w:r w:rsidR="00A87F40" w:rsidRPr="00A87F40">
        <w:rPr>
          <w:rFonts w:ascii="Times New Roman" w:hAnsi="Times New Roman" w:cs="Times New Roman"/>
          <w:color w:val="auto"/>
          <w:sz w:val="22"/>
          <w:szCs w:val="22"/>
        </w:rPr>
        <w:t>ower</w:t>
      </w:r>
      <w:r w:rsidR="00961987" w:rsidRPr="00C879C5">
        <w:rPr>
          <w:rFonts w:ascii="Times New Roman" w:hAnsi="Times New Roman" w:cs="Times New Roman"/>
          <w:color w:val="auto"/>
          <w:sz w:val="22"/>
          <w:szCs w:val="22"/>
        </w:rPr>
        <w:t xml:space="preserve"> T</w:t>
      </w:r>
      <w:r w:rsidR="00A87F40" w:rsidRPr="00A87F40">
        <w:rPr>
          <w:rFonts w:ascii="Times New Roman" w:hAnsi="Times New Roman" w:cs="Times New Roman"/>
          <w:color w:val="auto"/>
          <w:sz w:val="22"/>
          <w:szCs w:val="22"/>
        </w:rPr>
        <w:t>ransmission</w:t>
      </w:r>
      <w:r w:rsidR="00961987" w:rsidRPr="00C879C5">
        <w:rPr>
          <w:rFonts w:ascii="Times New Roman" w:hAnsi="Times New Roman" w:cs="Times New Roman"/>
          <w:color w:val="auto"/>
          <w:sz w:val="22"/>
          <w:szCs w:val="22"/>
        </w:rPr>
        <w:t xml:space="preserve"> L</w:t>
      </w:r>
      <w:r w:rsidR="00A87F40" w:rsidRPr="00A87F40">
        <w:rPr>
          <w:rFonts w:ascii="Times New Roman" w:hAnsi="Times New Roman" w:cs="Times New Roman"/>
          <w:color w:val="auto"/>
          <w:sz w:val="22"/>
          <w:szCs w:val="22"/>
        </w:rPr>
        <w:t>td</w:t>
      </w:r>
      <w:r w:rsidR="00FB016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C86926D" w14:textId="77777777" w:rsidR="00FB0168" w:rsidRPr="00FB0168" w:rsidRDefault="00FB0168" w:rsidP="00FB0168">
      <w:pPr>
        <w:pStyle w:val="ListParagraph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14:paraId="09E41793" w14:textId="00AD8513" w:rsidR="00D52A51" w:rsidRPr="00FB0168" w:rsidRDefault="00D52A51" w:rsidP="00FB0168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Winning Bid Price:</w:t>
      </w:r>
      <w:r w:rsidR="00104566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ab/>
      </w:r>
      <w:r w:rsidR="004B2EDA" w:rsidRPr="00C879C5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>USD</w:t>
      </w:r>
      <w:r w:rsidR="00F45280" w:rsidRPr="00C879C5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>49,967,002.40</w:t>
      </w:r>
    </w:p>
    <w:p w14:paraId="1A9BFF13" w14:textId="77777777" w:rsidR="00FB0168" w:rsidRPr="00FB0168" w:rsidRDefault="00FB0168" w:rsidP="00FB0168">
      <w:pPr>
        <w:pStyle w:val="ListParagraph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14:paraId="0E6924DE" w14:textId="4282717E" w:rsidR="00D52A51" w:rsidRPr="00FB0168" w:rsidRDefault="00D52A51" w:rsidP="00FB0168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Commencement Date of Contract:</w:t>
      </w:r>
      <w:r w:rsidR="00104566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ab/>
      </w:r>
      <w:r w:rsidR="00F57BBF" w:rsidRPr="00C879C5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>J</w:t>
      </w:r>
      <w:r w:rsidR="00A87F40" w:rsidRPr="00A87F40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>anuary</w:t>
      </w:r>
      <w:r w:rsidR="00F57BBF" w:rsidRPr="00C879C5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 xml:space="preserve"> </w:t>
      </w:r>
      <w:r w:rsidR="00B34AD6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 xml:space="preserve">31, </w:t>
      </w:r>
      <w:r w:rsidR="00F57BBF" w:rsidRPr="00C879C5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>2022</w:t>
      </w:r>
    </w:p>
    <w:p w14:paraId="00C9463A" w14:textId="77777777" w:rsidR="00FB0168" w:rsidRPr="00FB0168" w:rsidRDefault="00FB0168" w:rsidP="00FB0168">
      <w:pPr>
        <w:pStyle w:val="ListParagraph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14:paraId="72B8108B" w14:textId="0324EE68" w:rsidR="00D52A51" w:rsidRPr="00FB0168" w:rsidRDefault="00D52A51" w:rsidP="00FB0168">
      <w:pPr>
        <w:pStyle w:val="ListParagraph"/>
        <w:numPr>
          <w:ilvl w:val="0"/>
          <w:numId w:val="1"/>
        </w:numPr>
        <w:tabs>
          <w:tab w:val="left" w:pos="3330"/>
        </w:tabs>
        <w:spacing w:after="0" w:line="24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Duration of Contract:</w:t>
      </w:r>
      <w:r w:rsidR="00104566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ab/>
      </w:r>
      <w:r w:rsidR="00F45280" w:rsidRPr="00C879C5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 xml:space="preserve">24 </w:t>
      </w:r>
      <w:r w:rsidR="00D16821" w:rsidRPr="00C879C5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>M</w:t>
      </w:r>
      <w:r w:rsidR="00A87F40" w:rsidRPr="00A87F40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>onths</w:t>
      </w:r>
    </w:p>
    <w:p w14:paraId="756692F5" w14:textId="77777777" w:rsidR="00FB0168" w:rsidRPr="00FB0168" w:rsidRDefault="00FB0168" w:rsidP="00FB0168">
      <w:pPr>
        <w:pStyle w:val="ListParagraph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14:paraId="4B446A50" w14:textId="1B1579CC" w:rsidR="00961987" w:rsidRDefault="00D52A51" w:rsidP="00FB0168">
      <w:pPr>
        <w:pStyle w:val="ListParagraph"/>
        <w:numPr>
          <w:ilvl w:val="0"/>
          <w:numId w:val="1"/>
        </w:numPr>
        <w:tabs>
          <w:tab w:val="left" w:pos="3960"/>
        </w:tabs>
        <w:spacing w:after="0" w:line="24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DE41BC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Summary Scope of Contract:</w:t>
      </w:r>
      <w:r w:rsidR="00020582">
        <w:rPr>
          <w:rFonts w:ascii="Times New Roman" w:hAnsi="Times New Roman" w:cs="Times New Roman"/>
          <w:color w:val="auto"/>
          <w:sz w:val="22"/>
          <w:szCs w:val="22"/>
          <w:lang w:val="en-029"/>
        </w:rPr>
        <w:tab/>
      </w:r>
      <w:r w:rsidR="00961987" w:rsidRPr="00DE41BC">
        <w:rPr>
          <w:rFonts w:ascii="Times New Roman" w:hAnsi="Times New Roman" w:cs="Times New Roman"/>
          <w:color w:val="auto"/>
          <w:sz w:val="22"/>
          <w:szCs w:val="22"/>
          <w:lang w:val="en-029"/>
        </w:rPr>
        <w:t>The overall Scope of Works can be summari</w:t>
      </w:r>
      <w:r w:rsidR="00761CB1">
        <w:rPr>
          <w:rFonts w:ascii="Times New Roman" w:hAnsi="Times New Roman" w:cs="Times New Roman"/>
          <w:color w:val="auto"/>
          <w:sz w:val="22"/>
          <w:szCs w:val="22"/>
          <w:lang w:val="en-029"/>
        </w:rPr>
        <w:t>s</w:t>
      </w:r>
      <w:r w:rsidR="00961987" w:rsidRPr="00DE41BC">
        <w:rPr>
          <w:rFonts w:ascii="Times New Roman" w:hAnsi="Times New Roman" w:cs="Times New Roman"/>
          <w:color w:val="auto"/>
          <w:sz w:val="22"/>
          <w:szCs w:val="22"/>
          <w:lang w:val="en-029"/>
        </w:rPr>
        <w:t>ed as follows</w:t>
      </w:r>
      <w:r w:rsidR="00961987" w:rsidRPr="00DE41BC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:</w:t>
      </w:r>
    </w:p>
    <w:p w14:paraId="1DCCAF1F" w14:textId="77777777" w:rsidR="00FB0168" w:rsidRPr="00FB0168" w:rsidRDefault="00FB0168" w:rsidP="00FB0168">
      <w:pPr>
        <w:pStyle w:val="ListParagraph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14:paraId="53CA2966" w14:textId="3CB1A9C7" w:rsidR="00961987" w:rsidRDefault="008951CB" w:rsidP="00FB0168">
      <w:pPr>
        <w:pStyle w:val="ListParagraph"/>
        <w:numPr>
          <w:ilvl w:val="0"/>
          <w:numId w:val="2"/>
        </w:numPr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029"/>
        </w:rPr>
        <w:t xml:space="preserve">The supply and installation of </w:t>
      </w:r>
      <w:r w:rsidR="00961987"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>110 kV, 33 kV, 12.3 kV and 6.15 kV Substations Paramaribo which</w:t>
      </w:r>
      <w:r w:rsidR="00DE41BC">
        <w:rPr>
          <w:rFonts w:ascii="Times New Roman" w:hAnsi="Times New Roman" w:cs="Times New Roman"/>
          <w:color w:val="auto"/>
          <w:sz w:val="22"/>
          <w:szCs w:val="22"/>
          <w:lang w:val="en-029"/>
        </w:rPr>
        <w:t xml:space="preserve"> </w:t>
      </w:r>
      <w:r w:rsidR="00961987"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>include:</w:t>
      </w:r>
    </w:p>
    <w:p w14:paraId="7660BB94" w14:textId="77777777" w:rsidR="00D51EC2" w:rsidRPr="00961987" w:rsidRDefault="00D51EC2" w:rsidP="00FB0168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</w:p>
    <w:p w14:paraId="0DA31AC7" w14:textId="06CB0C1E" w:rsidR="00961987" w:rsidRPr="00961987" w:rsidRDefault="00961987" w:rsidP="00FB0168">
      <w:pPr>
        <w:pStyle w:val="ListParagraph"/>
        <w:numPr>
          <w:ilvl w:val="2"/>
          <w:numId w:val="4"/>
        </w:numPr>
        <w:spacing w:after="0" w:line="240" w:lineRule="auto"/>
        <w:ind w:left="2160" w:hanging="720"/>
        <w:contextualSpacing w:val="0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 xml:space="preserve">New Substation </w:t>
      </w:r>
      <w:proofErr w:type="spellStart"/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>Leiding</w:t>
      </w:r>
      <w:proofErr w:type="spellEnd"/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 xml:space="preserve"> (110/12.3 kV)</w:t>
      </w:r>
    </w:p>
    <w:p w14:paraId="45470D46" w14:textId="369C7FB0" w:rsidR="00961987" w:rsidRPr="00961987" w:rsidRDefault="00961987" w:rsidP="00FB0168">
      <w:pPr>
        <w:pStyle w:val="ListParagraph"/>
        <w:numPr>
          <w:ilvl w:val="2"/>
          <w:numId w:val="4"/>
        </w:numPr>
        <w:spacing w:after="0" w:line="240" w:lineRule="auto"/>
        <w:ind w:left="2160" w:hanging="720"/>
        <w:contextualSpacing w:val="0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>New Substation D2 (110/33 kV)</w:t>
      </w:r>
    </w:p>
    <w:p w14:paraId="51D50D1F" w14:textId="2CDB63E5" w:rsidR="00961987" w:rsidRPr="00961987" w:rsidRDefault="00961987" w:rsidP="00FB0168">
      <w:pPr>
        <w:pStyle w:val="ListParagraph"/>
        <w:numPr>
          <w:ilvl w:val="2"/>
          <w:numId w:val="4"/>
        </w:numPr>
        <w:spacing w:after="0" w:line="240" w:lineRule="auto"/>
        <w:ind w:left="2160" w:hanging="720"/>
        <w:contextualSpacing w:val="0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lastRenderedPageBreak/>
        <w:t>New Substation AZ (33/6.15 kV)</w:t>
      </w:r>
    </w:p>
    <w:p w14:paraId="75653E2B" w14:textId="779423AD" w:rsidR="00961987" w:rsidRPr="00961987" w:rsidRDefault="00961987" w:rsidP="00FB0168">
      <w:pPr>
        <w:pStyle w:val="ListParagraph"/>
        <w:numPr>
          <w:ilvl w:val="2"/>
          <w:numId w:val="4"/>
        </w:numPr>
        <w:spacing w:after="0" w:line="240" w:lineRule="auto"/>
        <w:ind w:left="2160" w:hanging="720"/>
        <w:contextualSpacing w:val="0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 xml:space="preserve">New Substation </w:t>
      </w:r>
      <w:proofErr w:type="spellStart"/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>Ringweg</w:t>
      </w:r>
      <w:proofErr w:type="spellEnd"/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 xml:space="preserve"> (110/12.3 kV)</w:t>
      </w:r>
    </w:p>
    <w:p w14:paraId="480EE4A4" w14:textId="09299BBD" w:rsidR="00961987" w:rsidRPr="00961987" w:rsidRDefault="00961987" w:rsidP="00FB0168">
      <w:pPr>
        <w:pStyle w:val="ListParagraph"/>
        <w:numPr>
          <w:ilvl w:val="2"/>
          <w:numId w:val="4"/>
        </w:numPr>
        <w:spacing w:after="0" w:line="240" w:lineRule="auto"/>
        <w:ind w:left="2160" w:hanging="720"/>
        <w:contextualSpacing w:val="0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>Expansion of Substation E (110/33 kV)</w:t>
      </w:r>
    </w:p>
    <w:p w14:paraId="7E664C81" w14:textId="1C4846C1" w:rsidR="00961987" w:rsidRDefault="00961987" w:rsidP="00FB0168">
      <w:pPr>
        <w:pStyle w:val="ListParagraph"/>
        <w:numPr>
          <w:ilvl w:val="2"/>
          <w:numId w:val="4"/>
        </w:numPr>
        <w:spacing w:after="0" w:line="240" w:lineRule="auto"/>
        <w:ind w:left="2160" w:hanging="720"/>
        <w:contextualSpacing w:val="0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>Expansion of Substation J (110/33 kV)</w:t>
      </w:r>
    </w:p>
    <w:p w14:paraId="3591E467" w14:textId="77777777" w:rsidR="004B2EDA" w:rsidRPr="00961987" w:rsidRDefault="004B2EDA" w:rsidP="00FB0168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</w:p>
    <w:p w14:paraId="38F420DB" w14:textId="485DBDB2" w:rsidR="00961987" w:rsidRDefault="00961987" w:rsidP="00FB0168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>33 kV Transmission Lines Paramaribo which include:</w:t>
      </w:r>
    </w:p>
    <w:p w14:paraId="51D30E87" w14:textId="77777777" w:rsidR="00391EF6" w:rsidRPr="00961987" w:rsidRDefault="00391EF6" w:rsidP="00FB0168">
      <w:pPr>
        <w:pStyle w:val="ListParagraph"/>
        <w:spacing w:after="0" w:line="240" w:lineRule="auto"/>
        <w:ind w:left="1440"/>
        <w:contextualSpacing w:val="0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</w:p>
    <w:p w14:paraId="089D3872" w14:textId="1BCF0A38" w:rsidR="00961987" w:rsidRDefault="00961987" w:rsidP="00FB016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  <w:r w:rsidRPr="00C879C5">
        <w:rPr>
          <w:rFonts w:ascii="Times New Roman" w:hAnsi="Times New Roman" w:cs="Times New Roman"/>
          <w:color w:val="auto"/>
          <w:sz w:val="22"/>
          <w:szCs w:val="22"/>
          <w:lang w:val="en-029"/>
        </w:rPr>
        <w:t>S/S D - S/S D2 (33 kV cable)</w:t>
      </w:r>
    </w:p>
    <w:p w14:paraId="128B1A73" w14:textId="56E15E6C" w:rsidR="00961987" w:rsidRDefault="00961987" w:rsidP="00FB016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>Loop in Loop out to S/S AZ (33 kV cable)</w:t>
      </w:r>
    </w:p>
    <w:p w14:paraId="7D82679E" w14:textId="77777777" w:rsidR="004B2EDA" w:rsidRPr="00961987" w:rsidRDefault="004B2EDA" w:rsidP="00FB0168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</w:p>
    <w:p w14:paraId="0ECE214C" w14:textId="53637C00" w:rsidR="00961987" w:rsidRDefault="00961987" w:rsidP="00FB0168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 xml:space="preserve">33 kV and 12.3 kV Substations </w:t>
      </w:r>
      <w:proofErr w:type="spellStart"/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>Nickerie</w:t>
      </w:r>
      <w:proofErr w:type="spellEnd"/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 xml:space="preserve"> which include:</w:t>
      </w:r>
    </w:p>
    <w:p w14:paraId="2A98E158" w14:textId="77777777" w:rsidR="00AC6331" w:rsidRPr="00961987" w:rsidRDefault="00AC6331" w:rsidP="00FB016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</w:p>
    <w:p w14:paraId="14E00EB1" w14:textId="1EF04C5F" w:rsidR="00961987" w:rsidRPr="00C879C5" w:rsidRDefault="00961987" w:rsidP="00FB0168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  <w:r w:rsidRPr="00C879C5">
        <w:rPr>
          <w:rFonts w:ascii="Times New Roman" w:hAnsi="Times New Roman" w:cs="Times New Roman"/>
          <w:color w:val="auto"/>
          <w:sz w:val="22"/>
          <w:szCs w:val="22"/>
          <w:lang w:val="en-029"/>
        </w:rPr>
        <w:t>New Substation Clara (12.3/33 kV)</w:t>
      </w:r>
    </w:p>
    <w:p w14:paraId="72A06AF9" w14:textId="03AEAB03" w:rsidR="00961987" w:rsidRDefault="00961987" w:rsidP="00FB0168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  <w:r w:rsidRPr="00C879C5">
        <w:rPr>
          <w:rFonts w:ascii="Times New Roman" w:hAnsi="Times New Roman" w:cs="Times New Roman"/>
          <w:color w:val="auto"/>
          <w:sz w:val="22"/>
          <w:szCs w:val="22"/>
          <w:lang w:val="en-029"/>
        </w:rPr>
        <w:t xml:space="preserve">New Substation van </w:t>
      </w:r>
      <w:proofErr w:type="spellStart"/>
      <w:r w:rsidRPr="00C879C5">
        <w:rPr>
          <w:rFonts w:ascii="Times New Roman" w:hAnsi="Times New Roman" w:cs="Times New Roman"/>
          <w:color w:val="auto"/>
          <w:sz w:val="22"/>
          <w:szCs w:val="22"/>
          <w:lang w:val="en-029"/>
        </w:rPr>
        <w:t>Pettenpolder</w:t>
      </w:r>
      <w:proofErr w:type="spellEnd"/>
      <w:r w:rsidRPr="00C879C5">
        <w:rPr>
          <w:rFonts w:ascii="Times New Roman" w:hAnsi="Times New Roman" w:cs="Times New Roman"/>
          <w:color w:val="auto"/>
          <w:sz w:val="22"/>
          <w:szCs w:val="22"/>
          <w:lang w:val="en-029"/>
        </w:rPr>
        <w:t xml:space="preserve"> (33/12.3 kV)</w:t>
      </w:r>
    </w:p>
    <w:p w14:paraId="54EF2405" w14:textId="77777777" w:rsidR="00AC6331" w:rsidRPr="00C879C5" w:rsidRDefault="00AC6331" w:rsidP="00FB016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</w:p>
    <w:p w14:paraId="76EA4181" w14:textId="6B4E6266" w:rsidR="00961987" w:rsidRPr="00961987" w:rsidRDefault="00961987" w:rsidP="00FB016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>Beside the specified main equipment, it will be necessary to include all</w:t>
      </w:r>
      <w:r>
        <w:rPr>
          <w:rFonts w:ascii="Times New Roman" w:hAnsi="Times New Roman" w:cs="Times New Roman"/>
          <w:color w:val="auto"/>
          <w:sz w:val="22"/>
          <w:szCs w:val="22"/>
          <w:lang w:val="en-029"/>
        </w:rPr>
        <w:t xml:space="preserve"> </w:t>
      </w:r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>other related equipment, and ancillary facilities as will be</w:t>
      </w:r>
      <w:r>
        <w:rPr>
          <w:rFonts w:ascii="Times New Roman" w:hAnsi="Times New Roman" w:cs="Times New Roman"/>
          <w:color w:val="auto"/>
          <w:sz w:val="22"/>
          <w:szCs w:val="22"/>
          <w:lang w:val="en-029"/>
        </w:rPr>
        <w:t xml:space="preserve"> </w:t>
      </w:r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>necessary in the manner, to the specified standards, within the time and</w:t>
      </w:r>
      <w:r>
        <w:rPr>
          <w:rFonts w:ascii="Times New Roman" w:hAnsi="Times New Roman" w:cs="Times New Roman"/>
          <w:color w:val="auto"/>
          <w:sz w:val="22"/>
          <w:szCs w:val="22"/>
          <w:lang w:val="en-029"/>
        </w:rPr>
        <w:t xml:space="preserve"> </w:t>
      </w:r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>within the price agreed as outlined in the schedule of requirements and t</w:t>
      </w:r>
      <w:r w:rsidR="00AA22AD">
        <w:rPr>
          <w:rFonts w:ascii="Times New Roman" w:hAnsi="Times New Roman" w:cs="Times New Roman"/>
          <w:color w:val="auto"/>
          <w:sz w:val="22"/>
          <w:szCs w:val="22"/>
          <w:lang w:val="en-029"/>
        </w:rPr>
        <w:t xml:space="preserve">he </w:t>
      </w:r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>technical requirements and in accordance with the procedures, conditions</w:t>
      </w:r>
      <w:r>
        <w:rPr>
          <w:rFonts w:ascii="Times New Roman" w:hAnsi="Times New Roman" w:cs="Times New Roman"/>
          <w:color w:val="auto"/>
          <w:sz w:val="22"/>
          <w:szCs w:val="22"/>
          <w:lang w:val="en-029"/>
        </w:rPr>
        <w:t xml:space="preserve"> </w:t>
      </w:r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 xml:space="preserve">and contract terms prescribed in </w:t>
      </w:r>
      <w:r w:rsidR="008951CB"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>the</w:t>
      </w:r>
      <w:r w:rsidR="008951CB">
        <w:rPr>
          <w:rFonts w:ascii="Times New Roman" w:hAnsi="Times New Roman" w:cs="Times New Roman"/>
          <w:color w:val="auto"/>
          <w:sz w:val="22"/>
          <w:szCs w:val="22"/>
          <w:lang w:val="en-029"/>
        </w:rPr>
        <w:t xml:space="preserve"> </w:t>
      </w:r>
      <w:r w:rsidRPr="00961987">
        <w:rPr>
          <w:rFonts w:ascii="Times New Roman" w:hAnsi="Times New Roman" w:cs="Times New Roman"/>
          <w:color w:val="auto"/>
          <w:sz w:val="22"/>
          <w:szCs w:val="22"/>
          <w:lang w:val="en-029"/>
        </w:rPr>
        <w:t>Tender documents</w:t>
      </w:r>
      <w:r w:rsidR="008951CB">
        <w:rPr>
          <w:rFonts w:ascii="Times New Roman" w:hAnsi="Times New Roman" w:cs="Times New Roman"/>
          <w:color w:val="auto"/>
          <w:sz w:val="22"/>
          <w:szCs w:val="22"/>
          <w:lang w:val="en-029"/>
        </w:rPr>
        <w:t>.</w:t>
      </w:r>
    </w:p>
    <w:sectPr w:rsidR="00961987" w:rsidRPr="00961987" w:rsidSect="00332F69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85E7" w14:textId="77777777" w:rsidR="00A0015F" w:rsidRDefault="00A0015F" w:rsidP="00B66FBB">
      <w:pPr>
        <w:spacing w:after="0" w:line="240" w:lineRule="auto"/>
      </w:pPr>
      <w:r>
        <w:separator/>
      </w:r>
    </w:p>
  </w:endnote>
  <w:endnote w:type="continuationSeparator" w:id="0">
    <w:p w14:paraId="64A24FF8" w14:textId="77777777" w:rsidR="00A0015F" w:rsidRDefault="00A0015F" w:rsidP="00B6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9FB5" w14:textId="1CAFE531" w:rsidR="00332F69" w:rsidRPr="008A620C" w:rsidRDefault="00332F69" w:rsidP="00332F69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hAnsi="Times New Roman" w:cs="Times New Roman"/>
        <w:color w:val="auto"/>
        <w:sz w:val="16"/>
        <w:szCs w:val="16"/>
      </w:rPr>
    </w:pPr>
    <w:r w:rsidRPr="008A620C"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36E611F" wp14:editId="6D48CB65">
              <wp:simplePos x="0" y="0"/>
              <wp:positionH relativeFrom="column">
                <wp:posOffset>3537585</wp:posOffset>
              </wp:positionH>
              <wp:positionV relativeFrom="paragraph">
                <wp:posOffset>87629</wp:posOffset>
              </wp:positionV>
              <wp:extent cx="2413635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4136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E1AA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8.55pt,6.9pt" to="468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" strokecolor="#5b9bd5" strokeweight="1pt">
              <v:stroke joinstyle="miter"/>
              <o:lock v:ext="edit" shapetype="f"/>
            </v:line>
          </w:pict>
        </mc:Fallback>
      </mc:AlternateContent>
    </w:r>
  </w:p>
  <w:p w14:paraId="234B9422" w14:textId="77777777" w:rsidR="00332F69" w:rsidRPr="008A620C" w:rsidRDefault="00332F69" w:rsidP="00332F69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hAnsi="Times New Roman" w:cs="Times New Roman"/>
        <w:color w:val="auto"/>
        <w:sz w:val="16"/>
        <w:szCs w:val="16"/>
      </w:rPr>
    </w:pPr>
    <w:r w:rsidRPr="008A620C">
      <w:rPr>
        <w:rFonts w:ascii="Times New Roman" w:hAnsi="Times New Roman" w:cs="Times New Roman"/>
        <w:color w:val="auto"/>
        <w:sz w:val="16"/>
        <w:szCs w:val="16"/>
      </w:rPr>
      <w:t xml:space="preserve">P.O. Box 408, </w:t>
    </w:r>
    <w:proofErr w:type="spellStart"/>
    <w:r w:rsidRPr="008A620C">
      <w:rPr>
        <w:rFonts w:ascii="Times New Roman" w:hAnsi="Times New Roman" w:cs="Times New Roman"/>
        <w:color w:val="auto"/>
        <w:sz w:val="16"/>
        <w:szCs w:val="16"/>
      </w:rPr>
      <w:t>Wildey</w:t>
    </w:r>
    <w:proofErr w:type="spellEnd"/>
    <w:r w:rsidRPr="008A620C">
      <w:rPr>
        <w:rFonts w:ascii="Times New Roman" w:hAnsi="Times New Roman" w:cs="Times New Roman"/>
        <w:color w:val="auto"/>
        <w:sz w:val="16"/>
        <w:szCs w:val="16"/>
      </w:rPr>
      <w:t>, St. Michael, Barbados, W.I. BB11000</w:t>
    </w:r>
  </w:p>
  <w:p w14:paraId="257EAABA" w14:textId="77777777" w:rsidR="00332F69" w:rsidRDefault="00332F69" w:rsidP="00332F69">
    <w:pPr>
      <w:tabs>
        <w:tab w:val="center" w:pos="4320"/>
        <w:tab w:val="right" w:pos="8640"/>
      </w:tabs>
      <w:spacing w:after="0" w:line="240" w:lineRule="auto"/>
      <w:jc w:val="right"/>
    </w:pPr>
    <w:r w:rsidRPr="008A620C">
      <w:rPr>
        <w:rFonts w:ascii="Times New Roman" w:hAnsi="Times New Roman" w:cs="Times New Roman"/>
        <w:color w:val="auto"/>
        <w:sz w:val="16"/>
        <w:szCs w:val="16"/>
      </w:rPr>
      <w:t xml:space="preserve">Tel: (246) 539-1600 | Fax: (246) 426-7269 | Website: </w:t>
    </w:r>
    <w:hyperlink r:id="rId1" w:history="1">
      <w:r w:rsidRPr="008A620C">
        <w:rPr>
          <w:rFonts w:ascii="Times New Roman" w:hAnsi="Times New Roman" w:cs="Times New Roman"/>
          <w:color w:val="auto"/>
          <w:sz w:val="16"/>
          <w:szCs w:val="16"/>
          <w:u w:val="single"/>
        </w:rPr>
        <w:t>www.caribank.org</w:t>
      </w:r>
    </w:hyperlink>
    <w:r w:rsidRPr="008A620C">
      <w:rPr>
        <w:rFonts w:ascii="Times New Roman" w:hAnsi="Times New Roman" w:cs="Times New Roman"/>
        <w:color w:val="auto"/>
        <w:sz w:val="16"/>
        <w:szCs w:val="16"/>
      </w:rPr>
      <w:t xml:space="preserve"> | Email: info@caribank.org</w:t>
    </w:r>
  </w:p>
  <w:p w14:paraId="1AE4193A" w14:textId="77777777" w:rsidR="00332F69" w:rsidRDefault="00332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6D89" w14:textId="77777777" w:rsidR="00A0015F" w:rsidRDefault="00A0015F" w:rsidP="00B66FBB">
      <w:pPr>
        <w:spacing w:after="0" w:line="240" w:lineRule="auto"/>
      </w:pPr>
      <w:r>
        <w:separator/>
      </w:r>
    </w:p>
  </w:footnote>
  <w:footnote w:type="continuationSeparator" w:id="0">
    <w:p w14:paraId="6E42BDF5" w14:textId="77777777" w:rsidR="00A0015F" w:rsidRDefault="00A0015F" w:rsidP="00B6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96EB" w14:textId="0A3B986F" w:rsidR="00B66FBB" w:rsidRDefault="00360598">
    <w:pPr>
      <w:pStyle w:val="Header"/>
    </w:pPr>
    <w:r>
      <w:rPr>
        <w:noProof/>
      </w:rPr>
      <w:drawing>
        <wp:inline distT="0" distB="0" distL="0" distR="0" wp14:anchorId="5C313E97" wp14:editId="47B873B4">
          <wp:extent cx="1276350" cy="1247775"/>
          <wp:effectExtent l="0" t="0" r="0" b="0"/>
          <wp:docPr id="1" name="Picture 69" descr="LETTER CONTINUE 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LETTER CONTINUE 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A5C4" w14:textId="6EC2B686" w:rsidR="00332F69" w:rsidRPr="00332F69" w:rsidRDefault="00332F69" w:rsidP="00332F69">
    <w:pPr>
      <w:pStyle w:val="Header"/>
    </w:pPr>
    <w:r w:rsidRPr="0083667A">
      <w:rPr>
        <w:noProof/>
      </w:rPr>
      <w:drawing>
        <wp:inline distT="0" distB="0" distL="0" distR="0" wp14:anchorId="0B633955" wp14:editId="05F6F932">
          <wp:extent cx="1276350" cy="1247775"/>
          <wp:effectExtent l="0" t="0" r="0" b="9525"/>
          <wp:docPr id="4" name="Picture 4" descr="LETTER CONTINUE 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LETTER CONTINUE 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8A3"/>
    <w:multiLevelType w:val="hybridMultilevel"/>
    <w:tmpl w:val="8DACA6D8"/>
    <w:lvl w:ilvl="0" w:tplc="4692CCE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1082C82"/>
    <w:multiLevelType w:val="hybridMultilevel"/>
    <w:tmpl w:val="DF90213E"/>
    <w:lvl w:ilvl="0" w:tplc="D70440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F005C48">
      <w:numFmt w:val="bullet"/>
      <w:lvlText w:val="•"/>
      <w:lvlJc w:val="left"/>
      <w:pPr>
        <w:ind w:left="2700" w:hanging="36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50537E"/>
    <w:multiLevelType w:val="hybridMultilevel"/>
    <w:tmpl w:val="F614DD24"/>
    <w:lvl w:ilvl="0" w:tplc="BAD616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D7464F"/>
    <w:multiLevelType w:val="hybridMultilevel"/>
    <w:tmpl w:val="01A8E4E8"/>
    <w:lvl w:ilvl="0" w:tplc="4692CCE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4692CCEE">
      <w:start w:val="1"/>
      <w:numFmt w:val="lowerRoman"/>
      <w:lvlText w:val="(%3)"/>
      <w:lvlJc w:val="left"/>
      <w:pPr>
        <w:ind w:left="43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D8C0A68"/>
    <w:multiLevelType w:val="hybridMultilevel"/>
    <w:tmpl w:val="D230029A"/>
    <w:lvl w:ilvl="0" w:tplc="4B489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70FE8"/>
    <w:multiLevelType w:val="hybridMultilevel"/>
    <w:tmpl w:val="7DB0563E"/>
    <w:lvl w:ilvl="0" w:tplc="616E0E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2F"/>
    <w:rsid w:val="00002EA1"/>
    <w:rsid w:val="00020582"/>
    <w:rsid w:val="00057517"/>
    <w:rsid w:val="000A0092"/>
    <w:rsid w:val="000E0EAE"/>
    <w:rsid w:val="00104566"/>
    <w:rsid w:val="00140937"/>
    <w:rsid w:val="001A52A6"/>
    <w:rsid w:val="001A7982"/>
    <w:rsid w:val="001C5B09"/>
    <w:rsid w:val="001D6678"/>
    <w:rsid w:val="001F3056"/>
    <w:rsid w:val="00201A7E"/>
    <w:rsid w:val="0020641A"/>
    <w:rsid w:val="00275F2D"/>
    <w:rsid w:val="002D6505"/>
    <w:rsid w:val="00332F69"/>
    <w:rsid w:val="00360598"/>
    <w:rsid w:val="003846D1"/>
    <w:rsid w:val="00391EF6"/>
    <w:rsid w:val="003B5EC1"/>
    <w:rsid w:val="003D525A"/>
    <w:rsid w:val="00470D76"/>
    <w:rsid w:val="00481F2F"/>
    <w:rsid w:val="004B2EDA"/>
    <w:rsid w:val="004D3F75"/>
    <w:rsid w:val="004E1FB8"/>
    <w:rsid w:val="004E676F"/>
    <w:rsid w:val="00547590"/>
    <w:rsid w:val="005B3029"/>
    <w:rsid w:val="006554EF"/>
    <w:rsid w:val="006B4E21"/>
    <w:rsid w:val="006B547F"/>
    <w:rsid w:val="006B7B72"/>
    <w:rsid w:val="007108B0"/>
    <w:rsid w:val="00712B48"/>
    <w:rsid w:val="007367F4"/>
    <w:rsid w:val="00761CB1"/>
    <w:rsid w:val="007D1CA0"/>
    <w:rsid w:val="007E5BAF"/>
    <w:rsid w:val="007E7974"/>
    <w:rsid w:val="00825C11"/>
    <w:rsid w:val="00832630"/>
    <w:rsid w:val="0083451A"/>
    <w:rsid w:val="008951CB"/>
    <w:rsid w:val="008B2B87"/>
    <w:rsid w:val="00930220"/>
    <w:rsid w:val="0095397D"/>
    <w:rsid w:val="00956368"/>
    <w:rsid w:val="00961987"/>
    <w:rsid w:val="00971BB6"/>
    <w:rsid w:val="00997A55"/>
    <w:rsid w:val="009D6D53"/>
    <w:rsid w:val="00A0015F"/>
    <w:rsid w:val="00A30788"/>
    <w:rsid w:val="00A63E48"/>
    <w:rsid w:val="00A87F40"/>
    <w:rsid w:val="00AA22AD"/>
    <w:rsid w:val="00AA50E0"/>
    <w:rsid w:val="00AB72E1"/>
    <w:rsid w:val="00AC6331"/>
    <w:rsid w:val="00AD7D2F"/>
    <w:rsid w:val="00B3048D"/>
    <w:rsid w:val="00B34AD6"/>
    <w:rsid w:val="00B41CAB"/>
    <w:rsid w:val="00B4728F"/>
    <w:rsid w:val="00B64142"/>
    <w:rsid w:val="00B66FBB"/>
    <w:rsid w:val="00B906CC"/>
    <w:rsid w:val="00BC5E40"/>
    <w:rsid w:val="00BF33CA"/>
    <w:rsid w:val="00C20E42"/>
    <w:rsid w:val="00C33241"/>
    <w:rsid w:val="00C41F5F"/>
    <w:rsid w:val="00C858E8"/>
    <w:rsid w:val="00C879C5"/>
    <w:rsid w:val="00CA6813"/>
    <w:rsid w:val="00CC3BC2"/>
    <w:rsid w:val="00CD3428"/>
    <w:rsid w:val="00CE5C54"/>
    <w:rsid w:val="00CE74AC"/>
    <w:rsid w:val="00D1657A"/>
    <w:rsid w:val="00D16821"/>
    <w:rsid w:val="00D51EC2"/>
    <w:rsid w:val="00D52A51"/>
    <w:rsid w:val="00D608E9"/>
    <w:rsid w:val="00D74E1B"/>
    <w:rsid w:val="00DB3B01"/>
    <w:rsid w:val="00DE41BC"/>
    <w:rsid w:val="00E53DAC"/>
    <w:rsid w:val="00E97F14"/>
    <w:rsid w:val="00EC2263"/>
    <w:rsid w:val="00ED51F3"/>
    <w:rsid w:val="00EF0577"/>
    <w:rsid w:val="00F12FD1"/>
    <w:rsid w:val="00F261F6"/>
    <w:rsid w:val="00F30EC3"/>
    <w:rsid w:val="00F45280"/>
    <w:rsid w:val="00F54E5E"/>
    <w:rsid w:val="00F57BBF"/>
    <w:rsid w:val="00F76360"/>
    <w:rsid w:val="00F906BD"/>
    <w:rsid w:val="00FB0168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F7320"/>
  <w15:docId w15:val="{770FE0E7-F730-4E81-9015-6AA6B784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74"/>
    <w:pPr>
      <w:spacing w:after="200" w:line="276" w:lineRule="auto"/>
    </w:pPr>
    <w:rPr>
      <w:color w:val="282BA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F2F"/>
    <w:pPr>
      <w:ind w:left="720"/>
      <w:contextualSpacing/>
    </w:pPr>
  </w:style>
  <w:style w:type="table" w:styleId="TableGrid">
    <w:name w:val="Table Grid"/>
    <w:basedOn w:val="TableNormal"/>
    <w:uiPriority w:val="59"/>
    <w:rsid w:val="0048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F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66FBB"/>
    <w:rPr>
      <w:color w:val="282BA4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F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6FBB"/>
    <w:rPr>
      <w:color w:val="282BA4"/>
      <w:sz w:val="24"/>
      <w:szCs w:val="24"/>
    </w:rPr>
  </w:style>
  <w:style w:type="paragraph" w:styleId="Revision">
    <w:name w:val="Revision"/>
    <w:hidden/>
    <w:uiPriority w:val="99"/>
    <w:semiHidden/>
    <w:rsid w:val="008951CB"/>
    <w:rPr>
      <w:color w:val="282BA4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1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EC2"/>
    <w:rPr>
      <w:color w:val="282BA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EC2"/>
    <w:rPr>
      <w:b/>
      <w:bCs/>
      <w:color w:val="282BA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iban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35158-D15A-4DD0-8F56-1D3D0E26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Caribbean Development Bank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holders</dc:creator>
  <cp:keywords/>
  <dc:description/>
  <cp:lastModifiedBy>Sonia Harrison</cp:lastModifiedBy>
  <cp:revision>2</cp:revision>
  <cp:lastPrinted>2012-02-24T15:21:00Z</cp:lastPrinted>
  <dcterms:created xsi:type="dcterms:W3CDTF">2022-02-11T21:42:00Z</dcterms:created>
  <dcterms:modified xsi:type="dcterms:W3CDTF">2022-02-11T21:42:00Z</dcterms:modified>
</cp:coreProperties>
</file>