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C65E" w14:textId="55D9EC6D" w:rsidR="00641BB0" w:rsidRPr="00D27316" w:rsidRDefault="00641BB0" w:rsidP="00641BB0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D27316">
        <w:rPr>
          <w:rFonts w:ascii="Times New Roman" w:hAnsi="Times New Roman" w:cs="Times New Roman"/>
          <w:b/>
          <w:bCs/>
          <w:u w:val="single"/>
          <w:lang w:val="en-US"/>
        </w:rPr>
        <w:t>CONTRACT AWARD INFORMATION – CONSULTANCY SERVICES</w:t>
      </w:r>
    </w:p>
    <w:p w14:paraId="2450066A" w14:textId="2D12CACE" w:rsidR="00641BB0" w:rsidRPr="00D27316" w:rsidRDefault="00641BB0" w:rsidP="00641BB0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44FB0073" w14:textId="0B92720A" w:rsidR="00641BB0" w:rsidRPr="00641BB0" w:rsidRDefault="002D43EF" w:rsidP="00641BB0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SUPPORTING THE CARIBBEAN DEVELOPMENT BANK (CDB) TO ESTABLISH AND CAPITALISE A CLIMATE CHANGE PROJECT PREPARATION FUND</w:t>
      </w:r>
    </w:p>
    <w:p w14:paraId="7092CA51" w14:textId="4A686E1A" w:rsidR="00641BB0" w:rsidRPr="00641BB0" w:rsidRDefault="00641BB0" w:rsidP="00641BB0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14:paraId="2354ABD8" w14:textId="64674FC7" w:rsidR="00641BB0" w:rsidRPr="00641BB0" w:rsidRDefault="00641BB0" w:rsidP="00641BB0">
      <w:pPr>
        <w:spacing w:after="0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641BB0">
        <w:rPr>
          <w:rFonts w:ascii="Times New Roman" w:hAnsi="Times New Roman" w:cs="Times New Roman"/>
          <w:b/>
          <w:bCs/>
          <w:u w:val="single"/>
          <w:lang w:val="en-US"/>
        </w:rPr>
        <w:t>CARIBBEAN DEVELOPMENT BANK</w:t>
      </w:r>
    </w:p>
    <w:p w14:paraId="6A6C63B3" w14:textId="5B39C522" w:rsidR="00641BB0" w:rsidRDefault="00641BB0" w:rsidP="00641BB0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1EC5FD23" w14:textId="7CDBFEE2" w:rsidR="00641BB0" w:rsidRPr="00C135ED" w:rsidRDefault="00641BB0" w:rsidP="00641BB0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797304">
        <w:rPr>
          <w:rFonts w:ascii="Times New Roman" w:hAnsi="Times New Roman" w:cs="Times New Roman"/>
          <w:b/>
          <w:bCs/>
          <w:lang w:val="en-US"/>
        </w:rPr>
        <w:t>1.</w:t>
      </w:r>
      <w:r w:rsidRPr="00797304">
        <w:rPr>
          <w:rFonts w:ascii="Times New Roman" w:hAnsi="Times New Roman" w:cs="Times New Roman"/>
          <w:b/>
          <w:bCs/>
          <w:lang w:val="en-US"/>
        </w:rPr>
        <w:tab/>
        <w:t>Summary of Scores: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0"/>
        <w:gridCol w:w="961"/>
        <w:gridCol w:w="1141"/>
        <w:gridCol w:w="1315"/>
        <w:gridCol w:w="987"/>
        <w:gridCol w:w="1140"/>
        <w:gridCol w:w="1297"/>
        <w:gridCol w:w="827"/>
        <w:gridCol w:w="1174"/>
        <w:gridCol w:w="1145"/>
        <w:gridCol w:w="893"/>
      </w:tblGrid>
      <w:tr w:rsidR="002D43EF" w14:paraId="04070F35" w14:textId="66027F77" w:rsidTr="002D43EF">
        <w:trPr>
          <w:trHeight w:val="375"/>
        </w:trPr>
        <w:tc>
          <w:tcPr>
            <w:tcW w:w="2070" w:type="dxa"/>
            <w:vMerge w:val="restart"/>
            <w:vAlign w:val="center"/>
          </w:tcPr>
          <w:p w14:paraId="2D863198" w14:textId="143AE567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Names of Shortlisted Consultants</w:t>
            </w:r>
          </w:p>
        </w:tc>
        <w:tc>
          <w:tcPr>
            <w:tcW w:w="961" w:type="dxa"/>
            <w:vMerge w:val="restart"/>
            <w:vAlign w:val="center"/>
          </w:tcPr>
          <w:p w14:paraId="102971E2" w14:textId="0D41DE4F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Country</w:t>
            </w:r>
          </w:p>
        </w:tc>
        <w:tc>
          <w:tcPr>
            <w:tcW w:w="6707" w:type="dxa"/>
            <w:gridSpan w:val="6"/>
            <w:vAlign w:val="center"/>
          </w:tcPr>
          <w:p w14:paraId="7E7EA97A" w14:textId="577D7081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Technical Proposal</w:t>
            </w:r>
            <w:r w:rsidR="00D94A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1174" w:type="dxa"/>
            <w:vAlign w:val="center"/>
          </w:tcPr>
          <w:p w14:paraId="26CB94AC" w14:textId="0251EC58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Financial Proposal</w:t>
            </w:r>
            <w:r w:rsidR="00D94AC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1145" w:type="dxa"/>
            <w:vMerge w:val="restart"/>
          </w:tcPr>
          <w:p w14:paraId="1FBDCB30" w14:textId="1105C471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Total Combined Score</w:t>
            </w:r>
          </w:p>
        </w:tc>
        <w:tc>
          <w:tcPr>
            <w:tcW w:w="893" w:type="dxa"/>
            <w:vMerge w:val="restart"/>
          </w:tcPr>
          <w:p w14:paraId="08E0ED92" w14:textId="42ABB8A2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Final Rank</w:t>
            </w:r>
          </w:p>
        </w:tc>
      </w:tr>
      <w:tr w:rsidR="002D43EF" w14:paraId="6E7F71E3" w14:textId="3806BEC0" w:rsidTr="002D43EF">
        <w:trPr>
          <w:trHeight w:val="757"/>
        </w:trPr>
        <w:tc>
          <w:tcPr>
            <w:tcW w:w="2070" w:type="dxa"/>
            <w:vMerge/>
            <w:vAlign w:val="center"/>
          </w:tcPr>
          <w:p w14:paraId="1DDF224C" w14:textId="77777777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61" w:type="dxa"/>
            <w:vMerge/>
            <w:vAlign w:val="center"/>
          </w:tcPr>
          <w:p w14:paraId="14338060" w14:textId="77777777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vAlign w:val="center"/>
          </w:tcPr>
          <w:p w14:paraId="16D09049" w14:textId="4C354424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Specific Experience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20 </w:t>
            </w: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points)</w:t>
            </w:r>
          </w:p>
        </w:tc>
        <w:tc>
          <w:tcPr>
            <w:tcW w:w="1315" w:type="dxa"/>
            <w:vAlign w:val="center"/>
          </w:tcPr>
          <w:p w14:paraId="5A3BF6D7" w14:textId="1FBEAC1C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Methodology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30 </w:t>
            </w: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points)</w:t>
            </w:r>
          </w:p>
        </w:tc>
        <w:tc>
          <w:tcPr>
            <w:tcW w:w="987" w:type="dxa"/>
            <w:vAlign w:val="center"/>
          </w:tcPr>
          <w:p w14:paraId="49798A65" w14:textId="42122AEA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Key Experts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40 </w:t>
            </w: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points)</w:t>
            </w:r>
          </w:p>
        </w:tc>
        <w:tc>
          <w:tcPr>
            <w:tcW w:w="1140" w:type="dxa"/>
            <w:vAlign w:val="center"/>
          </w:tcPr>
          <w:p w14:paraId="654E7FF0" w14:textId="77777777" w:rsidR="002D43EF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Knowledge Transfer</w:t>
            </w:r>
          </w:p>
          <w:p w14:paraId="56BF1AEF" w14:textId="2C6978DD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5 </w:t>
            </w: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points)</w:t>
            </w:r>
          </w:p>
        </w:tc>
        <w:tc>
          <w:tcPr>
            <w:tcW w:w="1297" w:type="dxa"/>
            <w:vAlign w:val="center"/>
          </w:tcPr>
          <w:p w14:paraId="7C791F48" w14:textId="55E2FAEE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National Experts Participation 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5 </w:t>
            </w: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points)</w:t>
            </w:r>
          </w:p>
        </w:tc>
        <w:tc>
          <w:tcPr>
            <w:tcW w:w="827" w:type="dxa"/>
            <w:vAlign w:val="center"/>
          </w:tcPr>
          <w:p w14:paraId="4DB212E7" w14:textId="40E28039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41BB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Total (100)</w:t>
            </w:r>
          </w:p>
        </w:tc>
        <w:tc>
          <w:tcPr>
            <w:tcW w:w="1174" w:type="dxa"/>
            <w:vAlign w:val="center"/>
          </w:tcPr>
          <w:p w14:paraId="438C0A99" w14:textId="251E4863" w:rsidR="002D43EF" w:rsidRPr="00C135ED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C135E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Submitted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 evaluated</w:t>
            </w:r>
            <w:r w:rsidRPr="00C135E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price (USD)</w:t>
            </w:r>
          </w:p>
        </w:tc>
        <w:tc>
          <w:tcPr>
            <w:tcW w:w="1145" w:type="dxa"/>
            <w:vMerge/>
          </w:tcPr>
          <w:p w14:paraId="6A3B3F18" w14:textId="17ED98A6" w:rsidR="002D43EF" w:rsidRPr="00C135ED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893" w:type="dxa"/>
            <w:vMerge/>
          </w:tcPr>
          <w:p w14:paraId="75D094E1" w14:textId="439B94E4" w:rsidR="002D43EF" w:rsidRDefault="002D43EF" w:rsidP="00641BB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2D43EF" w14:paraId="212555E7" w14:textId="5DEC605E" w:rsidTr="002D43EF">
        <w:trPr>
          <w:trHeight w:val="750"/>
        </w:trPr>
        <w:tc>
          <w:tcPr>
            <w:tcW w:w="2070" w:type="dxa"/>
          </w:tcPr>
          <w:p w14:paraId="2A40F74B" w14:textId="376609DE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Baastel</w:t>
            </w:r>
          </w:p>
        </w:tc>
        <w:tc>
          <w:tcPr>
            <w:tcW w:w="961" w:type="dxa"/>
          </w:tcPr>
          <w:p w14:paraId="195BCC65" w14:textId="508C6E29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Canada</w:t>
            </w:r>
          </w:p>
        </w:tc>
        <w:tc>
          <w:tcPr>
            <w:tcW w:w="1141" w:type="dxa"/>
          </w:tcPr>
          <w:p w14:paraId="71BCF17D" w14:textId="04451778" w:rsidR="002D43EF" w:rsidRPr="00641BB0" w:rsidRDefault="00134BA6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12.3</w:t>
            </w:r>
          </w:p>
        </w:tc>
        <w:tc>
          <w:tcPr>
            <w:tcW w:w="1315" w:type="dxa"/>
          </w:tcPr>
          <w:p w14:paraId="78894E74" w14:textId="5EB2ADB4" w:rsidR="002D43EF" w:rsidRPr="00641BB0" w:rsidRDefault="00134BA6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27.7</w:t>
            </w:r>
          </w:p>
        </w:tc>
        <w:tc>
          <w:tcPr>
            <w:tcW w:w="987" w:type="dxa"/>
          </w:tcPr>
          <w:p w14:paraId="4693B6B2" w14:textId="3C18401E" w:rsidR="002D43EF" w:rsidRPr="00641BB0" w:rsidRDefault="00134BA6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1140" w:type="dxa"/>
          </w:tcPr>
          <w:p w14:paraId="2BD49C90" w14:textId="0960A2EE" w:rsidR="002D43EF" w:rsidRPr="00641BB0" w:rsidRDefault="00134BA6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297" w:type="dxa"/>
          </w:tcPr>
          <w:p w14:paraId="1687083F" w14:textId="5B574ABE" w:rsidR="002D43EF" w:rsidRPr="00641BB0" w:rsidRDefault="00134BA6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27" w:type="dxa"/>
          </w:tcPr>
          <w:p w14:paraId="55541ABF" w14:textId="4130C318" w:rsidR="002D43EF" w:rsidRPr="00641BB0" w:rsidRDefault="00D94AC0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</w:t>
            </w:r>
          </w:p>
        </w:tc>
        <w:tc>
          <w:tcPr>
            <w:tcW w:w="1174" w:type="dxa"/>
          </w:tcPr>
          <w:p w14:paraId="169304A1" w14:textId="0B0E74DE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174,900</w:t>
            </w:r>
          </w:p>
        </w:tc>
        <w:tc>
          <w:tcPr>
            <w:tcW w:w="1145" w:type="dxa"/>
          </w:tcPr>
          <w:p w14:paraId="09EF2B07" w14:textId="14B88F46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82.1</w:t>
            </w:r>
          </w:p>
        </w:tc>
        <w:tc>
          <w:tcPr>
            <w:tcW w:w="893" w:type="dxa"/>
          </w:tcPr>
          <w:p w14:paraId="5039CDE4" w14:textId="79B3CC39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2D43EF" w:rsidRPr="002D43EF" w14:paraId="1F33EF4A" w14:textId="549C7234" w:rsidTr="002D43EF">
        <w:trPr>
          <w:trHeight w:val="563"/>
        </w:trPr>
        <w:tc>
          <w:tcPr>
            <w:tcW w:w="2070" w:type="dxa"/>
          </w:tcPr>
          <w:p w14:paraId="305D4859" w14:textId="3463650A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CPCS Transcom Limited </w:t>
            </w:r>
            <w:r w:rsidR="009835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with the greenwerk as sub-consultant</w:t>
            </w:r>
            <w:r w:rsidR="009835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961" w:type="dxa"/>
          </w:tcPr>
          <w:p w14:paraId="05AD587A" w14:textId="563B9120" w:rsidR="002D43EF" w:rsidRPr="00641BB0" w:rsidRDefault="00134BA6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Canada, Germany</w:t>
            </w:r>
          </w:p>
        </w:tc>
        <w:tc>
          <w:tcPr>
            <w:tcW w:w="1141" w:type="dxa"/>
          </w:tcPr>
          <w:p w14:paraId="6627E123" w14:textId="3B47F132" w:rsidR="002D43EF" w:rsidRPr="00641BB0" w:rsidRDefault="00134BA6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16.6</w:t>
            </w:r>
          </w:p>
        </w:tc>
        <w:tc>
          <w:tcPr>
            <w:tcW w:w="1315" w:type="dxa"/>
          </w:tcPr>
          <w:p w14:paraId="22F4EAFC" w14:textId="6FCA336F" w:rsidR="002D43EF" w:rsidRPr="00641BB0" w:rsidRDefault="00134BA6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987" w:type="dxa"/>
          </w:tcPr>
          <w:p w14:paraId="28E79546" w14:textId="1F0C5875" w:rsidR="002D43EF" w:rsidRPr="00641BB0" w:rsidRDefault="00134BA6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36.3</w:t>
            </w:r>
          </w:p>
        </w:tc>
        <w:tc>
          <w:tcPr>
            <w:tcW w:w="1140" w:type="dxa"/>
          </w:tcPr>
          <w:p w14:paraId="57565C18" w14:textId="37AA4EE1" w:rsidR="002D43EF" w:rsidRPr="00641BB0" w:rsidRDefault="00134BA6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97" w:type="dxa"/>
          </w:tcPr>
          <w:p w14:paraId="2717F15E" w14:textId="7B1C3BC9" w:rsidR="002D43EF" w:rsidRPr="00641BB0" w:rsidRDefault="00134BA6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</w:t>
            </w:r>
          </w:p>
        </w:tc>
        <w:tc>
          <w:tcPr>
            <w:tcW w:w="827" w:type="dxa"/>
          </w:tcPr>
          <w:p w14:paraId="5C936529" w14:textId="5EB390BD" w:rsidR="002D43EF" w:rsidRPr="00641BB0" w:rsidRDefault="00D94AC0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86.3</w:t>
            </w:r>
          </w:p>
        </w:tc>
        <w:tc>
          <w:tcPr>
            <w:tcW w:w="1174" w:type="dxa"/>
          </w:tcPr>
          <w:p w14:paraId="1D9CB0B6" w14:textId="5C00B060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130,357</w:t>
            </w:r>
          </w:p>
        </w:tc>
        <w:tc>
          <w:tcPr>
            <w:tcW w:w="1145" w:type="dxa"/>
          </w:tcPr>
          <w:p w14:paraId="6E5ED120" w14:textId="37442F22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89.1</w:t>
            </w:r>
          </w:p>
        </w:tc>
        <w:tc>
          <w:tcPr>
            <w:tcW w:w="893" w:type="dxa"/>
          </w:tcPr>
          <w:p w14:paraId="10D60E95" w14:textId="74AC3CFD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</w:tr>
      <w:tr w:rsidR="002D43EF" w:rsidRPr="002D43EF" w14:paraId="6D27CEA5" w14:textId="7EFA2DDC" w:rsidTr="002D43EF">
        <w:trPr>
          <w:trHeight w:val="375"/>
        </w:trPr>
        <w:tc>
          <w:tcPr>
            <w:tcW w:w="2070" w:type="dxa"/>
          </w:tcPr>
          <w:p w14:paraId="266FB410" w14:textId="5487DD70" w:rsidR="002D43EF" w:rsidRPr="00641BB0" w:rsidRDefault="002D43EF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Frankfurt School of Finance and Management</w:t>
            </w:r>
          </w:p>
        </w:tc>
        <w:tc>
          <w:tcPr>
            <w:tcW w:w="961" w:type="dxa"/>
          </w:tcPr>
          <w:p w14:paraId="265B9CE9" w14:textId="39205872" w:rsidR="002D43EF" w:rsidRPr="00641BB0" w:rsidRDefault="00807099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Germany</w:t>
            </w:r>
          </w:p>
        </w:tc>
        <w:tc>
          <w:tcPr>
            <w:tcW w:w="1141" w:type="dxa"/>
          </w:tcPr>
          <w:p w14:paraId="239F5AFB" w14:textId="216CD27E" w:rsidR="002D43EF" w:rsidRPr="00641BB0" w:rsidRDefault="00807099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15.8</w:t>
            </w:r>
          </w:p>
        </w:tc>
        <w:tc>
          <w:tcPr>
            <w:tcW w:w="1315" w:type="dxa"/>
          </w:tcPr>
          <w:p w14:paraId="33721BD6" w14:textId="34F036D5" w:rsidR="002D43EF" w:rsidRPr="00641BB0" w:rsidRDefault="00807099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22.6</w:t>
            </w:r>
          </w:p>
        </w:tc>
        <w:tc>
          <w:tcPr>
            <w:tcW w:w="987" w:type="dxa"/>
          </w:tcPr>
          <w:p w14:paraId="3BA2B39D" w14:textId="4A155617" w:rsidR="002D43EF" w:rsidRPr="00641BB0" w:rsidRDefault="00807099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35.7</w:t>
            </w:r>
          </w:p>
        </w:tc>
        <w:tc>
          <w:tcPr>
            <w:tcW w:w="1140" w:type="dxa"/>
          </w:tcPr>
          <w:p w14:paraId="6BD163D3" w14:textId="1E6B8D00" w:rsidR="002D43EF" w:rsidRPr="00641BB0" w:rsidRDefault="00807099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1.6</w:t>
            </w:r>
          </w:p>
        </w:tc>
        <w:tc>
          <w:tcPr>
            <w:tcW w:w="1297" w:type="dxa"/>
          </w:tcPr>
          <w:p w14:paraId="5AEF9507" w14:textId="15D99F0F" w:rsidR="002D43EF" w:rsidRPr="00641BB0" w:rsidRDefault="00807099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827" w:type="dxa"/>
          </w:tcPr>
          <w:p w14:paraId="343525A7" w14:textId="49B43249" w:rsidR="002D43EF" w:rsidRPr="00641BB0" w:rsidRDefault="00D94AC0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80.7</w:t>
            </w:r>
          </w:p>
        </w:tc>
        <w:tc>
          <w:tcPr>
            <w:tcW w:w="1174" w:type="dxa"/>
          </w:tcPr>
          <w:p w14:paraId="75F25806" w14:textId="065C76B6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141,292</w:t>
            </w:r>
          </w:p>
        </w:tc>
        <w:tc>
          <w:tcPr>
            <w:tcW w:w="1145" w:type="dxa"/>
          </w:tcPr>
          <w:p w14:paraId="27E4240C" w14:textId="64A492C9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893" w:type="dxa"/>
          </w:tcPr>
          <w:p w14:paraId="5EBE58EA" w14:textId="13B09E40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2D43EF" w:rsidRPr="002D43EF" w14:paraId="149E87AB" w14:textId="4765FCEC" w:rsidTr="002D43EF">
        <w:trPr>
          <w:trHeight w:val="187"/>
        </w:trPr>
        <w:tc>
          <w:tcPr>
            <w:tcW w:w="2070" w:type="dxa"/>
          </w:tcPr>
          <w:p w14:paraId="47FED8F9" w14:textId="217532FD" w:rsidR="002D43EF" w:rsidRDefault="002D43EF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Rebel Deutschland GmbH</w:t>
            </w:r>
          </w:p>
        </w:tc>
        <w:tc>
          <w:tcPr>
            <w:tcW w:w="961" w:type="dxa"/>
          </w:tcPr>
          <w:p w14:paraId="16D69E1A" w14:textId="0E6D5444" w:rsidR="002D43EF" w:rsidRPr="00641BB0" w:rsidRDefault="00807099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Germany</w:t>
            </w:r>
          </w:p>
        </w:tc>
        <w:tc>
          <w:tcPr>
            <w:tcW w:w="1141" w:type="dxa"/>
          </w:tcPr>
          <w:p w14:paraId="427C1686" w14:textId="5D4B5171" w:rsidR="002D43EF" w:rsidRPr="00641BB0" w:rsidRDefault="009E7F5A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17.7</w:t>
            </w:r>
          </w:p>
        </w:tc>
        <w:tc>
          <w:tcPr>
            <w:tcW w:w="1315" w:type="dxa"/>
          </w:tcPr>
          <w:p w14:paraId="2D78ECAC" w14:textId="6E809E9E" w:rsidR="002D43EF" w:rsidRPr="00641BB0" w:rsidRDefault="009E7F5A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28.3</w:t>
            </w:r>
          </w:p>
        </w:tc>
        <w:tc>
          <w:tcPr>
            <w:tcW w:w="987" w:type="dxa"/>
          </w:tcPr>
          <w:p w14:paraId="131C3BBC" w14:textId="46336C8D" w:rsidR="002D43EF" w:rsidRPr="00641BB0" w:rsidRDefault="009E7F5A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38.3</w:t>
            </w:r>
          </w:p>
        </w:tc>
        <w:tc>
          <w:tcPr>
            <w:tcW w:w="1140" w:type="dxa"/>
          </w:tcPr>
          <w:p w14:paraId="3D2C4615" w14:textId="3DD83EB4" w:rsidR="002D43EF" w:rsidRPr="00641BB0" w:rsidRDefault="009E7F5A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7" w:type="dxa"/>
          </w:tcPr>
          <w:p w14:paraId="6689629A" w14:textId="2BEA654B" w:rsidR="002D43EF" w:rsidRPr="00641BB0" w:rsidRDefault="009E7F5A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827" w:type="dxa"/>
          </w:tcPr>
          <w:p w14:paraId="3F989905" w14:textId="6A8DC032" w:rsidR="002D43EF" w:rsidRPr="00641BB0" w:rsidRDefault="00D94AC0" w:rsidP="00083D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86.3</w:t>
            </w:r>
          </w:p>
        </w:tc>
        <w:tc>
          <w:tcPr>
            <w:tcW w:w="1174" w:type="dxa"/>
          </w:tcPr>
          <w:p w14:paraId="3010B18B" w14:textId="00239754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177,100</w:t>
            </w:r>
          </w:p>
        </w:tc>
        <w:tc>
          <w:tcPr>
            <w:tcW w:w="1145" w:type="dxa"/>
          </w:tcPr>
          <w:p w14:paraId="3574CE18" w14:textId="34E29CF5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83.8</w:t>
            </w:r>
          </w:p>
        </w:tc>
        <w:tc>
          <w:tcPr>
            <w:tcW w:w="893" w:type="dxa"/>
          </w:tcPr>
          <w:p w14:paraId="2EA4C380" w14:textId="0EACBBE3" w:rsidR="002D43EF" w:rsidRPr="00641BB0" w:rsidRDefault="009E7F5A" w:rsidP="00641B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</w:tr>
    </w:tbl>
    <w:p w14:paraId="1AFAFB50" w14:textId="2987EB74" w:rsidR="00641BB0" w:rsidRDefault="00641BB0" w:rsidP="00641BB0">
      <w:pPr>
        <w:spacing w:after="0"/>
        <w:rPr>
          <w:rFonts w:ascii="Times New Roman" w:hAnsi="Times New Roman" w:cs="Times New Roman"/>
          <w:lang w:val="en-US"/>
        </w:rPr>
      </w:pPr>
    </w:p>
    <w:p w14:paraId="5E608E3E" w14:textId="7070C937" w:rsidR="00641BB0" w:rsidRDefault="00641BB0" w:rsidP="00641BB0">
      <w:pPr>
        <w:spacing w:after="0"/>
        <w:rPr>
          <w:rFonts w:ascii="Times New Roman" w:hAnsi="Times New Roman" w:cs="Times New Roman"/>
          <w:lang w:val="en-US"/>
        </w:rPr>
      </w:pPr>
      <w:r w:rsidRPr="00641BB0">
        <w:rPr>
          <w:rFonts w:ascii="Times New Roman" w:hAnsi="Times New Roman" w:cs="Times New Roman"/>
          <w:b/>
          <w:bCs/>
          <w:lang w:val="en-US"/>
        </w:rPr>
        <w:t>2.</w:t>
      </w:r>
      <w:r w:rsidRPr="00641BB0">
        <w:rPr>
          <w:rFonts w:ascii="Times New Roman" w:hAnsi="Times New Roman" w:cs="Times New Roman"/>
          <w:b/>
          <w:bCs/>
          <w:lang w:val="en-US"/>
        </w:rPr>
        <w:tab/>
        <w:t>Name of Successful Consultant:</w:t>
      </w:r>
      <w:r w:rsidR="0017271A">
        <w:rPr>
          <w:rFonts w:ascii="Times New Roman" w:hAnsi="Times New Roman" w:cs="Times New Roman"/>
          <w:lang w:val="en-US"/>
        </w:rPr>
        <w:t xml:space="preserve"> </w:t>
      </w:r>
      <w:r w:rsidR="00983566">
        <w:rPr>
          <w:rFonts w:ascii="Times New Roman" w:hAnsi="Times New Roman" w:cs="Times New Roman"/>
          <w:lang w:val="en-US"/>
        </w:rPr>
        <w:t>CPCS Transcom Limited (with the greenwerk as sub-consultant)</w:t>
      </w:r>
    </w:p>
    <w:p w14:paraId="758FE548" w14:textId="2C5BDF7D" w:rsidR="00641BB0" w:rsidRDefault="00641BB0" w:rsidP="00641BB0">
      <w:pPr>
        <w:spacing w:after="0"/>
        <w:rPr>
          <w:rFonts w:ascii="Times New Roman" w:hAnsi="Times New Roman" w:cs="Times New Roman"/>
          <w:lang w:val="en-US"/>
        </w:rPr>
      </w:pPr>
    </w:p>
    <w:p w14:paraId="5B997A47" w14:textId="27C86BEA" w:rsidR="00641BB0" w:rsidRDefault="00641BB0" w:rsidP="00641BB0">
      <w:pPr>
        <w:spacing w:after="0"/>
        <w:rPr>
          <w:rFonts w:ascii="Times New Roman" w:hAnsi="Times New Roman" w:cs="Times New Roman"/>
          <w:lang w:val="en-US"/>
        </w:rPr>
      </w:pPr>
      <w:r w:rsidRPr="00797304">
        <w:rPr>
          <w:rFonts w:ascii="Times New Roman" w:hAnsi="Times New Roman" w:cs="Times New Roman"/>
          <w:b/>
          <w:bCs/>
          <w:lang w:val="en-US"/>
        </w:rPr>
        <w:t>3.</w:t>
      </w:r>
      <w:r w:rsidRPr="00797304">
        <w:rPr>
          <w:rFonts w:ascii="Times New Roman" w:hAnsi="Times New Roman" w:cs="Times New Roman"/>
          <w:b/>
          <w:bCs/>
          <w:lang w:val="en-US"/>
        </w:rPr>
        <w:tab/>
        <w:t>Final Awarded Price:</w:t>
      </w:r>
      <w:r>
        <w:rPr>
          <w:rFonts w:ascii="Times New Roman" w:hAnsi="Times New Roman" w:cs="Times New Roman"/>
          <w:lang w:val="en-US"/>
        </w:rPr>
        <w:t xml:space="preserve"> USD</w:t>
      </w:r>
      <w:r w:rsidR="00983566">
        <w:rPr>
          <w:rFonts w:ascii="Times New Roman" w:hAnsi="Times New Roman" w:cs="Times New Roman"/>
          <w:lang w:val="en-US"/>
        </w:rPr>
        <w:t>148,453</w:t>
      </w:r>
      <w:r w:rsidR="00570287">
        <w:rPr>
          <w:rStyle w:val="FootnoteReference"/>
          <w:rFonts w:ascii="Times New Roman" w:hAnsi="Times New Roman" w:cs="Times New Roman"/>
          <w:lang w:val="en-US"/>
        </w:rPr>
        <w:footnoteReference w:id="1"/>
      </w:r>
    </w:p>
    <w:p w14:paraId="53F4196A" w14:textId="567FCE93" w:rsidR="00641BB0" w:rsidRDefault="00641BB0" w:rsidP="00641BB0">
      <w:pPr>
        <w:spacing w:after="0"/>
        <w:rPr>
          <w:rFonts w:ascii="Times New Roman" w:hAnsi="Times New Roman" w:cs="Times New Roman"/>
          <w:lang w:val="en-US"/>
        </w:rPr>
      </w:pPr>
    </w:p>
    <w:p w14:paraId="0024B9CB" w14:textId="31CD3ABC" w:rsidR="00641BB0" w:rsidRDefault="00641BB0" w:rsidP="00641BB0">
      <w:pPr>
        <w:spacing w:after="0"/>
        <w:rPr>
          <w:rFonts w:ascii="Times New Roman" w:hAnsi="Times New Roman" w:cs="Times New Roman"/>
          <w:lang w:val="en-US"/>
        </w:rPr>
      </w:pPr>
      <w:r w:rsidRPr="00641BB0">
        <w:rPr>
          <w:rFonts w:ascii="Times New Roman" w:hAnsi="Times New Roman" w:cs="Times New Roman"/>
          <w:b/>
          <w:bCs/>
          <w:lang w:val="en-US"/>
        </w:rPr>
        <w:t>4.</w:t>
      </w:r>
      <w:r w:rsidRPr="00641BB0">
        <w:rPr>
          <w:rFonts w:ascii="Times New Roman" w:hAnsi="Times New Roman" w:cs="Times New Roman"/>
          <w:b/>
          <w:bCs/>
          <w:lang w:val="en-US"/>
        </w:rPr>
        <w:tab/>
        <w:t>Commencement Date of Contract:</w:t>
      </w:r>
      <w:r>
        <w:rPr>
          <w:rFonts w:ascii="Times New Roman" w:hAnsi="Times New Roman" w:cs="Times New Roman"/>
          <w:lang w:val="en-US"/>
        </w:rPr>
        <w:t xml:space="preserve"> </w:t>
      </w:r>
      <w:r w:rsidR="00346582">
        <w:rPr>
          <w:rFonts w:ascii="Times New Roman" w:hAnsi="Times New Roman" w:cs="Times New Roman"/>
          <w:lang w:val="en-US"/>
        </w:rPr>
        <w:t>February 26, 2024</w:t>
      </w:r>
    </w:p>
    <w:p w14:paraId="178A5687" w14:textId="3126465F" w:rsidR="00641BB0" w:rsidRDefault="00641BB0" w:rsidP="00641BB0">
      <w:pPr>
        <w:spacing w:after="0"/>
        <w:rPr>
          <w:rFonts w:ascii="Times New Roman" w:hAnsi="Times New Roman" w:cs="Times New Roman"/>
          <w:lang w:val="en-US"/>
        </w:rPr>
      </w:pPr>
    </w:p>
    <w:p w14:paraId="24666F5F" w14:textId="4FB0D08D" w:rsidR="00641BB0" w:rsidRDefault="00641BB0" w:rsidP="00641BB0">
      <w:pPr>
        <w:spacing w:after="0"/>
        <w:rPr>
          <w:rFonts w:ascii="Times New Roman" w:hAnsi="Times New Roman" w:cs="Times New Roman"/>
          <w:lang w:val="en-US"/>
        </w:rPr>
      </w:pPr>
      <w:r w:rsidRPr="00641BB0">
        <w:rPr>
          <w:rFonts w:ascii="Times New Roman" w:hAnsi="Times New Roman" w:cs="Times New Roman"/>
          <w:b/>
          <w:bCs/>
          <w:lang w:val="en-US"/>
        </w:rPr>
        <w:t>5.</w:t>
      </w:r>
      <w:r w:rsidRPr="00641BB0">
        <w:rPr>
          <w:rFonts w:ascii="Times New Roman" w:hAnsi="Times New Roman" w:cs="Times New Roman"/>
          <w:b/>
          <w:bCs/>
          <w:lang w:val="en-US"/>
        </w:rPr>
        <w:tab/>
        <w:t>Duration of Contract:</w:t>
      </w:r>
      <w:r>
        <w:rPr>
          <w:rFonts w:ascii="Times New Roman" w:hAnsi="Times New Roman" w:cs="Times New Roman"/>
          <w:lang w:val="en-US"/>
        </w:rPr>
        <w:t xml:space="preserve"> </w:t>
      </w:r>
      <w:r w:rsidR="002D43EF">
        <w:rPr>
          <w:rFonts w:ascii="Times New Roman" w:hAnsi="Times New Roman" w:cs="Times New Roman"/>
          <w:lang w:val="en-US"/>
        </w:rPr>
        <w:t xml:space="preserve">9 </w:t>
      </w:r>
      <w:r>
        <w:rPr>
          <w:rFonts w:ascii="Times New Roman" w:hAnsi="Times New Roman" w:cs="Times New Roman"/>
          <w:lang w:val="en-US"/>
        </w:rPr>
        <w:t>months</w:t>
      </w:r>
    </w:p>
    <w:p w14:paraId="1F152115" w14:textId="08A2F67A" w:rsidR="00641BB0" w:rsidRDefault="00641BB0" w:rsidP="00641BB0">
      <w:pPr>
        <w:spacing w:after="0"/>
        <w:rPr>
          <w:rFonts w:ascii="Times New Roman" w:hAnsi="Times New Roman" w:cs="Times New Roman"/>
          <w:lang w:val="en-US"/>
        </w:rPr>
      </w:pPr>
    </w:p>
    <w:p w14:paraId="6ED6639C" w14:textId="11C6A61B" w:rsidR="00641BB0" w:rsidRPr="00835DD3" w:rsidRDefault="00641BB0" w:rsidP="00641BB0">
      <w:pPr>
        <w:spacing w:after="0"/>
        <w:rPr>
          <w:rFonts w:ascii="Times New Roman" w:hAnsi="Times New Roman" w:cs="Times New Roman"/>
          <w:lang w:val="en-US"/>
        </w:rPr>
      </w:pPr>
      <w:r w:rsidRPr="00835DD3">
        <w:rPr>
          <w:rFonts w:ascii="Times New Roman" w:hAnsi="Times New Roman" w:cs="Times New Roman"/>
          <w:b/>
          <w:bCs/>
          <w:lang w:val="en-US"/>
        </w:rPr>
        <w:lastRenderedPageBreak/>
        <w:t>6.</w:t>
      </w:r>
      <w:r w:rsidRPr="00835DD3">
        <w:rPr>
          <w:rFonts w:ascii="Times New Roman" w:hAnsi="Times New Roman" w:cs="Times New Roman"/>
          <w:b/>
          <w:bCs/>
          <w:lang w:val="en-US"/>
        </w:rPr>
        <w:tab/>
        <w:t>Summary Scope of Contract:</w:t>
      </w:r>
      <w:r w:rsidR="00DF3227" w:rsidRPr="00835DD3">
        <w:rPr>
          <w:rFonts w:ascii="Times New Roman" w:hAnsi="Times New Roman" w:cs="Times New Roman"/>
          <w:lang w:val="en-US"/>
        </w:rPr>
        <w:t xml:space="preserve"> </w:t>
      </w:r>
      <w:r w:rsidR="00305916" w:rsidRPr="00835DD3">
        <w:rPr>
          <w:rFonts w:ascii="Times New Roman" w:hAnsi="Times New Roman" w:cs="Times New Roman"/>
          <w:lang w:val="en-US"/>
        </w:rPr>
        <w:t>Under this contract, the consultants will</w:t>
      </w:r>
      <w:r w:rsidR="00835DD3" w:rsidRPr="00835DD3">
        <w:rPr>
          <w:rFonts w:ascii="Times New Roman" w:hAnsi="Times New Roman" w:cs="Times New Roman"/>
          <w:lang w:val="en-US"/>
        </w:rPr>
        <w:t xml:space="preserve"> assist the Caribbean Development Bank (CDB) to establish and capitalise a CDB-managed Climate Change Project Preparation Fund. This will involve: </w:t>
      </w:r>
      <w:r w:rsidR="00835DD3" w:rsidRPr="00835DD3">
        <w:rPr>
          <w:rFonts w:ascii="Times New Roman" w:eastAsiaTheme="minorEastAsia" w:hAnsi="Times New Roman" w:cs="Times New Roman"/>
          <w:lang w:val="en-US"/>
        </w:rPr>
        <w:t>(a) further study</w:t>
      </w:r>
      <w:r w:rsidR="00835DD3" w:rsidRPr="00835DD3">
        <w:rPr>
          <w:rFonts w:ascii="Times New Roman" w:eastAsiaTheme="minorEastAsia" w:hAnsi="Times New Roman" w:cs="Times New Roman"/>
          <w:lang w:val="en-US"/>
        </w:rPr>
        <w:t>ing</w:t>
      </w:r>
      <w:r w:rsidR="00835DD3" w:rsidRPr="00835DD3">
        <w:rPr>
          <w:rFonts w:ascii="Times New Roman" w:eastAsiaTheme="minorEastAsia" w:hAnsi="Times New Roman" w:cs="Times New Roman"/>
          <w:lang w:val="en-US"/>
        </w:rPr>
        <w:t xml:space="preserve"> the project preparation funds managed by other MDBs and development partners to develop a more robust understanding of their experiences, good practices and lessons learned; (b) apply</w:t>
      </w:r>
      <w:r w:rsidR="00835DD3" w:rsidRPr="00835DD3">
        <w:rPr>
          <w:rFonts w:ascii="Times New Roman" w:eastAsiaTheme="minorEastAsia" w:hAnsi="Times New Roman" w:cs="Times New Roman"/>
          <w:lang w:val="en-US"/>
        </w:rPr>
        <w:t>ing</w:t>
      </w:r>
      <w:r w:rsidR="00835DD3" w:rsidRPr="00835DD3">
        <w:rPr>
          <w:rFonts w:ascii="Times New Roman" w:eastAsiaTheme="minorEastAsia" w:hAnsi="Times New Roman" w:cs="Times New Roman"/>
          <w:lang w:val="en-US"/>
        </w:rPr>
        <w:t xml:space="preserve"> this understanding to lead the development of a detailed Climate Change Project Preparation Fund proposal; and (c) develop</w:t>
      </w:r>
      <w:r w:rsidR="00835DD3" w:rsidRPr="00835DD3">
        <w:rPr>
          <w:rFonts w:ascii="Times New Roman" w:eastAsiaTheme="minorEastAsia" w:hAnsi="Times New Roman" w:cs="Times New Roman"/>
          <w:lang w:val="en-US"/>
        </w:rPr>
        <w:t>ing</w:t>
      </w:r>
      <w:r w:rsidR="00835DD3" w:rsidRPr="00835DD3">
        <w:rPr>
          <w:rFonts w:ascii="Times New Roman" w:eastAsiaTheme="minorEastAsia" w:hAnsi="Times New Roman" w:cs="Times New Roman"/>
          <w:lang w:val="en-US"/>
        </w:rPr>
        <w:t xml:space="preserve"> a detailed operational manual, as well as associated guidance and promotional materials for the Climate Change Project Preparation Fund once the proposal is approved by the </w:t>
      </w:r>
      <w:r w:rsidR="00543980">
        <w:rPr>
          <w:rFonts w:ascii="Times New Roman" w:eastAsiaTheme="minorEastAsia" w:hAnsi="Times New Roman" w:cs="Times New Roman"/>
          <w:lang w:val="en-US"/>
        </w:rPr>
        <w:t xml:space="preserve">CDB </w:t>
      </w:r>
      <w:r w:rsidR="00835DD3" w:rsidRPr="00835DD3">
        <w:rPr>
          <w:rFonts w:ascii="Times New Roman" w:eastAsiaTheme="minorEastAsia" w:hAnsi="Times New Roman" w:cs="Times New Roman"/>
          <w:lang w:val="en-US"/>
        </w:rPr>
        <w:t>Board of Directors.</w:t>
      </w:r>
    </w:p>
    <w:p w14:paraId="3AA7CB02" w14:textId="5223D8AD" w:rsidR="00641BB0" w:rsidRPr="00835DD3" w:rsidRDefault="00641BB0" w:rsidP="00641BB0">
      <w:pPr>
        <w:spacing w:after="0"/>
        <w:rPr>
          <w:rFonts w:ascii="Times New Roman" w:hAnsi="Times New Roman" w:cs="Times New Roman"/>
          <w:lang w:val="en-US"/>
        </w:rPr>
      </w:pPr>
    </w:p>
    <w:p w14:paraId="664E4423" w14:textId="18423ABA" w:rsidR="00641BB0" w:rsidRPr="00835DD3" w:rsidRDefault="00641BB0" w:rsidP="00C135ED">
      <w:pPr>
        <w:spacing w:after="0"/>
        <w:ind w:left="1416"/>
        <w:rPr>
          <w:rFonts w:ascii="Times New Roman" w:hAnsi="Times New Roman" w:cs="Times New Roman"/>
          <w:lang w:val="en-US"/>
        </w:rPr>
      </w:pPr>
      <w:r w:rsidRPr="00835DD3">
        <w:rPr>
          <w:rFonts w:ascii="Times New Roman" w:hAnsi="Times New Roman" w:cs="Times New Roman"/>
          <w:b/>
          <w:bCs/>
          <w:lang w:val="en-US"/>
        </w:rPr>
        <w:t>Selection Method:</w:t>
      </w:r>
      <w:r w:rsidRPr="00835DD3">
        <w:rPr>
          <w:rFonts w:ascii="Times New Roman" w:hAnsi="Times New Roman" w:cs="Times New Roman"/>
          <w:lang w:val="en-US"/>
        </w:rPr>
        <w:t xml:space="preserve"> Q</w:t>
      </w:r>
      <w:r w:rsidR="002D43EF" w:rsidRPr="00835DD3">
        <w:rPr>
          <w:rFonts w:ascii="Times New Roman" w:hAnsi="Times New Roman" w:cs="Times New Roman"/>
          <w:lang w:val="en-US"/>
        </w:rPr>
        <w:t>C</w:t>
      </w:r>
      <w:r w:rsidR="00552F16">
        <w:rPr>
          <w:rFonts w:ascii="Times New Roman" w:hAnsi="Times New Roman" w:cs="Times New Roman"/>
          <w:lang w:val="en-US"/>
        </w:rPr>
        <w:t>B</w:t>
      </w:r>
      <w:r w:rsidRPr="00835DD3">
        <w:rPr>
          <w:rFonts w:ascii="Times New Roman" w:hAnsi="Times New Roman" w:cs="Times New Roman"/>
          <w:lang w:val="en-US"/>
        </w:rPr>
        <w:t>S</w:t>
      </w:r>
    </w:p>
    <w:p w14:paraId="447ACD8E" w14:textId="77777777" w:rsidR="007F10EE" w:rsidRDefault="007F10EE" w:rsidP="00C135ED">
      <w:pPr>
        <w:spacing w:after="0"/>
        <w:ind w:left="1416"/>
        <w:rPr>
          <w:rFonts w:ascii="Times New Roman" w:hAnsi="Times New Roman" w:cs="Times New Roman"/>
          <w:lang w:val="en-US"/>
        </w:rPr>
      </w:pPr>
    </w:p>
    <w:p w14:paraId="7CC31D84" w14:textId="3936B4E7" w:rsidR="00641BB0" w:rsidRDefault="00641BB0" w:rsidP="00641BB0">
      <w:pPr>
        <w:spacing w:after="0"/>
        <w:ind w:left="1416"/>
        <w:rPr>
          <w:rFonts w:ascii="Times New Roman" w:hAnsi="Times New Roman" w:cs="Times New Roman"/>
          <w:lang w:val="en-US"/>
        </w:rPr>
      </w:pPr>
      <w:r w:rsidRPr="00641BB0">
        <w:rPr>
          <w:rFonts w:ascii="Times New Roman" w:hAnsi="Times New Roman" w:cs="Times New Roman"/>
          <w:b/>
          <w:bCs/>
          <w:lang w:val="en-US"/>
        </w:rPr>
        <w:t>Minimum Technical Proposal Score:</w:t>
      </w:r>
      <w:r>
        <w:rPr>
          <w:rFonts w:ascii="Times New Roman" w:hAnsi="Times New Roman" w:cs="Times New Roman"/>
          <w:lang w:val="en-US"/>
        </w:rPr>
        <w:t xml:space="preserve"> </w:t>
      </w:r>
      <w:r w:rsidR="002D43EF">
        <w:rPr>
          <w:rFonts w:ascii="Times New Roman" w:hAnsi="Times New Roman" w:cs="Times New Roman"/>
          <w:lang w:val="en-US"/>
        </w:rPr>
        <w:t>80</w:t>
      </w:r>
    </w:p>
    <w:p w14:paraId="7F73B38B" w14:textId="77777777" w:rsidR="002D43EF" w:rsidRDefault="002D43EF" w:rsidP="00641BB0">
      <w:pPr>
        <w:spacing w:after="0"/>
        <w:ind w:left="1416"/>
        <w:rPr>
          <w:rFonts w:ascii="Times New Roman" w:hAnsi="Times New Roman" w:cs="Times New Roman"/>
          <w:lang w:val="en-US"/>
        </w:rPr>
      </w:pPr>
    </w:p>
    <w:p w14:paraId="0780616A" w14:textId="2A78B88F" w:rsidR="002D43EF" w:rsidRPr="00641BB0" w:rsidRDefault="002D43EF" w:rsidP="00641BB0">
      <w:pPr>
        <w:spacing w:after="0"/>
        <w:ind w:left="1416"/>
        <w:rPr>
          <w:rFonts w:ascii="Times New Roman" w:hAnsi="Times New Roman" w:cs="Times New Roman"/>
          <w:lang w:val="en-US"/>
        </w:rPr>
      </w:pPr>
      <w:r w:rsidRPr="002D43EF">
        <w:rPr>
          <w:rFonts w:ascii="Times New Roman" w:hAnsi="Times New Roman" w:cs="Times New Roman"/>
          <w:b/>
          <w:bCs/>
          <w:lang w:val="en-US"/>
        </w:rPr>
        <w:t>Technical / Financial weighting:</w:t>
      </w:r>
      <w:r>
        <w:rPr>
          <w:rFonts w:ascii="Times New Roman" w:hAnsi="Times New Roman" w:cs="Times New Roman"/>
          <w:lang w:val="en-US"/>
        </w:rPr>
        <w:t xml:space="preserve"> 80/20</w:t>
      </w:r>
    </w:p>
    <w:sectPr w:rsidR="002D43EF" w:rsidRPr="00641BB0" w:rsidSect="00641B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0D03B" w14:textId="77777777" w:rsidR="00030C85" w:rsidRDefault="00030C85" w:rsidP="00D27316">
      <w:pPr>
        <w:spacing w:after="0" w:line="240" w:lineRule="auto"/>
      </w:pPr>
      <w:r>
        <w:separator/>
      </w:r>
    </w:p>
  </w:endnote>
  <w:endnote w:type="continuationSeparator" w:id="0">
    <w:p w14:paraId="42756535" w14:textId="77777777" w:rsidR="00030C85" w:rsidRDefault="00030C85" w:rsidP="00D2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2E28" w14:textId="77777777" w:rsidR="00030C85" w:rsidRDefault="00030C85" w:rsidP="00D27316">
      <w:pPr>
        <w:spacing w:after="0" w:line="240" w:lineRule="auto"/>
      </w:pPr>
      <w:r>
        <w:separator/>
      </w:r>
    </w:p>
  </w:footnote>
  <w:footnote w:type="continuationSeparator" w:id="0">
    <w:p w14:paraId="1B875B7B" w14:textId="77777777" w:rsidR="00030C85" w:rsidRDefault="00030C85" w:rsidP="00D27316">
      <w:pPr>
        <w:spacing w:after="0" w:line="240" w:lineRule="auto"/>
      </w:pPr>
      <w:r>
        <w:continuationSeparator/>
      </w:r>
    </w:p>
  </w:footnote>
  <w:footnote w:id="1">
    <w:p w14:paraId="4EE0B325" w14:textId="0E39C4C2" w:rsidR="00570287" w:rsidRPr="00570287" w:rsidRDefault="00570287">
      <w:pPr>
        <w:pStyle w:val="FootnoteText"/>
        <w:rPr>
          <w:rFonts w:ascii="Times New Roman" w:hAnsi="Times New Roman" w:cs="Times New Roman"/>
          <w:lang w:val="en-US"/>
        </w:rPr>
      </w:pPr>
      <w:r w:rsidRPr="00570287">
        <w:rPr>
          <w:rStyle w:val="FootnoteReference"/>
          <w:rFonts w:ascii="Times New Roman" w:hAnsi="Times New Roman" w:cs="Times New Roman"/>
        </w:rPr>
        <w:footnoteRef/>
      </w:r>
      <w:r w:rsidRPr="0057028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Representatives from CDB and CPCS agreed to amend the reimbursable expenses budget during contract negotiations, which slightly increased the final awarded price. The amendment to the final price </w:t>
      </w:r>
      <w:r w:rsidR="00835DD3">
        <w:rPr>
          <w:rFonts w:ascii="Times New Roman" w:hAnsi="Times New Roman" w:cs="Times New Roman"/>
          <w:lang w:val="en-US"/>
        </w:rPr>
        <w:t xml:space="preserve">did </w:t>
      </w:r>
      <w:r>
        <w:rPr>
          <w:rFonts w:ascii="Times New Roman" w:hAnsi="Times New Roman" w:cs="Times New Roman"/>
          <w:lang w:val="en-US"/>
        </w:rPr>
        <w:t>not affect the final ranking of firms.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BB0"/>
    <w:rsid w:val="00030C85"/>
    <w:rsid w:val="0007452A"/>
    <w:rsid w:val="00083DA4"/>
    <w:rsid w:val="00085AEA"/>
    <w:rsid w:val="00087D7A"/>
    <w:rsid w:val="00134BA6"/>
    <w:rsid w:val="00161197"/>
    <w:rsid w:val="0017271A"/>
    <w:rsid w:val="001B08E9"/>
    <w:rsid w:val="002143D2"/>
    <w:rsid w:val="00266E7B"/>
    <w:rsid w:val="002726E9"/>
    <w:rsid w:val="002D43EF"/>
    <w:rsid w:val="00305916"/>
    <w:rsid w:val="0030629C"/>
    <w:rsid w:val="00346582"/>
    <w:rsid w:val="00357070"/>
    <w:rsid w:val="00357102"/>
    <w:rsid w:val="003D5F6C"/>
    <w:rsid w:val="003F5FFF"/>
    <w:rsid w:val="004100B0"/>
    <w:rsid w:val="00411FAD"/>
    <w:rsid w:val="00454B66"/>
    <w:rsid w:val="00471449"/>
    <w:rsid w:val="004E7062"/>
    <w:rsid w:val="00543980"/>
    <w:rsid w:val="005519D6"/>
    <w:rsid w:val="00552F16"/>
    <w:rsid w:val="00566C4D"/>
    <w:rsid w:val="00570287"/>
    <w:rsid w:val="00586696"/>
    <w:rsid w:val="005B7F4C"/>
    <w:rsid w:val="005E028B"/>
    <w:rsid w:val="00641BB0"/>
    <w:rsid w:val="0073330C"/>
    <w:rsid w:val="007520AE"/>
    <w:rsid w:val="00760E38"/>
    <w:rsid w:val="00797304"/>
    <w:rsid w:val="007C7170"/>
    <w:rsid w:val="007F10EE"/>
    <w:rsid w:val="00807099"/>
    <w:rsid w:val="00832D83"/>
    <w:rsid w:val="00835DD3"/>
    <w:rsid w:val="00846D2D"/>
    <w:rsid w:val="00881733"/>
    <w:rsid w:val="008840AD"/>
    <w:rsid w:val="00892CE0"/>
    <w:rsid w:val="008C03DB"/>
    <w:rsid w:val="0093000C"/>
    <w:rsid w:val="00983566"/>
    <w:rsid w:val="009E7F5A"/>
    <w:rsid w:val="00A32E05"/>
    <w:rsid w:val="00AA0225"/>
    <w:rsid w:val="00AD4D67"/>
    <w:rsid w:val="00AE1667"/>
    <w:rsid w:val="00B1451A"/>
    <w:rsid w:val="00B327C7"/>
    <w:rsid w:val="00B40FDB"/>
    <w:rsid w:val="00B53CB0"/>
    <w:rsid w:val="00B62D1F"/>
    <w:rsid w:val="00BE2C95"/>
    <w:rsid w:val="00BE5243"/>
    <w:rsid w:val="00C135ED"/>
    <w:rsid w:val="00C20C38"/>
    <w:rsid w:val="00CC4999"/>
    <w:rsid w:val="00D27316"/>
    <w:rsid w:val="00D52479"/>
    <w:rsid w:val="00D81DC1"/>
    <w:rsid w:val="00D94AC0"/>
    <w:rsid w:val="00DB434E"/>
    <w:rsid w:val="00DC084F"/>
    <w:rsid w:val="00DF3227"/>
    <w:rsid w:val="00E547DC"/>
    <w:rsid w:val="00E63048"/>
    <w:rsid w:val="00E73E63"/>
    <w:rsid w:val="00EC4232"/>
    <w:rsid w:val="00F31995"/>
    <w:rsid w:val="487B4400"/>
    <w:rsid w:val="7649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498AB"/>
  <w15:chartTrackingRefBased/>
  <w15:docId w15:val="{7CCD0691-70A6-4A62-8F9C-68ADEA8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BB0"/>
    <w:pPr>
      <w:ind w:left="720"/>
      <w:contextualSpacing/>
    </w:pPr>
  </w:style>
  <w:style w:type="table" w:styleId="TableGrid">
    <w:name w:val="Table Grid"/>
    <w:basedOn w:val="TableNormal"/>
    <w:uiPriority w:val="39"/>
    <w:rsid w:val="00641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41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B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B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BB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73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73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73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827B5-9A26-4DB2-ACEE-2617EBB39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Ross</dc:creator>
  <cp:keywords/>
  <dc:description/>
  <cp:lastModifiedBy>Nicholas Ross</cp:lastModifiedBy>
  <cp:revision>16</cp:revision>
  <dcterms:created xsi:type="dcterms:W3CDTF">2024-02-23T09:09:00Z</dcterms:created>
  <dcterms:modified xsi:type="dcterms:W3CDTF">2024-02-23T09:43:00Z</dcterms:modified>
</cp:coreProperties>
</file>