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1EFF2" w14:textId="0DBA463F" w:rsidR="00785623" w:rsidRPr="00D96A0C" w:rsidRDefault="00785623" w:rsidP="00785623">
      <w:pPr>
        <w:jc w:val="center"/>
        <w:rPr>
          <w:rFonts w:eastAsia="Calibri"/>
          <w:b/>
          <w:u w:val="single"/>
        </w:rPr>
      </w:pPr>
      <w:r w:rsidRPr="00D96A0C">
        <w:rPr>
          <w:rFonts w:eastAsia="Calibri"/>
          <w:b/>
          <w:u w:val="single"/>
        </w:rPr>
        <w:t>CONSULTANCY SERVICES FOR THE EN</w:t>
      </w:r>
      <w:r>
        <w:rPr>
          <w:rFonts w:eastAsia="Calibri"/>
          <w:b/>
          <w:u w:val="single"/>
        </w:rPr>
        <w:t xml:space="preserve">ERGY SECTOR POLICY AND STRATEGY </w:t>
      </w:r>
      <w:r w:rsidRPr="00C50B1D">
        <w:rPr>
          <w:rFonts w:eastAsia="Calibri"/>
          <w:b/>
          <w:u w:val="single"/>
        </w:rPr>
        <w:t>EVALUATION (2015-20</w:t>
      </w:r>
      <w:r w:rsidR="00506927">
        <w:rPr>
          <w:rFonts w:eastAsia="Calibri"/>
          <w:b/>
          <w:u w:val="single"/>
        </w:rPr>
        <w:t>20</w:t>
      </w:r>
      <w:r w:rsidRPr="00C50B1D">
        <w:rPr>
          <w:rFonts w:eastAsia="Calibri"/>
          <w:b/>
          <w:u w:val="single"/>
        </w:rPr>
        <w:t>)</w:t>
      </w:r>
    </w:p>
    <w:p w14:paraId="40CEDC26" w14:textId="77777777" w:rsidR="00785623" w:rsidRPr="00C50B1D" w:rsidRDefault="00785623" w:rsidP="00785623">
      <w:pPr>
        <w:jc w:val="center"/>
        <w:rPr>
          <w:rFonts w:eastAsia="Calibri"/>
          <w:b/>
          <w:bCs/>
          <w:spacing w:val="1"/>
          <w:u w:val="single"/>
        </w:rPr>
      </w:pPr>
    </w:p>
    <w:p w14:paraId="5AE07159" w14:textId="77777777" w:rsidR="00785623" w:rsidRPr="00C50B1D" w:rsidRDefault="00785623" w:rsidP="00785623">
      <w:pPr>
        <w:jc w:val="center"/>
        <w:rPr>
          <w:rFonts w:eastAsia="Calibri"/>
          <w:b/>
        </w:rPr>
      </w:pPr>
      <w:r w:rsidRPr="00C50B1D">
        <w:rPr>
          <w:rFonts w:eastAsia="Calibri"/>
          <w:b/>
        </w:rPr>
        <w:t>TERMS OF REFERENCE</w:t>
      </w:r>
    </w:p>
    <w:p w14:paraId="6F695179" w14:textId="77777777" w:rsidR="00785623" w:rsidRPr="00C50B1D" w:rsidRDefault="00785623" w:rsidP="00785623">
      <w:pPr>
        <w:rPr>
          <w:rFonts w:eastAsia="Calibri"/>
        </w:rPr>
      </w:pPr>
    </w:p>
    <w:p w14:paraId="36678F9C" w14:textId="77777777" w:rsidR="00785623" w:rsidRPr="00C50B1D" w:rsidRDefault="00785623" w:rsidP="00785623">
      <w:pPr>
        <w:pStyle w:val="ListParagraph"/>
        <w:numPr>
          <w:ilvl w:val="0"/>
          <w:numId w:val="12"/>
        </w:numPr>
        <w:autoSpaceDE w:val="0"/>
        <w:autoSpaceDN w:val="0"/>
        <w:adjustRightInd w:val="0"/>
        <w:ind w:left="0" w:firstLine="0"/>
        <w:contextualSpacing/>
        <w:jc w:val="both"/>
        <w:rPr>
          <w:rFonts w:eastAsia="Calibri"/>
          <w:b/>
        </w:rPr>
      </w:pPr>
      <w:r>
        <w:rPr>
          <w:rFonts w:eastAsia="Calibri"/>
          <w:b/>
        </w:rPr>
        <w:t>INTRODUCTION</w:t>
      </w:r>
    </w:p>
    <w:p w14:paraId="3DFD28DE" w14:textId="77777777" w:rsidR="00785623" w:rsidRPr="00C50B1D" w:rsidRDefault="00785623" w:rsidP="00785623">
      <w:pPr>
        <w:autoSpaceDE w:val="0"/>
        <w:autoSpaceDN w:val="0"/>
        <w:adjustRightInd w:val="0"/>
        <w:jc w:val="both"/>
        <w:rPr>
          <w:rFonts w:eastAsia="Calibri"/>
        </w:rPr>
      </w:pPr>
    </w:p>
    <w:p w14:paraId="34159448" w14:textId="77777777" w:rsidR="00785623" w:rsidRPr="009D018F" w:rsidRDefault="00785623" w:rsidP="00785623">
      <w:pPr>
        <w:pStyle w:val="ListParagraph"/>
        <w:widowControl w:val="0"/>
        <w:numPr>
          <w:ilvl w:val="0"/>
          <w:numId w:val="13"/>
        </w:numPr>
        <w:autoSpaceDE w:val="0"/>
        <w:autoSpaceDN w:val="0"/>
        <w:adjustRightInd w:val="0"/>
        <w:spacing w:after="240" w:line="360" w:lineRule="atLeast"/>
        <w:contextualSpacing/>
        <w:jc w:val="both"/>
      </w:pPr>
      <w:r w:rsidRPr="009D018F">
        <w:t xml:space="preserve">The Office of Independent Evaluation (OIE) Five-Year Plan </w:t>
      </w:r>
      <w:r>
        <w:t>includes</w:t>
      </w:r>
      <w:r w:rsidRPr="009D018F">
        <w:t xml:space="preserve"> </w:t>
      </w:r>
      <w:r w:rsidRPr="00023E5B">
        <w:t>sector, thematic, and policy evaluations to inform Board and Management decision</w:t>
      </w:r>
      <w:r>
        <w:t xml:space="preserve"> making</w:t>
      </w:r>
      <w:r w:rsidRPr="009D018F">
        <w:t>.</w:t>
      </w:r>
      <w:r>
        <w:rPr>
          <w:vertAlign w:val="superscript"/>
        </w:rPr>
        <w:footnoteReference w:id="1"/>
      </w:r>
    </w:p>
    <w:p w14:paraId="3AE65A82" w14:textId="77777777" w:rsidR="00785623" w:rsidRPr="009D018F" w:rsidRDefault="00785623" w:rsidP="00785623">
      <w:pPr>
        <w:pStyle w:val="ListParagraph"/>
        <w:widowControl w:val="0"/>
        <w:numPr>
          <w:ilvl w:val="0"/>
          <w:numId w:val="13"/>
        </w:numPr>
        <w:autoSpaceDE w:val="0"/>
        <w:autoSpaceDN w:val="0"/>
        <w:adjustRightInd w:val="0"/>
        <w:spacing w:after="240" w:line="360" w:lineRule="atLeast"/>
        <w:contextualSpacing/>
        <w:jc w:val="both"/>
      </w:pPr>
      <w:r w:rsidRPr="009D018F">
        <w:t>Th</w:t>
      </w:r>
      <w:r>
        <w:t>is</w:t>
      </w:r>
      <w:r w:rsidRPr="009D018F">
        <w:t xml:space="preserve"> evaluation of </w:t>
      </w:r>
      <w:r>
        <w:t xml:space="preserve">the </w:t>
      </w:r>
      <w:r w:rsidRPr="009D018F">
        <w:t xml:space="preserve">ESPS </w:t>
      </w:r>
      <w:r>
        <w:t>aims</w:t>
      </w:r>
      <w:r w:rsidRPr="009D018F">
        <w:t xml:space="preserve"> to provide credible and reliable information on CDB's performance in the energy sector during </w:t>
      </w:r>
      <w:r>
        <w:t xml:space="preserve">the </w:t>
      </w:r>
      <w:r w:rsidRPr="009D018F">
        <w:t>2015-</w:t>
      </w:r>
      <w:r>
        <w:t>20 period</w:t>
      </w:r>
      <w:r w:rsidRPr="009D018F">
        <w:t xml:space="preserve"> to enable lessons and recommendations to be drawn that may be used to improve the development effectiveness of the Bank's future strategies and programming.  </w:t>
      </w:r>
    </w:p>
    <w:p w14:paraId="322B0A97" w14:textId="77777777" w:rsidR="00785623" w:rsidRPr="00023E5B" w:rsidRDefault="00785623" w:rsidP="00785623">
      <w:pPr>
        <w:pStyle w:val="ListParagraph"/>
        <w:autoSpaceDE w:val="0"/>
        <w:autoSpaceDN w:val="0"/>
        <w:adjustRightInd w:val="0"/>
        <w:ind w:left="360"/>
        <w:jc w:val="both"/>
        <w:rPr>
          <w:rFonts w:eastAsia="Calibri"/>
        </w:rPr>
      </w:pPr>
    </w:p>
    <w:p w14:paraId="384202C5" w14:textId="77777777" w:rsidR="00785623" w:rsidRPr="00C50B1D" w:rsidRDefault="00785623" w:rsidP="00785623">
      <w:pPr>
        <w:autoSpaceDE w:val="0"/>
        <w:autoSpaceDN w:val="0"/>
        <w:adjustRightInd w:val="0"/>
        <w:jc w:val="both"/>
        <w:rPr>
          <w:rFonts w:eastAsia="Calibri"/>
        </w:rPr>
      </w:pPr>
    </w:p>
    <w:p w14:paraId="57711715" w14:textId="77777777" w:rsidR="00785623" w:rsidRDefault="00785623" w:rsidP="00785623">
      <w:pPr>
        <w:pStyle w:val="ListParagraph"/>
        <w:numPr>
          <w:ilvl w:val="0"/>
          <w:numId w:val="12"/>
        </w:numPr>
        <w:autoSpaceDE w:val="0"/>
        <w:autoSpaceDN w:val="0"/>
        <w:adjustRightInd w:val="0"/>
        <w:ind w:left="0" w:firstLine="0"/>
        <w:contextualSpacing/>
        <w:jc w:val="both"/>
        <w:rPr>
          <w:rFonts w:eastAsia="Calibri"/>
          <w:b/>
        </w:rPr>
      </w:pPr>
      <w:r w:rsidRPr="009D018F">
        <w:rPr>
          <w:rFonts w:eastAsia="Calibri"/>
          <w:b/>
        </w:rPr>
        <w:t>CONTEXT AND BACKGROUND</w:t>
      </w:r>
    </w:p>
    <w:p w14:paraId="288F6077" w14:textId="77777777" w:rsidR="00785623" w:rsidRDefault="00785623" w:rsidP="00785623">
      <w:pPr>
        <w:pStyle w:val="ListParagraph"/>
        <w:autoSpaceDE w:val="0"/>
        <w:autoSpaceDN w:val="0"/>
        <w:adjustRightInd w:val="0"/>
        <w:ind w:left="0"/>
        <w:jc w:val="both"/>
        <w:rPr>
          <w:rFonts w:eastAsia="Calibri"/>
          <w:b/>
        </w:rPr>
      </w:pPr>
    </w:p>
    <w:p w14:paraId="1F7474EC" w14:textId="77777777" w:rsidR="00785623" w:rsidRPr="009D018F" w:rsidRDefault="00785623" w:rsidP="00785623">
      <w:pPr>
        <w:pStyle w:val="ListParagraph"/>
        <w:widowControl w:val="0"/>
        <w:numPr>
          <w:ilvl w:val="0"/>
          <w:numId w:val="14"/>
        </w:numPr>
        <w:autoSpaceDE w:val="0"/>
        <w:autoSpaceDN w:val="0"/>
        <w:adjustRightInd w:val="0"/>
        <w:spacing w:after="240" w:line="360" w:lineRule="atLeast"/>
        <w:contextualSpacing/>
        <w:jc w:val="both"/>
      </w:pPr>
      <w:r w:rsidRPr="009D018F">
        <w:t>The economic prospects of BMCs are challenged by climate change. All BMCs are small- island, developing, and low-lying coastal states that are already being impacted by climate variability and sea-level rise, with estimates of the negative impact on gross domestic product (GDP) ranging from 5% to high as 30%. A positive change in the growth trajectory would require that BMCs undertake major reforms across sectors, including transforming their energy sectors</w:t>
      </w:r>
      <w:r>
        <w:t>.</w:t>
      </w:r>
    </w:p>
    <w:p w14:paraId="51B64458" w14:textId="77777777" w:rsidR="00785623" w:rsidRPr="00396375" w:rsidRDefault="00785623" w:rsidP="00785623">
      <w:pPr>
        <w:pStyle w:val="ListParagraph"/>
        <w:widowControl w:val="0"/>
        <w:numPr>
          <w:ilvl w:val="0"/>
          <w:numId w:val="14"/>
        </w:numPr>
        <w:autoSpaceDE w:val="0"/>
        <w:autoSpaceDN w:val="0"/>
        <w:adjustRightInd w:val="0"/>
        <w:spacing w:after="240" w:line="360" w:lineRule="atLeast"/>
        <w:contextualSpacing/>
        <w:jc w:val="both"/>
      </w:pPr>
      <w:r w:rsidRPr="00281DD4">
        <w:t>Although the energy situation is not uniform across BMCs, due to market size, the structure of the power sector, the type of energy resource potential, and net energy position</w:t>
      </w:r>
      <w:r>
        <w:rPr>
          <w:vertAlign w:val="superscript"/>
        </w:rPr>
        <w:footnoteReference w:id="2"/>
      </w:r>
      <w:r w:rsidRPr="00281DD4">
        <w:t>, some common challenges emerge. The first and most significant is in energy security. This is mainly due to over-reliance</w:t>
      </w:r>
      <w:r>
        <w:rPr>
          <w:vertAlign w:val="superscript"/>
        </w:rPr>
        <w:footnoteReference w:id="3"/>
      </w:r>
      <w:r w:rsidRPr="00281DD4">
        <w:t xml:space="preserve"> </w:t>
      </w:r>
      <w:r>
        <w:t>o</w:t>
      </w:r>
      <w:r w:rsidRPr="00281DD4">
        <w:t>n, imported high-cost fuel (oil), unaffordability, and price instability. The second common challenge is the lack of long-term sustainability of the primary fuel sources</w:t>
      </w:r>
      <w:r>
        <w:rPr>
          <w:vertAlign w:val="superscript"/>
        </w:rPr>
        <w:footnoteReference w:id="4"/>
      </w:r>
      <w:r>
        <w:t xml:space="preserve"> i</w:t>
      </w:r>
      <w:r w:rsidRPr="00281DD4">
        <w:t>.e., fossil-based fuels</w:t>
      </w:r>
      <w:r>
        <w:t xml:space="preserve"> (oil-based or natural gas)</w:t>
      </w:r>
      <w:r w:rsidRPr="00281DD4">
        <w:t xml:space="preserve">. Thirdly, energy sector governance needs to be improved to facilitate and attract the required timely investments for a diversified and affordable energy matrix based on indigenous resources. Also, in a few BMCs, energy poverty or lack of access to clean and modern forms of energy is challenging. </w:t>
      </w:r>
    </w:p>
    <w:p w14:paraId="5868D02A" w14:textId="77777777" w:rsidR="00785623" w:rsidRDefault="00785623" w:rsidP="00785623">
      <w:pPr>
        <w:pStyle w:val="ListParagraph"/>
        <w:widowControl w:val="0"/>
        <w:numPr>
          <w:ilvl w:val="0"/>
          <w:numId w:val="14"/>
        </w:numPr>
        <w:autoSpaceDE w:val="0"/>
        <w:autoSpaceDN w:val="0"/>
        <w:adjustRightInd w:val="0"/>
        <w:spacing w:after="240" w:line="360" w:lineRule="atLeast"/>
        <w:contextualSpacing/>
        <w:jc w:val="both"/>
      </w:pPr>
      <w:r w:rsidRPr="000A3021">
        <w:t xml:space="preserve">The international consensus around the sustainable development paradigm as the </w:t>
      </w:r>
      <w:r w:rsidRPr="000A3021">
        <w:lastRenderedPageBreak/>
        <w:t xml:space="preserve">prevailing development model has triggered a transition in the energy sector globally, emphasizing sustainable energy (SE) resources and climate resilience. As a result, at the global level, there is now a growing trend for the adoption and use of more efficient, clean, and renewable energy technologies and a shift towards distributed models of power generation. This has stimulated an increased supply of these clean energy (CE), renewable energy (RE), and energy efficiency (EE) technologies to the point where significant reductions in prices have been observed over the last five years, resulting in further expansion in their use. These developments are particularly relevant to BMCs in light of their energy sector challenges. All BMCs have vast RE resources, with less than 1% of the existing potential harnessed. By safely harnessing these RE resources, BMCs can achieve a cleaner, more diversified, and affordable energy matrix. </w:t>
      </w:r>
    </w:p>
    <w:p w14:paraId="4806C030" w14:textId="77777777" w:rsidR="00785623" w:rsidRDefault="00785623" w:rsidP="00785623">
      <w:pPr>
        <w:pStyle w:val="ListParagraph"/>
        <w:widowControl w:val="0"/>
        <w:numPr>
          <w:ilvl w:val="0"/>
          <w:numId w:val="14"/>
        </w:numPr>
        <w:autoSpaceDE w:val="0"/>
        <w:autoSpaceDN w:val="0"/>
        <w:adjustRightInd w:val="0"/>
        <w:spacing w:after="240" w:line="360" w:lineRule="atLeast"/>
        <w:contextualSpacing/>
        <w:jc w:val="both"/>
      </w:pPr>
      <w:r>
        <w:t xml:space="preserve">The </w:t>
      </w:r>
      <w:r w:rsidRPr="00464A09">
        <w:t>2015 ESPS focuse</w:t>
      </w:r>
      <w:r>
        <w:t xml:space="preserve">s on four priorities areas: </w:t>
      </w:r>
      <w:proofErr w:type="spellStart"/>
      <w:r>
        <w:t>i</w:t>
      </w:r>
      <w:proofErr w:type="spellEnd"/>
      <w:r>
        <w:t xml:space="preserve">) </w:t>
      </w:r>
      <w:r w:rsidRPr="00464A09">
        <w:t xml:space="preserve">promoting </w:t>
      </w:r>
      <w:r>
        <w:t>Energy Efficiency (</w:t>
      </w:r>
      <w:r w:rsidRPr="00464A09">
        <w:t>EE</w:t>
      </w:r>
      <w:r>
        <w:t>)</w:t>
      </w:r>
      <w:r w:rsidRPr="00464A09">
        <w:t xml:space="preserve"> for more affordable and stable energy costs and establi</w:t>
      </w:r>
      <w:r>
        <w:t>shment of a green economy; ii) p</w:t>
      </w:r>
      <w:r w:rsidRPr="00464A09">
        <w:t xml:space="preserve">romoting </w:t>
      </w:r>
      <w:r>
        <w:t>renewable Energy (</w:t>
      </w:r>
      <w:r w:rsidRPr="00464A09">
        <w:t>RE</w:t>
      </w:r>
      <w:r>
        <w:t>)</w:t>
      </w:r>
      <w:r w:rsidRPr="00464A09">
        <w:t xml:space="preserve"> for more sustainable, affordable, and accessible energy, and a green energy economy; iii) </w:t>
      </w:r>
      <w:r>
        <w:t>p</w:t>
      </w:r>
      <w:r w:rsidRPr="00464A09">
        <w:t xml:space="preserve">romoting energy infrastructure to provide cleaner and more reliable power supply; iv) </w:t>
      </w:r>
      <w:r>
        <w:t>promoting sector reform, good g</w:t>
      </w:r>
      <w:r w:rsidRPr="00464A09">
        <w:t>overn</w:t>
      </w:r>
      <w:r>
        <w:t>ance, and capacity strengthening.</w:t>
      </w:r>
    </w:p>
    <w:p w14:paraId="4607BE9D" w14:textId="6571D628" w:rsidR="00785623" w:rsidRPr="003A5276" w:rsidRDefault="00785623" w:rsidP="00785623">
      <w:pPr>
        <w:pStyle w:val="ListParagraph"/>
        <w:widowControl w:val="0"/>
        <w:numPr>
          <w:ilvl w:val="0"/>
          <w:numId w:val="14"/>
        </w:numPr>
        <w:autoSpaceDE w:val="0"/>
        <w:autoSpaceDN w:val="0"/>
        <w:adjustRightInd w:val="0"/>
        <w:spacing w:after="240" w:line="360" w:lineRule="atLeast"/>
        <w:contextualSpacing/>
        <w:jc w:val="both"/>
      </w:pPr>
      <w:r w:rsidRPr="003A5276">
        <w:t>A detailed list and overview of SFP is provided in Appendix </w:t>
      </w:r>
      <w:r w:rsidR="00BE3AE3">
        <w:t>2</w:t>
      </w:r>
      <w:r w:rsidRPr="003A5276">
        <w:t>. </w:t>
      </w:r>
    </w:p>
    <w:p w14:paraId="32286A52" w14:textId="77777777" w:rsidR="00785623" w:rsidRDefault="00785623" w:rsidP="00785623">
      <w:pPr>
        <w:pStyle w:val="ListParagraph"/>
        <w:widowControl w:val="0"/>
        <w:autoSpaceDE w:val="0"/>
        <w:autoSpaceDN w:val="0"/>
        <w:adjustRightInd w:val="0"/>
        <w:spacing w:after="240" w:line="360" w:lineRule="atLeast"/>
        <w:ind w:left="360"/>
        <w:jc w:val="both"/>
        <w:rPr>
          <w:highlight w:val="red"/>
        </w:rPr>
      </w:pPr>
    </w:p>
    <w:p w14:paraId="5383AB19" w14:textId="77777777" w:rsidR="00785623" w:rsidRPr="000A7A52" w:rsidRDefault="00785623" w:rsidP="00785623">
      <w:pPr>
        <w:pStyle w:val="ListParagraph"/>
        <w:numPr>
          <w:ilvl w:val="0"/>
          <w:numId w:val="12"/>
        </w:numPr>
        <w:autoSpaceDE w:val="0"/>
        <w:autoSpaceDN w:val="0"/>
        <w:adjustRightInd w:val="0"/>
        <w:ind w:left="0" w:firstLine="0"/>
        <w:contextualSpacing/>
        <w:jc w:val="both"/>
        <w:rPr>
          <w:rFonts w:eastAsia="Calibri"/>
          <w:b/>
        </w:rPr>
      </w:pPr>
      <w:r w:rsidRPr="000A7A52">
        <w:rPr>
          <w:rFonts w:eastAsia="Calibri"/>
          <w:b/>
        </w:rPr>
        <w:t xml:space="preserve">EVALUATION SCOPE </w:t>
      </w:r>
    </w:p>
    <w:p w14:paraId="7D47B9B7" w14:textId="77777777" w:rsidR="00785623" w:rsidRPr="00C50B1D" w:rsidRDefault="00785623" w:rsidP="00785623">
      <w:pPr>
        <w:pStyle w:val="ListParagraph"/>
        <w:ind w:left="0"/>
        <w:jc w:val="both"/>
      </w:pPr>
    </w:p>
    <w:p w14:paraId="43ACA74D" w14:textId="77777777" w:rsidR="00785623" w:rsidRPr="000A7A52" w:rsidRDefault="00785623" w:rsidP="00785623">
      <w:pPr>
        <w:pStyle w:val="ListParagraph"/>
        <w:widowControl w:val="0"/>
        <w:numPr>
          <w:ilvl w:val="0"/>
          <w:numId w:val="21"/>
        </w:numPr>
        <w:autoSpaceDE w:val="0"/>
        <w:autoSpaceDN w:val="0"/>
        <w:adjustRightInd w:val="0"/>
        <w:spacing w:after="240" w:line="360" w:lineRule="atLeast"/>
        <w:contextualSpacing/>
        <w:jc w:val="both"/>
        <w:rPr>
          <w:color w:val="000000"/>
        </w:rPr>
      </w:pPr>
      <w:r w:rsidRPr="000A7A52">
        <w:rPr>
          <w:color w:val="000000"/>
        </w:rPr>
        <w:t>The evaluation will a</w:t>
      </w:r>
      <w:r>
        <w:rPr>
          <w:color w:val="000000"/>
        </w:rPr>
        <w:t>ssess</w:t>
      </w:r>
      <w:r w:rsidRPr="000A7A52">
        <w:rPr>
          <w:color w:val="000000"/>
        </w:rPr>
        <w:t xml:space="preserve"> the CDB’s 2015 Energy Sector Policy and Strategy, and the portfolio of investments and technical assistance that has taken place pursuant to it (2015-2020).  It will focus particularly on the four prioritised areas of investment:</w:t>
      </w:r>
    </w:p>
    <w:p w14:paraId="519B1EB2" w14:textId="77777777" w:rsidR="00785623" w:rsidRDefault="00785623" w:rsidP="00785623">
      <w:pPr>
        <w:pStyle w:val="ListParagraph"/>
        <w:widowControl w:val="0"/>
        <w:numPr>
          <w:ilvl w:val="1"/>
          <w:numId w:val="7"/>
        </w:numPr>
        <w:autoSpaceDE w:val="0"/>
        <w:autoSpaceDN w:val="0"/>
        <w:adjustRightInd w:val="0"/>
        <w:spacing w:after="240" w:line="360" w:lineRule="atLeast"/>
        <w:contextualSpacing/>
        <w:jc w:val="both"/>
        <w:rPr>
          <w:color w:val="000000"/>
        </w:rPr>
      </w:pPr>
      <w:r>
        <w:rPr>
          <w:color w:val="000000"/>
        </w:rPr>
        <w:t>Renewable energy</w:t>
      </w:r>
    </w:p>
    <w:p w14:paraId="46F577D1" w14:textId="77777777" w:rsidR="00785623" w:rsidRDefault="00785623" w:rsidP="00785623">
      <w:pPr>
        <w:pStyle w:val="ListParagraph"/>
        <w:widowControl w:val="0"/>
        <w:numPr>
          <w:ilvl w:val="1"/>
          <w:numId w:val="7"/>
        </w:numPr>
        <w:autoSpaceDE w:val="0"/>
        <w:autoSpaceDN w:val="0"/>
        <w:adjustRightInd w:val="0"/>
        <w:spacing w:after="240" w:line="360" w:lineRule="atLeast"/>
        <w:contextualSpacing/>
        <w:jc w:val="both"/>
        <w:rPr>
          <w:color w:val="000000"/>
        </w:rPr>
      </w:pPr>
      <w:r>
        <w:rPr>
          <w:color w:val="000000"/>
        </w:rPr>
        <w:t>Energy efficiency</w:t>
      </w:r>
    </w:p>
    <w:p w14:paraId="52026F02" w14:textId="77777777" w:rsidR="00785623" w:rsidRDefault="00785623" w:rsidP="00785623">
      <w:pPr>
        <w:pStyle w:val="ListParagraph"/>
        <w:widowControl w:val="0"/>
        <w:numPr>
          <w:ilvl w:val="1"/>
          <w:numId w:val="7"/>
        </w:numPr>
        <w:autoSpaceDE w:val="0"/>
        <w:autoSpaceDN w:val="0"/>
        <w:adjustRightInd w:val="0"/>
        <w:spacing w:after="240" w:line="360" w:lineRule="atLeast"/>
        <w:contextualSpacing/>
        <w:jc w:val="both"/>
        <w:rPr>
          <w:color w:val="000000"/>
        </w:rPr>
      </w:pPr>
      <w:r>
        <w:rPr>
          <w:color w:val="000000"/>
        </w:rPr>
        <w:t>Energy infrastructure</w:t>
      </w:r>
    </w:p>
    <w:p w14:paraId="426970A6" w14:textId="77777777" w:rsidR="00785623" w:rsidRDefault="00785623" w:rsidP="00785623">
      <w:pPr>
        <w:pStyle w:val="ListParagraph"/>
        <w:widowControl w:val="0"/>
        <w:numPr>
          <w:ilvl w:val="1"/>
          <w:numId w:val="7"/>
        </w:numPr>
        <w:autoSpaceDE w:val="0"/>
        <w:autoSpaceDN w:val="0"/>
        <w:adjustRightInd w:val="0"/>
        <w:spacing w:after="240" w:line="360" w:lineRule="atLeast"/>
        <w:contextualSpacing/>
        <w:jc w:val="both"/>
        <w:rPr>
          <w:color w:val="000000"/>
        </w:rPr>
      </w:pPr>
      <w:r>
        <w:rPr>
          <w:color w:val="000000"/>
        </w:rPr>
        <w:t>Sector reform, good governance and capacity strengthening</w:t>
      </w:r>
    </w:p>
    <w:p w14:paraId="621370BC" w14:textId="77777777" w:rsidR="00785623" w:rsidRPr="000A7A52" w:rsidRDefault="00785623" w:rsidP="00785623">
      <w:pPr>
        <w:pStyle w:val="ListParagraph"/>
        <w:widowControl w:val="0"/>
        <w:numPr>
          <w:ilvl w:val="0"/>
          <w:numId w:val="21"/>
        </w:numPr>
        <w:autoSpaceDE w:val="0"/>
        <w:autoSpaceDN w:val="0"/>
        <w:adjustRightInd w:val="0"/>
        <w:spacing w:after="240" w:line="360" w:lineRule="atLeast"/>
        <w:contextualSpacing/>
        <w:jc w:val="both"/>
        <w:rPr>
          <w:color w:val="000000"/>
        </w:rPr>
      </w:pPr>
      <w:r w:rsidRPr="00235336">
        <w:rPr>
          <w:color w:val="000000"/>
        </w:rPr>
        <w:t>The ESPS</w:t>
      </w:r>
      <w:r>
        <w:rPr>
          <w:color w:val="000000"/>
        </w:rPr>
        <w:t xml:space="preserve"> results framework (appendix 1</w:t>
      </w:r>
      <w:r w:rsidRPr="000A7A52">
        <w:rPr>
          <w:color w:val="000000"/>
        </w:rPr>
        <w:t xml:space="preserve">) sets out output and outcome indicators, targets, and assumptions for these four areas, and </w:t>
      </w:r>
      <w:r>
        <w:rPr>
          <w:color w:val="000000"/>
        </w:rPr>
        <w:t>will</w:t>
      </w:r>
      <w:r w:rsidRPr="000A7A52">
        <w:rPr>
          <w:color w:val="000000"/>
        </w:rPr>
        <w:t xml:space="preserve"> form the basis for the assessment.</w:t>
      </w:r>
    </w:p>
    <w:p w14:paraId="1ED8D3BC" w14:textId="77777777" w:rsidR="00785623" w:rsidRPr="000A7A52" w:rsidRDefault="00785623" w:rsidP="00785623">
      <w:pPr>
        <w:pStyle w:val="ListParagraph"/>
        <w:widowControl w:val="0"/>
        <w:numPr>
          <w:ilvl w:val="0"/>
          <w:numId w:val="21"/>
        </w:numPr>
        <w:autoSpaceDE w:val="0"/>
        <w:autoSpaceDN w:val="0"/>
        <w:adjustRightInd w:val="0"/>
        <w:spacing w:after="240" w:line="360" w:lineRule="atLeast"/>
        <w:contextualSpacing/>
        <w:jc w:val="both"/>
      </w:pPr>
      <w:r w:rsidRPr="00235336">
        <w:rPr>
          <w:color w:val="000000"/>
        </w:rPr>
        <w:t xml:space="preserve">The portfolio of investment and technical assistance projects directly funded by CDB that will be considered the ESPS portfolio and within the scope of this evaluation is attached as appendix </w:t>
      </w:r>
      <w:r>
        <w:rPr>
          <w:color w:val="000000"/>
        </w:rPr>
        <w:t>2</w:t>
      </w:r>
      <w:r w:rsidRPr="00235336">
        <w:rPr>
          <w:color w:val="000000"/>
        </w:rPr>
        <w:t xml:space="preserve">.  Energy sector facilities funded by other donors but executed by CDB will also be within scope.  These include the SEEC, SEF, CIF-GRMP.  Where prior evaluations of these facilities have been done, they will inform this evaluation and its portfolio sampling strategy. </w:t>
      </w:r>
    </w:p>
    <w:p w14:paraId="7F3F9B4D" w14:textId="77777777" w:rsidR="00785623" w:rsidRPr="00235336" w:rsidRDefault="00785623" w:rsidP="00785623">
      <w:pPr>
        <w:pStyle w:val="ListParagraph"/>
        <w:widowControl w:val="0"/>
        <w:autoSpaceDE w:val="0"/>
        <w:autoSpaceDN w:val="0"/>
        <w:adjustRightInd w:val="0"/>
        <w:spacing w:after="240" w:line="360" w:lineRule="atLeast"/>
        <w:jc w:val="both"/>
        <w:rPr>
          <w:color w:val="000000"/>
        </w:rPr>
      </w:pPr>
      <w:r w:rsidRPr="00235336">
        <w:rPr>
          <w:color w:val="000000"/>
        </w:rPr>
        <w:lastRenderedPageBreak/>
        <w:t>As well, the evaluation should assess CDB’s:</w:t>
      </w:r>
    </w:p>
    <w:p w14:paraId="4635C82B" w14:textId="77777777" w:rsidR="00785623" w:rsidRPr="00235336" w:rsidRDefault="00785623" w:rsidP="00785623">
      <w:pPr>
        <w:pStyle w:val="ListParagraph"/>
        <w:widowControl w:val="0"/>
        <w:numPr>
          <w:ilvl w:val="0"/>
          <w:numId w:val="8"/>
        </w:numPr>
        <w:autoSpaceDE w:val="0"/>
        <w:autoSpaceDN w:val="0"/>
        <w:adjustRightInd w:val="0"/>
        <w:spacing w:after="240" w:line="360" w:lineRule="atLeast"/>
        <w:contextualSpacing/>
        <w:jc w:val="both"/>
        <w:rPr>
          <w:color w:val="000000"/>
        </w:rPr>
      </w:pPr>
      <w:r w:rsidRPr="00235336">
        <w:rPr>
          <w:color w:val="000000"/>
        </w:rPr>
        <w:t>revised institutional arrangements to deliver in these new programme areas</w:t>
      </w:r>
    </w:p>
    <w:p w14:paraId="184CE261" w14:textId="77777777" w:rsidR="00785623" w:rsidRPr="00235336" w:rsidRDefault="00785623" w:rsidP="00785623">
      <w:pPr>
        <w:pStyle w:val="ListParagraph"/>
        <w:widowControl w:val="0"/>
        <w:numPr>
          <w:ilvl w:val="0"/>
          <w:numId w:val="8"/>
        </w:numPr>
        <w:autoSpaceDE w:val="0"/>
        <w:autoSpaceDN w:val="0"/>
        <w:adjustRightInd w:val="0"/>
        <w:spacing w:after="240" w:line="360" w:lineRule="atLeast"/>
        <w:contextualSpacing/>
        <w:jc w:val="both"/>
        <w:rPr>
          <w:color w:val="000000"/>
        </w:rPr>
      </w:pPr>
      <w:r w:rsidRPr="00235336">
        <w:rPr>
          <w:color w:val="000000"/>
        </w:rPr>
        <w:t>outreach to BMCs and extent to which it has positioned CDB as a “key energy sector development partner”</w:t>
      </w:r>
    </w:p>
    <w:p w14:paraId="58956506" w14:textId="77777777" w:rsidR="00785623" w:rsidRPr="00235336" w:rsidRDefault="00785623" w:rsidP="00785623">
      <w:pPr>
        <w:pStyle w:val="ListParagraph"/>
        <w:widowControl w:val="0"/>
        <w:numPr>
          <w:ilvl w:val="0"/>
          <w:numId w:val="8"/>
        </w:numPr>
        <w:autoSpaceDE w:val="0"/>
        <w:autoSpaceDN w:val="0"/>
        <w:adjustRightInd w:val="0"/>
        <w:spacing w:after="240" w:line="360" w:lineRule="atLeast"/>
        <w:contextualSpacing/>
        <w:jc w:val="both"/>
        <w:rPr>
          <w:color w:val="000000"/>
        </w:rPr>
      </w:pPr>
      <w:r w:rsidRPr="00235336">
        <w:rPr>
          <w:color w:val="000000"/>
        </w:rPr>
        <w:t>success as an intermediary in mobilising resources for its BMCs from outside the region</w:t>
      </w:r>
    </w:p>
    <w:p w14:paraId="76518373" w14:textId="77777777" w:rsidR="00785623" w:rsidRDefault="00785623" w:rsidP="00785623">
      <w:pPr>
        <w:pStyle w:val="ListParagraph"/>
        <w:widowControl w:val="0"/>
        <w:numPr>
          <w:ilvl w:val="0"/>
          <w:numId w:val="8"/>
        </w:numPr>
        <w:autoSpaceDE w:val="0"/>
        <w:autoSpaceDN w:val="0"/>
        <w:adjustRightInd w:val="0"/>
        <w:spacing w:after="240" w:line="360" w:lineRule="atLeast"/>
        <w:contextualSpacing/>
        <w:jc w:val="both"/>
        <w:rPr>
          <w:color w:val="000000"/>
        </w:rPr>
      </w:pPr>
      <w:r w:rsidRPr="000946A0">
        <w:rPr>
          <w:color w:val="000000"/>
        </w:rPr>
        <w:t>ability to engage with the private sector and adapt its institutional arrangements to enhance private sector participation in the energy sector. </w:t>
      </w:r>
    </w:p>
    <w:p w14:paraId="302CBEAD" w14:textId="77777777" w:rsidR="00785623" w:rsidRPr="000946A0" w:rsidRDefault="00785623" w:rsidP="00785623">
      <w:pPr>
        <w:pStyle w:val="ListParagraph"/>
        <w:widowControl w:val="0"/>
        <w:autoSpaceDE w:val="0"/>
        <w:autoSpaceDN w:val="0"/>
        <w:adjustRightInd w:val="0"/>
        <w:spacing w:after="240" w:line="360" w:lineRule="atLeast"/>
        <w:contextualSpacing/>
        <w:jc w:val="both"/>
        <w:rPr>
          <w:color w:val="000000"/>
        </w:rPr>
      </w:pPr>
    </w:p>
    <w:p w14:paraId="3F9BBBE7" w14:textId="77777777" w:rsidR="00785623" w:rsidRPr="000A7A52" w:rsidRDefault="00785623" w:rsidP="00785623">
      <w:pPr>
        <w:pStyle w:val="ListParagraph"/>
        <w:widowControl w:val="0"/>
        <w:numPr>
          <w:ilvl w:val="0"/>
          <w:numId w:val="21"/>
        </w:numPr>
        <w:autoSpaceDE w:val="0"/>
        <w:autoSpaceDN w:val="0"/>
        <w:adjustRightInd w:val="0"/>
        <w:spacing w:after="240" w:line="360" w:lineRule="atLeast"/>
        <w:contextualSpacing/>
        <w:jc w:val="both"/>
        <w:rPr>
          <w:color w:val="000000"/>
        </w:rPr>
      </w:pPr>
      <w:r w:rsidRPr="00E204AE">
        <w:rPr>
          <w:color w:val="000000"/>
        </w:rPr>
        <w:t xml:space="preserve">In addition to assessing the performance of the ESPS over the 2015-2020 period, the evaluation will present lessons and recommendations for an updated ESPS and for the future programming. </w:t>
      </w:r>
    </w:p>
    <w:p w14:paraId="54846A94" w14:textId="77777777" w:rsidR="00785623" w:rsidRDefault="00785623" w:rsidP="00785623">
      <w:pPr>
        <w:pStyle w:val="ListParagraph"/>
        <w:widowControl w:val="0"/>
        <w:autoSpaceDE w:val="0"/>
        <w:autoSpaceDN w:val="0"/>
        <w:adjustRightInd w:val="0"/>
        <w:spacing w:after="240" w:line="360" w:lineRule="atLeast"/>
        <w:ind w:left="360"/>
        <w:jc w:val="both"/>
      </w:pPr>
    </w:p>
    <w:p w14:paraId="76F98B8D" w14:textId="77777777" w:rsidR="00785623" w:rsidRDefault="00785623" w:rsidP="00785623">
      <w:pPr>
        <w:pStyle w:val="ListParagraph"/>
        <w:numPr>
          <w:ilvl w:val="0"/>
          <w:numId w:val="12"/>
        </w:numPr>
        <w:autoSpaceDE w:val="0"/>
        <w:autoSpaceDN w:val="0"/>
        <w:adjustRightInd w:val="0"/>
        <w:ind w:left="0" w:firstLine="0"/>
        <w:contextualSpacing/>
        <w:jc w:val="both"/>
        <w:rPr>
          <w:rFonts w:eastAsia="Calibri"/>
          <w:b/>
        </w:rPr>
      </w:pPr>
      <w:r>
        <w:rPr>
          <w:rFonts w:eastAsia="Calibri"/>
          <w:b/>
        </w:rPr>
        <w:t>EVALUATION QUESTIONS AND METHODOLOGY</w:t>
      </w:r>
    </w:p>
    <w:p w14:paraId="5E6B8D9E" w14:textId="77777777" w:rsidR="00785623" w:rsidRPr="0051349B" w:rsidRDefault="00785623" w:rsidP="00785623">
      <w:pPr>
        <w:pStyle w:val="ListParagraph"/>
        <w:autoSpaceDE w:val="0"/>
        <w:autoSpaceDN w:val="0"/>
        <w:adjustRightInd w:val="0"/>
        <w:ind w:left="0"/>
        <w:jc w:val="both"/>
        <w:rPr>
          <w:rFonts w:eastAsia="Calibri"/>
          <w:b/>
        </w:rPr>
      </w:pPr>
    </w:p>
    <w:p w14:paraId="5F24C7BB" w14:textId="416A1719" w:rsidR="00785623" w:rsidRPr="00653FD0" w:rsidRDefault="00785623" w:rsidP="00785623">
      <w:pPr>
        <w:pStyle w:val="ListParagraph"/>
        <w:widowControl w:val="0"/>
        <w:numPr>
          <w:ilvl w:val="0"/>
          <w:numId w:val="22"/>
        </w:numPr>
        <w:autoSpaceDE w:val="0"/>
        <w:autoSpaceDN w:val="0"/>
        <w:adjustRightInd w:val="0"/>
        <w:spacing w:after="240" w:line="360" w:lineRule="atLeast"/>
        <w:contextualSpacing/>
        <w:jc w:val="both"/>
      </w:pPr>
      <w:r w:rsidRPr="0051349B">
        <w:t xml:space="preserve">The evaluation questions will have a primary application to the 2015 - </w:t>
      </w:r>
      <w:r w:rsidR="00506927">
        <w:t>20</w:t>
      </w:r>
      <w:r w:rsidRPr="0051349B">
        <w:t xml:space="preserve"> ESPS results framework (Appendix </w:t>
      </w:r>
      <w:r>
        <w:t>1</w:t>
      </w:r>
      <w:r w:rsidRPr="0051349B">
        <w:t xml:space="preserve">) and consider the results framework of relevant SFP.  The evaluation consultants may reconstruct a Theory of Change </w:t>
      </w:r>
      <w:r>
        <w:t>(</w:t>
      </w:r>
      <w:proofErr w:type="spellStart"/>
      <w:r>
        <w:t>ToC</w:t>
      </w:r>
      <w:proofErr w:type="spellEnd"/>
      <w:r>
        <w:t xml:space="preserve">) </w:t>
      </w:r>
      <w:r w:rsidRPr="0051349B">
        <w:t xml:space="preserve">as necessary to help identify plausible causal relationships between inputs, activities, and the expected outputs, outcomes, and development impacts.  </w:t>
      </w:r>
    </w:p>
    <w:p w14:paraId="210F28E7" w14:textId="3D148D2B" w:rsidR="00785623" w:rsidRPr="00653FD0" w:rsidRDefault="00785623" w:rsidP="00785623">
      <w:pPr>
        <w:pStyle w:val="ListParagraph"/>
        <w:widowControl w:val="0"/>
        <w:numPr>
          <w:ilvl w:val="0"/>
          <w:numId w:val="22"/>
        </w:numPr>
        <w:autoSpaceDE w:val="0"/>
        <w:autoSpaceDN w:val="0"/>
        <w:adjustRightInd w:val="0"/>
        <w:spacing w:after="240" w:line="360" w:lineRule="atLeast"/>
        <w:contextualSpacing/>
        <w:jc w:val="both"/>
      </w:pPr>
      <w:r w:rsidRPr="0051349B">
        <w:t>In addition to assessing the performance of 2015-</w:t>
      </w:r>
      <w:r w:rsidR="00506927">
        <w:t>20</w:t>
      </w:r>
      <w:r w:rsidRPr="0051349B">
        <w:t xml:space="preserve"> ESPS, the evaluation will present the key issues and lessons for the future and corresponding recommendations. </w:t>
      </w:r>
    </w:p>
    <w:p w14:paraId="5DA0E2D5" w14:textId="77777777" w:rsidR="00785623" w:rsidRPr="00653FD0" w:rsidRDefault="00785623" w:rsidP="00785623">
      <w:pPr>
        <w:pStyle w:val="ListParagraph"/>
        <w:widowControl w:val="0"/>
        <w:numPr>
          <w:ilvl w:val="0"/>
          <w:numId w:val="22"/>
        </w:numPr>
        <w:autoSpaceDE w:val="0"/>
        <w:autoSpaceDN w:val="0"/>
        <w:adjustRightInd w:val="0"/>
        <w:spacing w:after="240" w:line="360" w:lineRule="atLeast"/>
        <w:contextualSpacing/>
        <w:jc w:val="both"/>
      </w:pPr>
      <w:r w:rsidRPr="0051349B">
        <w:t>Finally, the evaluation will assess CDB's capacity to prepare projects, be responsive to client needs, carry out procurement and supervision, policy dialogue, coordinate aid, and adhere to its policies.</w:t>
      </w:r>
    </w:p>
    <w:p w14:paraId="002AF913" w14:textId="77777777" w:rsidR="00785623" w:rsidRPr="00653FD0" w:rsidRDefault="00785623" w:rsidP="00785623">
      <w:pPr>
        <w:pStyle w:val="ListParagraph"/>
        <w:widowControl w:val="0"/>
        <w:numPr>
          <w:ilvl w:val="0"/>
          <w:numId w:val="22"/>
        </w:numPr>
        <w:autoSpaceDE w:val="0"/>
        <w:autoSpaceDN w:val="0"/>
        <w:adjustRightInd w:val="0"/>
        <w:spacing w:after="240" w:line="360" w:lineRule="atLeast"/>
        <w:ind w:left="357" w:hanging="357"/>
        <w:contextualSpacing/>
        <w:jc w:val="both"/>
      </w:pPr>
      <w:r w:rsidRPr="009F5704">
        <w:t>Formal performance ratings will not be required in this evaluation. Instead, areas of strength and weakness, lessons, and opportunities for improvement will be identified.</w:t>
      </w:r>
    </w:p>
    <w:p w14:paraId="0BA1EC67" w14:textId="77777777" w:rsidR="00785623" w:rsidRDefault="00785623" w:rsidP="00785623">
      <w:pPr>
        <w:pStyle w:val="ListParagraph"/>
        <w:widowControl w:val="0"/>
        <w:numPr>
          <w:ilvl w:val="0"/>
          <w:numId w:val="22"/>
        </w:numPr>
        <w:autoSpaceDE w:val="0"/>
        <w:autoSpaceDN w:val="0"/>
        <w:adjustRightInd w:val="0"/>
        <w:spacing w:after="240" w:line="360" w:lineRule="atLeast"/>
        <w:ind w:left="357" w:hanging="357"/>
        <w:contextualSpacing/>
        <w:jc w:val="both"/>
      </w:pPr>
      <w:r w:rsidRPr="00B00D22">
        <w:t xml:space="preserve">A draft set of questions are presented below, which will be confirmed during the inception phase. </w:t>
      </w:r>
    </w:p>
    <w:p w14:paraId="5DF6DC1F" w14:textId="77777777" w:rsidR="00785623" w:rsidRDefault="00785623" w:rsidP="00785623">
      <w:pPr>
        <w:pStyle w:val="ListParagraph"/>
        <w:numPr>
          <w:ilvl w:val="0"/>
          <w:numId w:val="22"/>
        </w:numPr>
        <w:spacing w:after="240" w:line="360" w:lineRule="atLeast"/>
        <w:ind w:left="357" w:hanging="357"/>
        <w:contextualSpacing/>
        <w:jc w:val="both"/>
      </w:pPr>
      <w:r w:rsidRPr="00E30625">
        <w:t>This evaluation will examine four overarching questions relating to two main units of analysis – the 2015 ESPS, and the portfolio of investment projects and TAs influenced by it:</w:t>
      </w:r>
    </w:p>
    <w:p w14:paraId="62677C06" w14:textId="77777777" w:rsidR="00785623" w:rsidRPr="00E30625" w:rsidRDefault="00785623" w:rsidP="00785623">
      <w:pPr>
        <w:pStyle w:val="ListParagraph"/>
        <w:ind w:left="360"/>
        <w:jc w:val="both"/>
      </w:pPr>
    </w:p>
    <w:p w14:paraId="370DDCE1" w14:textId="77777777" w:rsidR="00785623" w:rsidRPr="000A7A52" w:rsidRDefault="00785623" w:rsidP="00785623">
      <w:pPr>
        <w:pStyle w:val="ListParagraph"/>
        <w:numPr>
          <w:ilvl w:val="0"/>
          <w:numId w:val="23"/>
        </w:numPr>
        <w:spacing w:after="240" w:line="360" w:lineRule="atLeast"/>
        <w:contextualSpacing/>
        <w:jc w:val="both"/>
      </w:pPr>
      <w:r w:rsidRPr="000A7A52">
        <w:t>To what extent did the ESPS contribute to policy and regulatory improvement in the regional and national energy sectors?</w:t>
      </w:r>
    </w:p>
    <w:p w14:paraId="29DF7064" w14:textId="77777777" w:rsidR="00785623" w:rsidRPr="003A5276" w:rsidRDefault="00785623" w:rsidP="00785623">
      <w:pPr>
        <w:pStyle w:val="ListParagraph"/>
        <w:numPr>
          <w:ilvl w:val="1"/>
          <w:numId w:val="24"/>
        </w:numPr>
        <w:spacing w:after="240" w:line="360" w:lineRule="atLeast"/>
        <w:ind w:left="1094" w:hanging="357"/>
        <w:contextualSpacing/>
        <w:jc w:val="both"/>
        <w:rPr>
          <w:rStyle w:val="normaltextrun"/>
          <w:sz w:val="22"/>
          <w:szCs w:val="22"/>
          <w:lang w:val="en-029"/>
        </w:rPr>
      </w:pPr>
      <w:r w:rsidRPr="003A5276">
        <w:rPr>
          <w:rStyle w:val="normaltextrun"/>
        </w:rPr>
        <w:t xml:space="preserve">Whether the 2015 ESPS appropriately analysed energy sector challenges in the </w:t>
      </w:r>
      <w:proofErr w:type="gramStart"/>
      <w:r w:rsidRPr="003A5276">
        <w:rPr>
          <w:rStyle w:val="normaltextrun"/>
        </w:rPr>
        <w:t>Region, and</w:t>
      </w:r>
      <w:proofErr w:type="gramEnd"/>
      <w:r w:rsidRPr="003A5276">
        <w:rPr>
          <w:rStyle w:val="normaltextrun"/>
        </w:rPr>
        <w:t xml:space="preserve"> identified the appropriate focus for the Bank to adopt in addressing them</w:t>
      </w:r>
      <w:r>
        <w:rPr>
          <w:rStyle w:val="normaltextrun"/>
        </w:rPr>
        <w:t>.</w:t>
      </w:r>
    </w:p>
    <w:p w14:paraId="7BE77F32" w14:textId="77777777" w:rsidR="00785623" w:rsidRPr="00FB319E" w:rsidRDefault="00785623" w:rsidP="00785623">
      <w:pPr>
        <w:pStyle w:val="ListParagraph"/>
        <w:numPr>
          <w:ilvl w:val="1"/>
          <w:numId w:val="24"/>
        </w:numPr>
        <w:spacing w:after="240" w:line="360" w:lineRule="atLeast"/>
        <w:ind w:left="1094" w:hanging="357"/>
        <w:contextualSpacing/>
        <w:jc w:val="both"/>
        <w:rPr>
          <w:sz w:val="22"/>
          <w:szCs w:val="22"/>
          <w:lang w:val="en-029"/>
        </w:rPr>
      </w:pPr>
      <w:r>
        <w:rPr>
          <w:rStyle w:val="normaltextrun"/>
          <w:lang w:val="en-029"/>
        </w:rPr>
        <w:lastRenderedPageBreak/>
        <w:t>T</w:t>
      </w:r>
      <w:r w:rsidRPr="00FB319E">
        <w:rPr>
          <w:rStyle w:val="normaltextrun"/>
          <w:lang w:val="en-029"/>
        </w:rPr>
        <w:t>he extent to which ESPS was able to facilitate energy sector assessments in BMCs and identify detailed roadmaps of action for support by CDB energy sector tools, with emphasis on sector reform and improved governance</w:t>
      </w:r>
      <w:r>
        <w:rPr>
          <w:rStyle w:val="normaltextrun"/>
          <w:lang w:val="en-029"/>
        </w:rPr>
        <w:t>.</w:t>
      </w:r>
    </w:p>
    <w:p w14:paraId="7B079D51" w14:textId="77777777" w:rsidR="00785623" w:rsidRPr="00FB319E" w:rsidRDefault="00785623" w:rsidP="00785623">
      <w:pPr>
        <w:pStyle w:val="ListParagraph"/>
        <w:numPr>
          <w:ilvl w:val="1"/>
          <w:numId w:val="24"/>
        </w:numPr>
        <w:spacing w:after="240" w:line="360" w:lineRule="atLeast"/>
        <w:ind w:left="1094" w:hanging="357"/>
        <w:contextualSpacing/>
        <w:jc w:val="both"/>
        <w:rPr>
          <w:rStyle w:val="normaltextrun"/>
          <w:lang w:val="en-029"/>
        </w:rPr>
      </w:pPr>
      <w:r w:rsidRPr="3D8F9503">
        <w:rPr>
          <w:rStyle w:val="normaltextrun"/>
          <w:lang w:val="en-029"/>
        </w:rPr>
        <w:t xml:space="preserve">The extent to which the ESPS was able to facilitate energy sector assessments in BMCs to identify detailed roadmaps of action for support by CDB energy sector tools, with emphasis on sector reform and improved governance. </w:t>
      </w:r>
    </w:p>
    <w:p w14:paraId="093F2F88" w14:textId="561AE1E3" w:rsidR="00785623" w:rsidRDefault="00785623" w:rsidP="00785623">
      <w:pPr>
        <w:pStyle w:val="ListParagraph"/>
        <w:numPr>
          <w:ilvl w:val="1"/>
          <w:numId w:val="24"/>
        </w:numPr>
        <w:spacing w:after="240" w:line="360" w:lineRule="atLeast"/>
        <w:ind w:left="1094" w:hanging="357"/>
        <w:contextualSpacing/>
        <w:jc w:val="both"/>
      </w:pPr>
      <w:r w:rsidRPr="003A5276">
        <w:t>The extent to which ESPS strengthened institutional capacity and frameworks for the energy sector in BMCs</w:t>
      </w:r>
      <w:r>
        <w:t>.</w:t>
      </w:r>
      <w:r w:rsidRPr="003A5276">
        <w:t> </w:t>
      </w:r>
    </w:p>
    <w:p w14:paraId="6058B23B" w14:textId="77777777" w:rsidR="005B7C5B" w:rsidRPr="000A7A52" w:rsidRDefault="005B7C5B" w:rsidP="005B7C5B">
      <w:pPr>
        <w:pStyle w:val="ListParagraph"/>
        <w:spacing w:after="240" w:line="360" w:lineRule="atLeast"/>
        <w:ind w:left="1094"/>
        <w:contextualSpacing/>
        <w:jc w:val="both"/>
      </w:pPr>
    </w:p>
    <w:p w14:paraId="580F3152" w14:textId="77777777" w:rsidR="00785623" w:rsidRPr="00E30625" w:rsidRDefault="00785623" w:rsidP="00785623">
      <w:pPr>
        <w:pStyle w:val="ListParagraph"/>
        <w:numPr>
          <w:ilvl w:val="0"/>
          <w:numId w:val="23"/>
        </w:numPr>
        <w:spacing w:after="240" w:line="360" w:lineRule="atLeast"/>
        <w:contextualSpacing/>
        <w:jc w:val="both"/>
      </w:pPr>
      <w:r w:rsidRPr="00E30625">
        <w:t>To what extent did the CDB position itself as a key energy sector development partner in its BMCs?</w:t>
      </w:r>
    </w:p>
    <w:p w14:paraId="59E40A7A" w14:textId="77777777" w:rsidR="00785623" w:rsidRPr="003A5276" w:rsidRDefault="00785623" w:rsidP="00785623">
      <w:pPr>
        <w:pStyle w:val="ListParagraph"/>
        <w:numPr>
          <w:ilvl w:val="0"/>
          <w:numId w:val="26"/>
        </w:numPr>
        <w:spacing w:after="240" w:line="360" w:lineRule="atLeast"/>
        <w:ind w:left="1094" w:hanging="357"/>
        <w:contextualSpacing/>
        <w:jc w:val="both"/>
      </w:pPr>
      <w:r w:rsidRPr="003A5276">
        <w:t>The extent to which CDB was able to serve as a catalyst for attracting concessionary resources to the Region and as an intermediary for financial and technical assistance resources for BMCs. </w:t>
      </w:r>
    </w:p>
    <w:p w14:paraId="1C72D58C" w14:textId="77777777" w:rsidR="00785623" w:rsidRPr="003A5276" w:rsidRDefault="00785623" w:rsidP="00785623">
      <w:pPr>
        <w:pStyle w:val="ListParagraph"/>
        <w:numPr>
          <w:ilvl w:val="0"/>
          <w:numId w:val="26"/>
        </w:numPr>
        <w:spacing w:after="240" w:line="360" w:lineRule="atLeast"/>
        <w:ind w:left="1094" w:hanging="357"/>
        <w:contextualSpacing/>
        <w:jc w:val="both"/>
      </w:pPr>
      <w:r w:rsidRPr="003A5276">
        <w:t>Whether ESPS was able to facilitate the private sector's engagement to stimulate investment and support resilience in the energy sector.  </w:t>
      </w:r>
    </w:p>
    <w:p w14:paraId="7C770C8F" w14:textId="77777777" w:rsidR="00785623" w:rsidRPr="003A5276" w:rsidRDefault="00785623" w:rsidP="00785623">
      <w:pPr>
        <w:pStyle w:val="ListParagraph"/>
        <w:numPr>
          <w:ilvl w:val="0"/>
          <w:numId w:val="26"/>
        </w:numPr>
        <w:spacing w:after="240" w:line="360" w:lineRule="atLeast"/>
        <w:ind w:left="1094" w:hanging="357"/>
        <w:contextualSpacing/>
        <w:jc w:val="both"/>
      </w:pPr>
      <w:r w:rsidRPr="003A5276">
        <w:t>Whether ESPS took proper account of the potential for complementarity and cooperation with other players. </w:t>
      </w:r>
    </w:p>
    <w:p w14:paraId="7E29CCB2" w14:textId="77777777" w:rsidR="00785623" w:rsidRPr="003A5276" w:rsidRDefault="00785623" w:rsidP="00785623">
      <w:pPr>
        <w:pStyle w:val="ListParagraph"/>
        <w:numPr>
          <w:ilvl w:val="0"/>
          <w:numId w:val="26"/>
        </w:numPr>
        <w:spacing w:after="240" w:line="360" w:lineRule="atLeast"/>
        <w:ind w:left="1094" w:hanging="357"/>
        <w:contextualSpacing/>
        <w:jc w:val="both"/>
      </w:pPr>
      <w:r w:rsidRPr="003A5276">
        <w:t>Can lessons be learned from the approach of other Development Banks? </w:t>
      </w:r>
    </w:p>
    <w:p w14:paraId="249EC785" w14:textId="77777777" w:rsidR="00785623" w:rsidRPr="00E30625" w:rsidRDefault="00785623" w:rsidP="00785623">
      <w:pPr>
        <w:pStyle w:val="ListParagraph"/>
        <w:spacing w:after="240" w:line="360" w:lineRule="atLeast"/>
        <w:ind w:left="1094"/>
        <w:contextualSpacing/>
        <w:jc w:val="both"/>
      </w:pPr>
    </w:p>
    <w:p w14:paraId="7A5900B8" w14:textId="77777777" w:rsidR="00785623" w:rsidRPr="00E30625" w:rsidRDefault="00785623" w:rsidP="00785623">
      <w:pPr>
        <w:pStyle w:val="ListParagraph"/>
        <w:numPr>
          <w:ilvl w:val="0"/>
          <w:numId w:val="23"/>
        </w:numPr>
        <w:spacing w:after="240" w:line="360" w:lineRule="atLeast"/>
        <w:contextualSpacing/>
        <w:jc w:val="both"/>
      </w:pPr>
      <w:r w:rsidRPr="00E30625">
        <w:t xml:space="preserve"> To what extent did CDB make appropriate internal institutional adaptations to deliver on the commitments of the ESPS?</w:t>
      </w:r>
    </w:p>
    <w:p w14:paraId="437D9704" w14:textId="77777777" w:rsidR="00785623" w:rsidRPr="00E30625" w:rsidRDefault="00785623" w:rsidP="00785623">
      <w:pPr>
        <w:pStyle w:val="ListParagraph"/>
        <w:numPr>
          <w:ilvl w:val="0"/>
          <w:numId w:val="41"/>
        </w:numPr>
        <w:spacing w:after="240" w:line="360" w:lineRule="atLeast"/>
        <w:contextualSpacing/>
        <w:jc w:val="both"/>
      </w:pPr>
      <w:r>
        <w:t xml:space="preserve">The extent to which CDB adapted its priorities, internal capacity, and processes to support the energy sector </w:t>
      </w:r>
    </w:p>
    <w:p w14:paraId="44175E2D" w14:textId="77777777" w:rsidR="00785623" w:rsidRPr="00E30625" w:rsidRDefault="00785623" w:rsidP="00785623">
      <w:pPr>
        <w:pStyle w:val="ListParagraph"/>
        <w:numPr>
          <w:ilvl w:val="0"/>
          <w:numId w:val="41"/>
        </w:numPr>
        <w:spacing w:after="240" w:line="360" w:lineRule="atLeast"/>
        <w:contextualSpacing/>
        <w:jc w:val="both"/>
      </w:pPr>
      <w:r>
        <w:t>The extent to which CDB was able to create and deploy appropriate and innovative instruments to address the needs of BMCs</w:t>
      </w:r>
    </w:p>
    <w:p w14:paraId="4F84C980" w14:textId="77777777" w:rsidR="00785623" w:rsidRPr="00E30625" w:rsidRDefault="00785623" w:rsidP="00785623">
      <w:pPr>
        <w:pStyle w:val="ListParagraph"/>
        <w:numPr>
          <w:ilvl w:val="0"/>
          <w:numId w:val="41"/>
        </w:numPr>
        <w:spacing w:after="240" w:line="360" w:lineRule="atLeast"/>
        <w:contextualSpacing/>
        <w:jc w:val="both"/>
      </w:pPr>
      <w:r>
        <w:t>Whether an adequate alignment of country strategies with the ESPS occurred</w:t>
      </w:r>
    </w:p>
    <w:p w14:paraId="34331595" w14:textId="77777777" w:rsidR="00785623" w:rsidRPr="0079366B" w:rsidRDefault="00785623" w:rsidP="00785623">
      <w:pPr>
        <w:pStyle w:val="ListParagraph"/>
        <w:numPr>
          <w:ilvl w:val="0"/>
          <w:numId w:val="41"/>
        </w:numPr>
        <w:spacing w:after="240" w:line="360" w:lineRule="atLeast"/>
        <w:contextualSpacing/>
        <w:jc w:val="both"/>
      </w:pPr>
      <w:r>
        <w:t>Whether an appropriate monitoring and evaluation system provided useful and reliable information for tracking progress and for adaptive management</w:t>
      </w:r>
    </w:p>
    <w:p w14:paraId="26CFC60E" w14:textId="77777777" w:rsidR="00785623" w:rsidRDefault="00785623" w:rsidP="00785623">
      <w:pPr>
        <w:pStyle w:val="ListParagraph"/>
        <w:numPr>
          <w:ilvl w:val="0"/>
          <w:numId w:val="41"/>
        </w:numPr>
        <w:spacing w:after="240" w:line="360" w:lineRule="atLeast"/>
        <w:contextualSpacing/>
        <w:jc w:val="both"/>
      </w:pPr>
      <w:r w:rsidRPr="0079366B">
        <w:t>Whether, as outlined in the ESPS, complementary instruments including the CTCS and BNTF were mobilised in support of the Strategy.</w:t>
      </w:r>
      <w:r w:rsidRPr="000A7A52">
        <w:t xml:space="preserve"> </w:t>
      </w:r>
    </w:p>
    <w:p w14:paraId="0BEDC129" w14:textId="77777777" w:rsidR="00785623" w:rsidRPr="00E30625" w:rsidRDefault="00785623" w:rsidP="00785623">
      <w:pPr>
        <w:pStyle w:val="ListParagraph"/>
        <w:spacing w:after="240" w:line="360" w:lineRule="atLeast"/>
        <w:ind w:left="1094"/>
        <w:contextualSpacing/>
        <w:jc w:val="both"/>
      </w:pPr>
    </w:p>
    <w:p w14:paraId="3B17EC9B" w14:textId="77777777" w:rsidR="00785623" w:rsidRPr="00E30625" w:rsidRDefault="00785623" w:rsidP="00785623">
      <w:pPr>
        <w:pStyle w:val="ListParagraph"/>
        <w:numPr>
          <w:ilvl w:val="0"/>
          <w:numId w:val="23"/>
        </w:numPr>
        <w:spacing w:after="240" w:line="360" w:lineRule="atLeast"/>
        <w:contextualSpacing/>
        <w:jc w:val="both"/>
      </w:pPr>
      <w:r w:rsidRPr="00E30625">
        <w:t>To what extent did the portfolio of investment projects and TAs inspired by the ESPS achieve their desired results?</w:t>
      </w:r>
    </w:p>
    <w:p w14:paraId="1FDCBE51" w14:textId="77777777" w:rsidR="00785623" w:rsidRDefault="00785623" w:rsidP="00785623">
      <w:pPr>
        <w:pStyle w:val="ListParagraph"/>
        <w:numPr>
          <w:ilvl w:val="0"/>
          <w:numId w:val="27"/>
        </w:numPr>
        <w:spacing w:after="240" w:line="360" w:lineRule="atLeast"/>
        <w:ind w:left="1094" w:hanging="357"/>
        <w:contextualSpacing/>
        <w:jc w:val="both"/>
      </w:pPr>
      <w:r w:rsidRPr="003A5276">
        <w:t>Whether the ESPS results framework was appropriate. </w:t>
      </w:r>
    </w:p>
    <w:p w14:paraId="727DF241" w14:textId="77777777" w:rsidR="00785623" w:rsidRPr="00E30625" w:rsidRDefault="00785623" w:rsidP="00785623">
      <w:pPr>
        <w:pStyle w:val="ListParagraph"/>
        <w:numPr>
          <w:ilvl w:val="0"/>
          <w:numId w:val="27"/>
        </w:numPr>
        <w:spacing w:after="240" w:line="360" w:lineRule="atLeast"/>
        <w:ind w:left="1094" w:hanging="357"/>
        <w:contextualSpacing/>
        <w:jc w:val="both"/>
      </w:pPr>
      <w:r w:rsidRPr="00E30625">
        <w:lastRenderedPageBreak/>
        <w:t xml:space="preserve">What have been the results of the portfolio of investments and </w:t>
      </w:r>
      <w:r>
        <w:t>TAs</w:t>
      </w:r>
      <w:r w:rsidRPr="00E30625">
        <w:t xml:space="preserve"> in transforming the energy sector?</w:t>
      </w:r>
    </w:p>
    <w:p w14:paraId="64C396BB" w14:textId="77777777" w:rsidR="00785623" w:rsidRPr="00E30625" w:rsidRDefault="00785623" w:rsidP="00785623">
      <w:pPr>
        <w:pStyle w:val="ListParagraph"/>
        <w:numPr>
          <w:ilvl w:val="0"/>
          <w:numId w:val="27"/>
        </w:numPr>
        <w:spacing w:after="240" w:line="360" w:lineRule="atLeast"/>
        <w:ind w:left="1094" w:hanging="357"/>
        <w:contextualSpacing/>
        <w:jc w:val="both"/>
      </w:pPr>
      <w:r w:rsidRPr="00E30625">
        <w:t xml:space="preserve">To what extent have the portfolio of investments and </w:t>
      </w:r>
      <w:r>
        <w:t xml:space="preserve">TAs </w:t>
      </w:r>
      <w:r w:rsidRPr="00E30625">
        <w:t xml:space="preserve">met its output </w:t>
      </w:r>
      <w:r>
        <w:t xml:space="preserve">and outcome </w:t>
      </w:r>
      <w:r w:rsidRPr="00E30625">
        <w:t>targets?</w:t>
      </w:r>
    </w:p>
    <w:p w14:paraId="3E7A6C29" w14:textId="77777777" w:rsidR="00785623" w:rsidRPr="00E30625" w:rsidRDefault="00785623" w:rsidP="00785623">
      <w:pPr>
        <w:pStyle w:val="ListParagraph"/>
        <w:numPr>
          <w:ilvl w:val="0"/>
          <w:numId w:val="27"/>
        </w:numPr>
        <w:spacing w:after="240" w:line="360" w:lineRule="atLeast"/>
        <w:ind w:left="1094" w:hanging="357"/>
        <w:contextualSpacing/>
        <w:jc w:val="both"/>
      </w:pPr>
      <w:r w:rsidRPr="00E30625">
        <w:t>What factors explain the success or the failure of th</w:t>
      </w:r>
      <w:r>
        <w:t>e portfolio of investments and TAs</w:t>
      </w:r>
      <w:r w:rsidRPr="00E30625">
        <w:t>?</w:t>
      </w:r>
    </w:p>
    <w:p w14:paraId="79942DC5" w14:textId="77777777" w:rsidR="00785623" w:rsidRPr="00E30625" w:rsidRDefault="00785623" w:rsidP="00785623">
      <w:pPr>
        <w:pStyle w:val="ListParagraph"/>
        <w:numPr>
          <w:ilvl w:val="0"/>
          <w:numId w:val="27"/>
        </w:numPr>
        <w:spacing w:after="240" w:line="360" w:lineRule="atLeast"/>
        <w:ind w:left="1094" w:hanging="357"/>
        <w:contextualSpacing/>
        <w:jc w:val="both"/>
      </w:pPr>
      <w:r w:rsidRPr="00E30625">
        <w:t xml:space="preserve">To what extent did the portfolio of investments and </w:t>
      </w:r>
      <w:r>
        <w:t xml:space="preserve">TAs </w:t>
      </w:r>
      <w:r w:rsidRPr="00E30625">
        <w:t>respect CDB’s environment and social safeguards, and gender equality policy?</w:t>
      </w:r>
    </w:p>
    <w:p w14:paraId="44ACC658" w14:textId="77777777" w:rsidR="00785623" w:rsidRPr="00E30625" w:rsidRDefault="00785623" w:rsidP="00785623">
      <w:pPr>
        <w:pStyle w:val="ListParagraph"/>
        <w:numPr>
          <w:ilvl w:val="0"/>
          <w:numId w:val="27"/>
        </w:numPr>
        <w:spacing w:after="240" w:line="360" w:lineRule="atLeast"/>
        <w:ind w:left="1094" w:hanging="357"/>
        <w:contextualSpacing/>
        <w:jc w:val="both"/>
      </w:pPr>
      <w:r w:rsidRPr="00E30625">
        <w:t xml:space="preserve">Are achievements of the portfolio of investments and </w:t>
      </w:r>
      <w:r>
        <w:t xml:space="preserve">TAs </w:t>
      </w:r>
      <w:r w:rsidRPr="00E30625">
        <w:t xml:space="preserve">likely to be sustained after funding ends? </w:t>
      </w:r>
      <w:r>
        <w:t xml:space="preserve">Have national systems been strengthened? </w:t>
      </w:r>
      <w:r w:rsidRPr="00E30625">
        <w:t>What are the critical risks, and how will they be mitigated?</w:t>
      </w:r>
    </w:p>
    <w:p w14:paraId="3341E779" w14:textId="77777777" w:rsidR="00785623" w:rsidRPr="009F5704" w:rsidRDefault="00785623" w:rsidP="00785623"/>
    <w:p w14:paraId="0259EE11" w14:textId="77777777" w:rsidR="00785623" w:rsidRPr="0038762B" w:rsidRDefault="00785623" w:rsidP="00785623">
      <w:pPr>
        <w:pStyle w:val="ListParagraph"/>
        <w:numPr>
          <w:ilvl w:val="0"/>
          <w:numId w:val="12"/>
        </w:numPr>
        <w:autoSpaceDE w:val="0"/>
        <w:autoSpaceDN w:val="0"/>
        <w:adjustRightInd w:val="0"/>
        <w:ind w:left="0" w:firstLine="0"/>
        <w:contextualSpacing/>
        <w:jc w:val="both"/>
        <w:rPr>
          <w:b/>
        </w:rPr>
      </w:pPr>
      <w:r w:rsidRPr="00BA1C05">
        <w:rPr>
          <w:rFonts w:eastAsia="Calibri"/>
          <w:b/>
        </w:rPr>
        <w:t>EXECUTION</w:t>
      </w:r>
    </w:p>
    <w:p w14:paraId="4F0EC53C" w14:textId="77777777" w:rsidR="00785623" w:rsidRDefault="00785623" w:rsidP="00785623">
      <w:pPr>
        <w:pStyle w:val="ListParagraph"/>
        <w:spacing w:line="360" w:lineRule="atLeast"/>
        <w:ind w:left="357"/>
      </w:pPr>
    </w:p>
    <w:p w14:paraId="04B17E72" w14:textId="77777777" w:rsidR="00785623" w:rsidRPr="00EF7432" w:rsidRDefault="00785623" w:rsidP="00785623">
      <w:pPr>
        <w:pStyle w:val="ListParagraph"/>
        <w:numPr>
          <w:ilvl w:val="0"/>
          <w:numId w:val="15"/>
        </w:numPr>
        <w:spacing w:after="160" w:line="360" w:lineRule="atLeast"/>
        <w:ind w:left="357"/>
        <w:contextualSpacing/>
        <w:jc w:val="both"/>
      </w:pPr>
      <w:r w:rsidRPr="00EF7432">
        <w:t>The evaluation exercise will be structured around the following three main phases:</w:t>
      </w:r>
    </w:p>
    <w:p w14:paraId="284C9842" w14:textId="77777777" w:rsidR="00785623" w:rsidRPr="00EF7432" w:rsidRDefault="00785623" w:rsidP="00785623">
      <w:pPr>
        <w:pStyle w:val="ListParagraph"/>
        <w:numPr>
          <w:ilvl w:val="0"/>
          <w:numId w:val="28"/>
        </w:numPr>
        <w:spacing w:after="160" w:line="360" w:lineRule="atLeast"/>
        <w:ind w:left="357"/>
        <w:contextualSpacing/>
        <w:jc w:val="both"/>
      </w:pPr>
      <w:r w:rsidRPr="00EF7432">
        <w:rPr>
          <w:i/>
        </w:rPr>
        <w:t>Document Review</w:t>
      </w:r>
      <w:r w:rsidRPr="00EF7432">
        <w:t xml:space="preserve">: To answer the evaluation questions, an evaluation team will gather evidence from various sources.  A desk review will include the analysis of publicly available documents of the ECC governments and other multi-lateral institutions, as well as relevant Bank documents related to the ESPS, including but not limited to strategic planning and policy documents, previous evaluations, country strategy papers, appraisals, progress monitoring reports, and project completion reports). </w:t>
      </w:r>
    </w:p>
    <w:p w14:paraId="1D79E256" w14:textId="77777777" w:rsidR="00785623" w:rsidRPr="00EF7432" w:rsidRDefault="00785623" w:rsidP="00785623">
      <w:pPr>
        <w:pStyle w:val="ListParagraph"/>
        <w:numPr>
          <w:ilvl w:val="0"/>
          <w:numId w:val="28"/>
        </w:numPr>
        <w:spacing w:after="160" w:line="360" w:lineRule="atLeast"/>
        <w:ind w:left="357"/>
        <w:contextualSpacing/>
        <w:jc w:val="both"/>
      </w:pPr>
      <w:r w:rsidRPr="00EF7432">
        <w:rPr>
          <w:i/>
        </w:rPr>
        <w:t>SFP review</w:t>
      </w:r>
      <w:r w:rsidRPr="00EF7432">
        <w:t>: To assess the extent and quality of the ESPS, the evaluation will review a sample of SFP implemented during the period 2015-</w:t>
      </w:r>
      <w:r>
        <w:t>20</w:t>
      </w:r>
      <w:r w:rsidRPr="00EF7432">
        <w:t xml:space="preserve">. </w:t>
      </w:r>
    </w:p>
    <w:p w14:paraId="67ECC638" w14:textId="77777777" w:rsidR="00785623" w:rsidRPr="00EF7432" w:rsidRDefault="00785623" w:rsidP="00785623">
      <w:pPr>
        <w:pStyle w:val="ListParagraph"/>
        <w:numPr>
          <w:ilvl w:val="0"/>
          <w:numId w:val="28"/>
        </w:numPr>
        <w:spacing w:after="160" w:line="360" w:lineRule="atLeast"/>
        <w:ind w:left="357"/>
        <w:contextualSpacing/>
        <w:jc w:val="both"/>
      </w:pPr>
      <w:r w:rsidRPr="00EF7432">
        <w:rPr>
          <w:i/>
        </w:rPr>
        <w:t>Data collection</w:t>
      </w:r>
      <w:r w:rsidRPr="00EF7432">
        <w:t>: The data collection phase will include data gathering from relevant stakeholders through interviews, focus group discussions, and surveys.  Due to the spread of COVID-19 and travel restrictions, the evaluation will consider alternative/complementary data collection methods to avoid traveling and ensure stakeholders' protection and safety.</w:t>
      </w:r>
    </w:p>
    <w:p w14:paraId="017D4F67" w14:textId="77777777" w:rsidR="00785623" w:rsidRDefault="00785623" w:rsidP="00785623">
      <w:pPr>
        <w:pStyle w:val="ListParagraph"/>
        <w:widowControl w:val="0"/>
        <w:numPr>
          <w:ilvl w:val="0"/>
          <w:numId w:val="15"/>
        </w:numPr>
        <w:autoSpaceDE w:val="0"/>
        <w:autoSpaceDN w:val="0"/>
        <w:adjustRightInd w:val="0"/>
        <w:spacing w:after="240" w:line="360" w:lineRule="atLeast"/>
        <w:contextualSpacing/>
        <w:jc w:val="both"/>
      </w:pPr>
      <w:r w:rsidRPr="00B00D22">
        <w:t xml:space="preserve">The Consultant Team will be expected to design and implement a robust evaluation drawing from </w:t>
      </w:r>
      <w:r>
        <w:t>recognised</w:t>
      </w:r>
      <w:r w:rsidRPr="00B00D22">
        <w:t xml:space="preserve"> good p</w:t>
      </w:r>
      <w:r>
        <w:t xml:space="preserve">ractice standards. </w:t>
      </w:r>
      <w:r w:rsidRPr="00B00D22">
        <w:t xml:space="preserve">A theory-based approach would be useful </w:t>
      </w:r>
      <w:r>
        <w:t>to identify</w:t>
      </w:r>
      <w:r w:rsidRPr="00B00D22">
        <w:t xml:space="preserve"> </w:t>
      </w:r>
      <w:r>
        <w:t>ESPS’s</w:t>
      </w:r>
      <w:r w:rsidRPr="00B00D22">
        <w:t xml:space="preserve"> inten</w:t>
      </w:r>
      <w:r>
        <w:t xml:space="preserve">ded outcomes and logic chains. </w:t>
      </w:r>
      <w:r w:rsidRPr="00B00D22">
        <w:t>Theory development will be undertaken at the inception stage of the evaluation</w:t>
      </w:r>
      <w:r>
        <w:t>.</w:t>
      </w:r>
      <w:r w:rsidRPr="00B00D22">
        <w:t xml:space="preserve"> </w:t>
      </w:r>
    </w:p>
    <w:p w14:paraId="3F5BDBF7" w14:textId="77777777" w:rsidR="00785623" w:rsidRPr="00AD3D14" w:rsidRDefault="00785623" w:rsidP="00785623">
      <w:pPr>
        <w:pStyle w:val="ListParagraph"/>
        <w:widowControl w:val="0"/>
        <w:numPr>
          <w:ilvl w:val="0"/>
          <w:numId w:val="15"/>
        </w:numPr>
        <w:autoSpaceDE w:val="0"/>
        <w:autoSpaceDN w:val="0"/>
        <w:adjustRightInd w:val="0"/>
        <w:spacing w:after="240" w:line="360" w:lineRule="atLeast"/>
        <w:contextualSpacing/>
        <w:jc w:val="both"/>
      </w:pPr>
      <w:r w:rsidRPr="00575314">
        <w:t xml:space="preserve">The following guidelines should be considered for developing the </w:t>
      </w:r>
      <w:r>
        <w:t>ESPS</w:t>
      </w:r>
      <w:r w:rsidRPr="00575314">
        <w:t xml:space="preserve"> </w:t>
      </w:r>
      <w:r>
        <w:t xml:space="preserve">evaluation </w:t>
      </w:r>
      <w:r w:rsidRPr="00575314">
        <w:t xml:space="preserve">methodology: </w:t>
      </w:r>
    </w:p>
    <w:p w14:paraId="42125964" w14:textId="77777777" w:rsidR="00785623" w:rsidRPr="004F15AD" w:rsidRDefault="00785623" w:rsidP="00785623">
      <w:pPr>
        <w:pStyle w:val="ListParagraph"/>
        <w:widowControl w:val="0"/>
        <w:numPr>
          <w:ilvl w:val="0"/>
          <w:numId w:val="16"/>
        </w:numPr>
        <w:autoSpaceDE w:val="0"/>
        <w:autoSpaceDN w:val="0"/>
        <w:adjustRightInd w:val="0"/>
        <w:spacing w:after="240" w:line="360" w:lineRule="atLeast"/>
        <w:contextualSpacing/>
        <w:jc w:val="both"/>
      </w:pPr>
      <w:r w:rsidRPr="00B00D22">
        <w:t xml:space="preserve">Specific evaluation questions, derived from the general questions outlined in </w:t>
      </w:r>
      <w:r>
        <w:t>section 4</w:t>
      </w:r>
      <w:r w:rsidRPr="00B00D22">
        <w:t xml:space="preserve">, will </w:t>
      </w:r>
      <w:r w:rsidRPr="004F15AD">
        <w:t>be developed in consultation with OIE.</w:t>
      </w:r>
    </w:p>
    <w:p w14:paraId="54FC1B48" w14:textId="77777777" w:rsidR="00785623" w:rsidRPr="00AD3D14" w:rsidRDefault="00785623" w:rsidP="00785623">
      <w:pPr>
        <w:pStyle w:val="ListParagraph"/>
        <w:widowControl w:val="0"/>
        <w:numPr>
          <w:ilvl w:val="0"/>
          <w:numId w:val="16"/>
        </w:numPr>
        <w:autoSpaceDE w:val="0"/>
        <w:autoSpaceDN w:val="0"/>
        <w:adjustRightInd w:val="0"/>
        <w:spacing w:after="240" w:line="360" w:lineRule="atLeast"/>
        <w:contextualSpacing/>
        <w:jc w:val="both"/>
      </w:pPr>
      <w:r w:rsidRPr="00B00D22">
        <w:t xml:space="preserve">A methodology that makes the best use of existing secondary data and devises </w:t>
      </w:r>
      <w:r w:rsidRPr="00AD3D14">
        <w:t xml:space="preserve">efficient </w:t>
      </w:r>
      <w:r w:rsidRPr="00AD3D14">
        <w:lastRenderedPageBreak/>
        <w:t xml:space="preserve">means of primary data collection to support findings and conclusions will need to be developed.  It should be based on </w:t>
      </w:r>
      <w:r>
        <w:t xml:space="preserve">the overall ESPS and </w:t>
      </w:r>
      <w:r w:rsidRPr="00AD3D14">
        <w:t xml:space="preserve">an adequately representative sample of </w:t>
      </w:r>
      <w:r>
        <w:t>SFP</w:t>
      </w:r>
      <w:r w:rsidRPr="00AD3D14">
        <w:t xml:space="preserve"> to assess Bank performance over the period.  </w:t>
      </w:r>
    </w:p>
    <w:p w14:paraId="66AF7DB5" w14:textId="77777777" w:rsidR="00785623" w:rsidRPr="00FD1E22" w:rsidRDefault="00785623" w:rsidP="00785623">
      <w:pPr>
        <w:pStyle w:val="ListParagraph"/>
        <w:widowControl w:val="0"/>
        <w:numPr>
          <w:ilvl w:val="0"/>
          <w:numId w:val="16"/>
        </w:numPr>
        <w:autoSpaceDE w:val="0"/>
        <w:autoSpaceDN w:val="0"/>
        <w:adjustRightInd w:val="0"/>
        <w:spacing w:after="240" w:line="360" w:lineRule="atLeast"/>
        <w:contextualSpacing/>
        <w:jc w:val="both"/>
      </w:pPr>
      <w:r w:rsidRPr="00B00D22">
        <w:t>Document review, including CDB and other multi-lateral institution</w:t>
      </w:r>
      <w:r>
        <w:t>s,</w:t>
      </w:r>
      <w:r w:rsidRPr="00B00D22">
        <w:t xml:space="preserve"> Country Strategies, related evaluations by OIE and other evaluation offices, and available portfolio documentation (appraisal reports, PSRs, PCRs, PCVRs) will be a starting point.  </w:t>
      </w:r>
    </w:p>
    <w:p w14:paraId="75767FD0" w14:textId="77777777" w:rsidR="00785623" w:rsidRPr="00B00D22" w:rsidRDefault="00785623" w:rsidP="00785623">
      <w:pPr>
        <w:pStyle w:val="ListParagraph"/>
        <w:widowControl w:val="0"/>
        <w:numPr>
          <w:ilvl w:val="0"/>
          <w:numId w:val="16"/>
        </w:numPr>
        <w:autoSpaceDE w:val="0"/>
        <w:autoSpaceDN w:val="0"/>
        <w:adjustRightInd w:val="0"/>
        <w:spacing w:after="240" w:line="360" w:lineRule="atLeast"/>
        <w:contextualSpacing/>
        <w:jc w:val="both"/>
      </w:pPr>
      <w:r w:rsidRPr="000F4CC0">
        <w:t>The data collection phase will include data gathering from relevant stakeholders through interviews, focus group discussions</w:t>
      </w:r>
      <w:r>
        <w:t>, and surveys</w:t>
      </w:r>
      <w:r w:rsidRPr="000F4CC0">
        <w:t xml:space="preserve">. </w:t>
      </w:r>
      <w:r w:rsidRPr="00AD3D14">
        <w:t> </w:t>
      </w:r>
      <w:r w:rsidRPr="000F4CC0">
        <w:t xml:space="preserve">Due to the spread of COVID-19 and travel restrictions, the evaluation will consider </w:t>
      </w:r>
      <w:r>
        <w:t>alternative/complementary data collection methods to avoid traveling and ensure all stakeholders' protection and safety.</w:t>
      </w:r>
    </w:p>
    <w:p w14:paraId="5E124074" w14:textId="77777777" w:rsidR="00785623" w:rsidRDefault="00785623" w:rsidP="00785623">
      <w:pPr>
        <w:pStyle w:val="ListParagraph"/>
        <w:widowControl w:val="0"/>
        <w:numPr>
          <w:ilvl w:val="0"/>
          <w:numId w:val="16"/>
        </w:numPr>
        <w:autoSpaceDE w:val="0"/>
        <w:autoSpaceDN w:val="0"/>
        <w:adjustRightInd w:val="0"/>
        <w:spacing w:after="240" w:line="360" w:lineRule="atLeast"/>
        <w:ind w:left="714" w:hanging="357"/>
        <w:contextualSpacing/>
        <w:jc w:val="both"/>
      </w:pPr>
      <w:r w:rsidRPr="00B00D22">
        <w:t xml:space="preserve">Formal ratings of criteria and Bank performance on a Likert scale will not be required in this evaluation. Instead, areas of strength and weakness, lessons, and opportunities for improvement will be identified. </w:t>
      </w:r>
    </w:p>
    <w:p w14:paraId="7D3F7F93" w14:textId="77777777" w:rsidR="00785623" w:rsidRPr="00B00D22" w:rsidRDefault="00785623" w:rsidP="00785623">
      <w:pPr>
        <w:pStyle w:val="ListParagraph"/>
        <w:widowControl w:val="0"/>
        <w:autoSpaceDE w:val="0"/>
        <w:autoSpaceDN w:val="0"/>
        <w:adjustRightInd w:val="0"/>
        <w:spacing w:after="240" w:line="360" w:lineRule="atLeast"/>
        <w:jc w:val="both"/>
      </w:pPr>
    </w:p>
    <w:p w14:paraId="080E17A7" w14:textId="77777777" w:rsidR="00785623" w:rsidRPr="00EF7432" w:rsidRDefault="00785623" w:rsidP="00785623">
      <w:pPr>
        <w:pStyle w:val="ListParagraph"/>
        <w:numPr>
          <w:ilvl w:val="0"/>
          <w:numId w:val="12"/>
        </w:numPr>
        <w:autoSpaceDE w:val="0"/>
        <w:autoSpaceDN w:val="0"/>
        <w:adjustRightInd w:val="0"/>
        <w:ind w:left="0" w:firstLine="0"/>
        <w:contextualSpacing/>
        <w:jc w:val="both"/>
        <w:rPr>
          <w:rFonts w:eastAsia="Calibri"/>
          <w:b/>
        </w:rPr>
      </w:pPr>
      <w:r w:rsidRPr="00EF7432">
        <w:rPr>
          <w:rFonts w:eastAsia="Calibri"/>
          <w:b/>
        </w:rPr>
        <w:t>REPORTING REQUIREMENTS / DELIVERABLES</w:t>
      </w:r>
    </w:p>
    <w:p w14:paraId="1FAE0EDA" w14:textId="77777777" w:rsidR="00785623" w:rsidRPr="006304D2" w:rsidRDefault="00785623" w:rsidP="00785623">
      <w:pPr>
        <w:pStyle w:val="ListParagraph"/>
        <w:autoSpaceDE w:val="0"/>
        <w:autoSpaceDN w:val="0"/>
        <w:adjustRightInd w:val="0"/>
        <w:ind w:left="1440" w:hanging="720"/>
        <w:rPr>
          <w:rFonts w:eastAsia="Calibri"/>
        </w:rPr>
      </w:pPr>
    </w:p>
    <w:p w14:paraId="737C88F9" w14:textId="77777777" w:rsidR="00785623" w:rsidRPr="006304D2" w:rsidRDefault="00785623" w:rsidP="00785623">
      <w:pPr>
        <w:pStyle w:val="ListParagraph"/>
        <w:numPr>
          <w:ilvl w:val="0"/>
          <w:numId w:val="10"/>
        </w:numPr>
        <w:autoSpaceDE w:val="0"/>
        <w:autoSpaceDN w:val="0"/>
        <w:adjustRightInd w:val="0"/>
        <w:spacing w:after="160" w:line="259" w:lineRule="auto"/>
        <w:contextualSpacing/>
        <w:rPr>
          <w:rFonts w:eastAsia="Calibri"/>
        </w:rPr>
      </w:pPr>
      <w:r w:rsidRPr="006304D2">
        <w:rPr>
          <w:rFonts w:eastAsia="Calibri"/>
        </w:rPr>
        <w:t>The evaluation consultants shall provide the following documents and reports to OIE:</w:t>
      </w:r>
    </w:p>
    <w:p w14:paraId="0B9FB91D" w14:textId="77777777" w:rsidR="00785623" w:rsidRPr="006304D2" w:rsidRDefault="00785623" w:rsidP="00785623">
      <w:pPr>
        <w:pStyle w:val="ListParagraph"/>
        <w:autoSpaceDE w:val="0"/>
        <w:autoSpaceDN w:val="0"/>
        <w:adjustRightInd w:val="0"/>
        <w:ind w:left="1440" w:hanging="720"/>
        <w:rPr>
          <w:rFonts w:eastAsia="Calibri"/>
        </w:rPr>
      </w:pPr>
    </w:p>
    <w:p w14:paraId="098D3C5E" w14:textId="77777777" w:rsidR="00785623" w:rsidRPr="006304D2" w:rsidRDefault="00785623" w:rsidP="00785623">
      <w:pPr>
        <w:pStyle w:val="ListParagraph"/>
        <w:numPr>
          <w:ilvl w:val="0"/>
          <w:numId w:val="29"/>
        </w:numPr>
        <w:spacing w:line="360" w:lineRule="atLeast"/>
        <w:contextualSpacing/>
        <w:jc w:val="both"/>
        <w:rPr>
          <w:rFonts w:eastAsia="Calibri"/>
        </w:rPr>
      </w:pPr>
      <w:r w:rsidRPr="006304D2">
        <w:rPr>
          <w:rFonts w:eastAsia="Calibri"/>
        </w:rPr>
        <w:t>Deliverable</w:t>
      </w:r>
      <w:r w:rsidRPr="006304D2">
        <w:rPr>
          <w:rFonts w:eastAsia="Calibri"/>
          <w:i/>
        </w:rPr>
        <w:t xml:space="preserve"> 1- Inception Report</w:t>
      </w:r>
      <w:r w:rsidRPr="006304D2">
        <w:rPr>
          <w:rFonts w:eastAsia="Calibri"/>
        </w:rPr>
        <w:t xml:space="preserve">: The inception report will be based on an initial review of documents and discussions with Bank staff and will include a full evaluation design including overall approach (including </w:t>
      </w:r>
      <w:proofErr w:type="spellStart"/>
      <w:r w:rsidRPr="006304D2">
        <w:rPr>
          <w:rFonts w:eastAsia="Calibri"/>
        </w:rPr>
        <w:t>ToC</w:t>
      </w:r>
      <w:proofErr w:type="spellEnd"/>
      <w:r w:rsidRPr="006304D2">
        <w:rPr>
          <w:rFonts w:eastAsia="Calibri"/>
        </w:rPr>
        <w:t xml:space="preserve"> if required); specific evaluation questions; methods; sampling, data collection, and analysis plan; draft interviews and/or survey instruments; measures to ensure ethical conduct and confidentiality; and timeline of activities.  The inception report should include an evaluation matrix.  Comments from OIE will be provided within two weeks of submission. </w:t>
      </w:r>
    </w:p>
    <w:p w14:paraId="0A51A9C9" w14:textId="77777777" w:rsidR="00785623" w:rsidRPr="006304D2" w:rsidRDefault="00785623" w:rsidP="00785623">
      <w:pPr>
        <w:pStyle w:val="ListParagraph"/>
        <w:numPr>
          <w:ilvl w:val="0"/>
          <w:numId w:val="29"/>
        </w:numPr>
        <w:spacing w:line="360" w:lineRule="atLeast"/>
        <w:ind w:left="1077" w:hanging="357"/>
        <w:contextualSpacing/>
        <w:jc w:val="both"/>
        <w:rPr>
          <w:rFonts w:eastAsia="Calibri"/>
        </w:rPr>
      </w:pPr>
      <w:r w:rsidRPr="006304D2">
        <w:rPr>
          <w:rFonts w:eastAsia="Calibri"/>
          <w:i/>
        </w:rPr>
        <w:t>Deliverable 2 – Findings and Conclusions Report</w:t>
      </w:r>
      <w:r w:rsidRPr="006304D2">
        <w:rPr>
          <w:rFonts w:eastAsia="Calibri"/>
        </w:rPr>
        <w:t>: The findings and conclusions report will contain the initial compiled, organized, and analy</w:t>
      </w:r>
      <w:r>
        <w:rPr>
          <w:rFonts w:eastAsia="Calibri"/>
        </w:rPr>
        <w:t>s</w:t>
      </w:r>
      <w:r w:rsidRPr="006304D2">
        <w:rPr>
          <w:rFonts w:eastAsia="Calibri"/>
        </w:rPr>
        <w:t xml:space="preserve">ed evidence from the document review, portfolio analysis, interviews and surveys, and field visits.  Comments to be provided by OIE within two weeks of submission.   </w:t>
      </w:r>
    </w:p>
    <w:p w14:paraId="79EB2A01" w14:textId="77777777" w:rsidR="00785623" w:rsidRPr="006304D2" w:rsidRDefault="00785623" w:rsidP="00785623">
      <w:pPr>
        <w:pStyle w:val="ListParagraph"/>
        <w:numPr>
          <w:ilvl w:val="0"/>
          <w:numId w:val="29"/>
        </w:numPr>
        <w:spacing w:line="360" w:lineRule="atLeast"/>
        <w:ind w:left="1077" w:hanging="357"/>
        <w:contextualSpacing/>
        <w:jc w:val="both"/>
        <w:rPr>
          <w:rFonts w:eastAsia="Calibri"/>
        </w:rPr>
      </w:pPr>
      <w:r w:rsidRPr="006304D2">
        <w:rPr>
          <w:rFonts w:eastAsia="Calibri"/>
        </w:rPr>
        <w:t>Deliverable</w:t>
      </w:r>
      <w:r w:rsidRPr="006304D2">
        <w:rPr>
          <w:rFonts w:eastAsia="Calibri"/>
          <w:i/>
        </w:rPr>
        <w:t xml:space="preserve"> 3 - Draft Final Evaluation Report</w:t>
      </w:r>
      <w:r w:rsidRPr="006304D2">
        <w:rPr>
          <w:rFonts w:eastAsia="Calibri"/>
        </w:rPr>
        <w:t>: (maximum 40 pages minus annexes) to include validated findings and conclusions, and will present lessons and recommendations, and a strategy for dissemination. Comments from OIE to be provided within two weeks of submission.</w:t>
      </w:r>
    </w:p>
    <w:p w14:paraId="4DB76C16" w14:textId="77777777" w:rsidR="00785623" w:rsidRPr="006304D2" w:rsidRDefault="00785623" w:rsidP="00785623">
      <w:pPr>
        <w:pStyle w:val="ListParagraph"/>
        <w:numPr>
          <w:ilvl w:val="0"/>
          <w:numId w:val="29"/>
        </w:numPr>
        <w:spacing w:line="360" w:lineRule="atLeast"/>
        <w:ind w:left="1077" w:hanging="357"/>
        <w:contextualSpacing/>
        <w:jc w:val="both"/>
        <w:rPr>
          <w:rFonts w:eastAsia="Calibri"/>
        </w:rPr>
      </w:pPr>
      <w:r w:rsidRPr="006304D2">
        <w:rPr>
          <w:rFonts w:eastAsia="Calibri"/>
        </w:rPr>
        <w:t>Deliverable</w:t>
      </w:r>
      <w:r w:rsidRPr="006304D2">
        <w:rPr>
          <w:rFonts w:eastAsia="Calibri"/>
          <w:i/>
        </w:rPr>
        <w:t xml:space="preserve"> 4 - Final Evaluation Report</w:t>
      </w:r>
      <w:r w:rsidRPr="006304D2">
        <w:rPr>
          <w:rFonts w:eastAsia="Calibri"/>
        </w:rPr>
        <w:t xml:space="preserve">: The final evaluation report will include an executive summary (no longer than six pages) and an accompanying PowerPoint presentation summarising highlights of the evaluation. </w:t>
      </w:r>
    </w:p>
    <w:p w14:paraId="10BA6E6C" w14:textId="77777777" w:rsidR="00785623" w:rsidRPr="00EF7432" w:rsidRDefault="00785623" w:rsidP="00785623">
      <w:pPr>
        <w:pStyle w:val="ListParagraph"/>
        <w:autoSpaceDE w:val="0"/>
        <w:autoSpaceDN w:val="0"/>
        <w:adjustRightInd w:val="0"/>
        <w:ind w:left="1440" w:hanging="720"/>
        <w:jc w:val="both"/>
        <w:rPr>
          <w:rFonts w:eastAsia="Calibri"/>
          <w:b/>
        </w:rPr>
      </w:pPr>
    </w:p>
    <w:p w14:paraId="5B2AE453" w14:textId="77777777" w:rsidR="00785623" w:rsidRPr="00C50B1D" w:rsidRDefault="00785623" w:rsidP="00785623">
      <w:pPr>
        <w:pStyle w:val="ListParagraph"/>
        <w:numPr>
          <w:ilvl w:val="0"/>
          <w:numId w:val="12"/>
        </w:numPr>
        <w:autoSpaceDE w:val="0"/>
        <w:autoSpaceDN w:val="0"/>
        <w:adjustRightInd w:val="0"/>
        <w:ind w:left="0" w:firstLine="0"/>
        <w:contextualSpacing/>
        <w:jc w:val="both"/>
        <w:rPr>
          <w:rFonts w:eastAsia="Calibri"/>
          <w:b/>
        </w:rPr>
      </w:pPr>
      <w:r w:rsidRPr="00C50B1D">
        <w:rPr>
          <w:rFonts w:eastAsia="Calibri"/>
          <w:b/>
        </w:rPr>
        <w:t xml:space="preserve">ASSIGNMENT TIMEFRAME </w:t>
      </w:r>
    </w:p>
    <w:p w14:paraId="17861BBF" w14:textId="77777777" w:rsidR="00785623" w:rsidRPr="00C50B1D" w:rsidRDefault="00785623" w:rsidP="00785623">
      <w:pPr>
        <w:rPr>
          <w:rFonts w:eastAsia="Calibri"/>
          <w:b/>
        </w:rPr>
      </w:pPr>
    </w:p>
    <w:p w14:paraId="0EE32ED4" w14:textId="77777777" w:rsidR="00785623" w:rsidRDefault="00785623" w:rsidP="00785623">
      <w:pPr>
        <w:pStyle w:val="ListParagraph"/>
        <w:widowControl w:val="0"/>
        <w:numPr>
          <w:ilvl w:val="0"/>
          <w:numId w:val="17"/>
        </w:numPr>
        <w:autoSpaceDE w:val="0"/>
        <w:autoSpaceDN w:val="0"/>
        <w:adjustRightInd w:val="0"/>
        <w:spacing w:after="240" w:line="360" w:lineRule="atLeast"/>
        <w:contextualSpacing/>
        <w:jc w:val="both"/>
      </w:pPr>
      <w:r w:rsidRPr="00001294">
        <w:t xml:space="preserve">A multi-disciplinary evaluation team will require a level of effort of </w:t>
      </w:r>
      <w:r w:rsidRPr="00EF7432">
        <w:t>approximately</w:t>
      </w:r>
      <w:r>
        <w:t xml:space="preserve"> </w:t>
      </w:r>
      <w:r w:rsidRPr="00EF7432">
        <w:t>130 person-</w:t>
      </w:r>
      <w:r w:rsidRPr="00001294">
        <w:t xml:space="preserve">days.  </w:t>
      </w:r>
    </w:p>
    <w:p w14:paraId="3C883696" w14:textId="77777777" w:rsidR="00785623" w:rsidRPr="00AD3D14" w:rsidRDefault="00785623" w:rsidP="00785623">
      <w:pPr>
        <w:pStyle w:val="ListParagraph"/>
        <w:widowControl w:val="0"/>
        <w:numPr>
          <w:ilvl w:val="0"/>
          <w:numId w:val="17"/>
        </w:numPr>
        <w:autoSpaceDE w:val="0"/>
        <w:autoSpaceDN w:val="0"/>
        <w:adjustRightInd w:val="0"/>
        <w:spacing w:after="240" w:line="360" w:lineRule="atLeast"/>
        <w:contextualSpacing/>
        <w:jc w:val="both"/>
      </w:pPr>
      <w:r>
        <w:t xml:space="preserve">The evaluation is expected the review will commence in March 2021, and the submission of the final report in November 2021.  </w:t>
      </w:r>
    </w:p>
    <w:p w14:paraId="50A2DB7A" w14:textId="77777777" w:rsidR="00785623" w:rsidRPr="00AD3D14" w:rsidRDefault="00785623" w:rsidP="00785623">
      <w:pPr>
        <w:pStyle w:val="ListParagraph"/>
        <w:widowControl w:val="0"/>
        <w:numPr>
          <w:ilvl w:val="0"/>
          <w:numId w:val="17"/>
        </w:numPr>
        <w:autoSpaceDE w:val="0"/>
        <w:autoSpaceDN w:val="0"/>
        <w:adjustRightInd w:val="0"/>
        <w:spacing w:after="240" w:line="360" w:lineRule="atLeast"/>
        <w:contextualSpacing/>
        <w:jc w:val="both"/>
      </w:pPr>
      <w:r w:rsidRPr="00911705">
        <w:t>The proposed ti</w:t>
      </w:r>
      <w:r>
        <w:t>meline is summarised as follows:</w:t>
      </w:r>
    </w:p>
    <w:p w14:paraId="12CAC000" w14:textId="77777777" w:rsidR="00785623" w:rsidRDefault="00785623" w:rsidP="00785623">
      <w:pPr>
        <w:tabs>
          <w:tab w:val="left" w:pos="0"/>
        </w:tabs>
        <w:jc w:val="both"/>
      </w:pPr>
    </w:p>
    <w:p w14:paraId="073469F7" w14:textId="77777777" w:rsidR="00785623" w:rsidRPr="00C50B1D" w:rsidRDefault="00785623" w:rsidP="00785623">
      <w:pPr>
        <w:tabs>
          <w:tab w:val="left" w:pos="0"/>
        </w:tabs>
        <w:jc w:val="both"/>
      </w:pPr>
    </w:p>
    <w:p w14:paraId="00D1D16C" w14:textId="77777777" w:rsidR="00785623" w:rsidRDefault="00785623" w:rsidP="00785623">
      <w:pPr>
        <w:tabs>
          <w:tab w:val="left" w:pos="0"/>
        </w:tabs>
        <w:jc w:val="both"/>
        <w:rPr>
          <w:b/>
        </w:rPr>
      </w:pPr>
      <w:r w:rsidRPr="00C50B1D">
        <w:rPr>
          <w:b/>
        </w:rPr>
        <w:t xml:space="preserve">Project Timeline </w:t>
      </w:r>
    </w:p>
    <w:p w14:paraId="0C5BC18D" w14:textId="77777777" w:rsidR="00785623" w:rsidRDefault="00785623" w:rsidP="00785623">
      <w:pPr>
        <w:tabs>
          <w:tab w:val="left" w:pos="0"/>
        </w:tabs>
        <w:jc w:val="both"/>
        <w:rPr>
          <w:b/>
        </w:rPr>
      </w:pPr>
    </w:p>
    <w:tbl>
      <w:tblPr>
        <w:tblStyle w:val="TableGrid"/>
        <w:tblW w:w="0" w:type="auto"/>
        <w:jc w:val="center"/>
        <w:tblLook w:val="04A0" w:firstRow="1" w:lastRow="0" w:firstColumn="1" w:lastColumn="0" w:noHBand="0" w:noVBand="1"/>
      </w:tblPr>
      <w:tblGrid>
        <w:gridCol w:w="4045"/>
        <w:gridCol w:w="2340"/>
      </w:tblGrid>
      <w:tr w:rsidR="00785623" w14:paraId="1BA27FF2" w14:textId="77777777" w:rsidTr="00FD5FBA">
        <w:trPr>
          <w:jc w:val="center"/>
        </w:trPr>
        <w:tc>
          <w:tcPr>
            <w:tcW w:w="4045" w:type="dxa"/>
            <w:shd w:val="clear" w:color="auto" w:fill="AEAAAA" w:themeFill="background2" w:themeFillShade="BF"/>
          </w:tcPr>
          <w:p w14:paraId="371D033C" w14:textId="77777777" w:rsidR="00785623" w:rsidRPr="00C50B1D" w:rsidRDefault="00785623" w:rsidP="00FD5FBA">
            <w:pPr>
              <w:pStyle w:val="ListParagraph"/>
              <w:tabs>
                <w:tab w:val="left" w:pos="0"/>
              </w:tabs>
              <w:ind w:left="0"/>
              <w:jc w:val="both"/>
              <w:rPr>
                <w:b/>
              </w:rPr>
            </w:pPr>
            <w:r w:rsidRPr="00C50B1D">
              <w:rPr>
                <w:b/>
              </w:rPr>
              <w:t>ACTIVITY</w:t>
            </w:r>
          </w:p>
        </w:tc>
        <w:tc>
          <w:tcPr>
            <w:tcW w:w="2340" w:type="dxa"/>
            <w:shd w:val="clear" w:color="auto" w:fill="AEAAAA" w:themeFill="background2" w:themeFillShade="BF"/>
          </w:tcPr>
          <w:p w14:paraId="6F11DEF0" w14:textId="77777777" w:rsidR="00785623" w:rsidRPr="00C50B1D" w:rsidRDefault="00785623" w:rsidP="00FD5FBA">
            <w:pPr>
              <w:pStyle w:val="ListParagraph"/>
              <w:tabs>
                <w:tab w:val="left" w:pos="0"/>
              </w:tabs>
              <w:ind w:left="0"/>
              <w:jc w:val="both"/>
              <w:rPr>
                <w:b/>
              </w:rPr>
            </w:pPr>
            <w:r w:rsidRPr="00C50B1D">
              <w:rPr>
                <w:b/>
              </w:rPr>
              <w:t>DATES</w:t>
            </w:r>
          </w:p>
        </w:tc>
      </w:tr>
      <w:tr w:rsidR="00785623" w14:paraId="212222A6" w14:textId="77777777" w:rsidTr="00FD5FBA">
        <w:trPr>
          <w:jc w:val="center"/>
        </w:trPr>
        <w:tc>
          <w:tcPr>
            <w:tcW w:w="4045" w:type="dxa"/>
          </w:tcPr>
          <w:p w14:paraId="441329FA" w14:textId="77777777" w:rsidR="00785623" w:rsidRPr="00C50B1D" w:rsidRDefault="00785623" w:rsidP="00FD5FBA">
            <w:pPr>
              <w:pStyle w:val="ListParagraph"/>
              <w:tabs>
                <w:tab w:val="left" w:pos="0"/>
              </w:tabs>
              <w:ind w:left="0"/>
              <w:jc w:val="both"/>
            </w:pPr>
            <w:r w:rsidRPr="00C50B1D">
              <w:t>Approach Paper</w:t>
            </w:r>
          </w:p>
        </w:tc>
        <w:tc>
          <w:tcPr>
            <w:tcW w:w="2340" w:type="dxa"/>
          </w:tcPr>
          <w:p w14:paraId="2E3E251A" w14:textId="77777777" w:rsidR="00785623" w:rsidRPr="00C50B1D" w:rsidRDefault="00785623" w:rsidP="00FD5FBA">
            <w:pPr>
              <w:pStyle w:val="ListParagraph"/>
              <w:tabs>
                <w:tab w:val="left" w:pos="0"/>
              </w:tabs>
              <w:ind w:left="0"/>
              <w:jc w:val="both"/>
            </w:pPr>
            <w:r>
              <w:t>February 2021</w:t>
            </w:r>
          </w:p>
        </w:tc>
      </w:tr>
      <w:tr w:rsidR="00785623" w14:paraId="117B3020" w14:textId="77777777" w:rsidTr="00FD5FBA">
        <w:trPr>
          <w:jc w:val="center"/>
        </w:trPr>
        <w:tc>
          <w:tcPr>
            <w:tcW w:w="4045" w:type="dxa"/>
          </w:tcPr>
          <w:p w14:paraId="359809BB" w14:textId="77777777" w:rsidR="00785623" w:rsidRPr="00C50B1D" w:rsidRDefault="00785623" w:rsidP="00FD5FBA">
            <w:pPr>
              <w:pStyle w:val="ListParagraph"/>
              <w:tabs>
                <w:tab w:val="left" w:pos="0"/>
              </w:tabs>
              <w:ind w:left="0"/>
              <w:jc w:val="both"/>
            </w:pPr>
            <w:r w:rsidRPr="00C50B1D">
              <w:t xml:space="preserve">Proposal Call </w:t>
            </w:r>
            <w:r w:rsidRPr="00C50B1D">
              <w:tab/>
            </w:r>
          </w:p>
        </w:tc>
        <w:tc>
          <w:tcPr>
            <w:tcW w:w="2340" w:type="dxa"/>
          </w:tcPr>
          <w:p w14:paraId="24BA1317" w14:textId="77777777" w:rsidR="00785623" w:rsidRPr="004C005D" w:rsidRDefault="00785623" w:rsidP="00FD5FBA">
            <w:pPr>
              <w:tabs>
                <w:tab w:val="left" w:pos="0"/>
              </w:tabs>
              <w:jc w:val="both"/>
            </w:pPr>
            <w:r w:rsidRPr="004C005D">
              <w:t>March 2021</w:t>
            </w:r>
          </w:p>
        </w:tc>
      </w:tr>
      <w:tr w:rsidR="00785623" w14:paraId="70917343" w14:textId="77777777" w:rsidTr="00FD5FBA">
        <w:trPr>
          <w:jc w:val="center"/>
        </w:trPr>
        <w:tc>
          <w:tcPr>
            <w:tcW w:w="4045" w:type="dxa"/>
          </w:tcPr>
          <w:p w14:paraId="3DF1FC24" w14:textId="77777777" w:rsidR="00785623" w:rsidRPr="00C50B1D" w:rsidRDefault="00785623" w:rsidP="00FD5FBA">
            <w:pPr>
              <w:pStyle w:val="ListParagraph"/>
              <w:tabs>
                <w:tab w:val="left" w:pos="0"/>
              </w:tabs>
              <w:ind w:left="0"/>
              <w:jc w:val="both"/>
            </w:pPr>
            <w:r w:rsidRPr="00C50B1D">
              <w:t xml:space="preserve">Contract </w:t>
            </w:r>
          </w:p>
        </w:tc>
        <w:tc>
          <w:tcPr>
            <w:tcW w:w="2340" w:type="dxa"/>
          </w:tcPr>
          <w:p w14:paraId="0762B39E" w14:textId="77777777" w:rsidR="00785623" w:rsidRPr="00C50B1D" w:rsidRDefault="00785623" w:rsidP="00FD5FBA">
            <w:pPr>
              <w:pStyle w:val="ListParagraph"/>
              <w:tabs>
                <w:tab w:val="left" w:pos="0"/>
              </w:tabs>
              <w:ind w:left="0"/>
              <w:jc w:val="both"/>
            </w:pPr>
            <w:r>
              <w:t xml:space="preserve">April </w:t>
            </w:r>
            <w:r w:rsidRPr="00C50B1D">
              <w:t>20</w:t>
            </w:r>
            <w:r>
              <w:t>21</w:t>
            </w:r>
          </w:p>
        </w:tc>
      </w:tr>
      <w:tr w:rsidR="00785623" w14:paraId="3520A18A" w14:textId="77777777" w:rsidTr="00FD5FBA">
        <w:trPr>
          <w:jc w:val="center"/>
        </w:trPr>
        <w:tc>
          <w:tcPr>
            <w:tcW w:w="4045" w:type="dxa"/>
          </w:tcPr>
          <w:p w14:paraId="16FFBA64" w14:textId="77777777" w:rsidR="00785623" w:rsidRPr="00C50B1D" w:rsidRDefault="00785623" w:rsidP="00FD5FBA">
            <w:pPr>
              <w:pStyle w:val="ListParagraph"/>
              <w:tabs>
                <w:tab w:val="left" w:pos="0"/>
              </w:tabs>
              <w:ind w:left="0"/>
              <w:jc w:val="both"/>
            </w:pPr>
            <w:r w:rsidRPr="00C50B1D">
              <w:t>Document Review and Inception</w:t>
            </w:r>
          </w:p>
        </w:tc>
        <w:tc>
          <w:tcPr>
            <w:tcW w:w="2340" w:type="dxa"/>
          </w:tcPr>
          <w:p w14:paraId="6B9E5B47" w14:textId="77777777" w:rsidR="00785623" w:rsidRPr="00C50B1D" w:rsidRDefault="00785623" w:rsidP="00FD5FBA">
            <w:pPr>
              <w:pStyle w:val="ListParagraph"/>
              <w:tabs>
                <w:tab w:val="left" w:pos="0"/>
              </w:tabs>
              <w:ind w:left="0"/>
              <w:jc w:val="both"/>
            </w:pPr>
            <w:r>
              <w:t xml:space="preserve">May </w:t>
            </w:r>
            <w:r w:rsidRPr="00C50B1D">
              <w:t>20</w:t>
            </w:r>
            <w:r>
              <w:t>21</w:t>
            </w:r>
          </w:p>
        </w:tc>
      </w:tr>
      <w:tr w:rsidR="00785623" w14:paraId="43ECC71E" w14:textId="77777777" w:rsidTr="00FD5FBA">
        <w:trPr>
          <w:jc w:val="center"/>
        </w:trPr>
        <w:tc>
          <w:tcPr>
            <w:tcW w:w="4045" w:type="dxa"/>
          </w:tcPr>
          <w:p w14:paraId="3FE1F097" w14:textId="77777777" w:rsidR="00785623" w:rsidRPr="00C50B1D" w:rsidRDefault="00785623" w:rsidP="00FD5FBA">
            <w:pPr>
              <w:pStyle w:val="ListParagraph"/>
              <w:tabs>
                <w:tab w:val="left" w:pos="0"/>
              </w:tabs>
              <w:ind w:left="0"/>
              <w:jc w:val="both"/>
            </w:pPr>
            <w:r>
              <w:t>Data Collection</w:t>
            </w:r>
          </w:p>
        </w:tc>
        <w:tc>
          <w:tcPr>
            <w:tcW w:w="2340" w:type="dxa"/>
          </w:tcPr>
          <w:p w14:paraId="59D7B94E" w14:textId="77777777" w:rsidR="00785623" w:rsidRPr="00C50B1D" w:rsidRDefault="00785623" w:rsidP="00FD5FBA">
            <w:pPr>
              <w:pStyle w:val="ListParagraph"/>
              <w:tabs>
                <w:tab w:val="left" w:pos="0"/>
              </w:tabs>
              <w:ind w:left="0"/>
              <w:jc w:val="both"/>
            </w:pPr>
            <w:r>
              <w:t>June – Sept. 2021</w:t>
            </w:r>
          </w:p>
        </w:tc>
      </w:tr>
      <w:tr w:rsidR="00785623" w14:paraId="2AD8550D" w14:textId="77777777" w:rsidTr="00FD5FBA">
        <w:trPr>
          <w:jc w:val="center"/>
        </w:trPr>
        <w:tc>
          <w:tcPr>
            <w:tcW w:w="4045" w:type="dxa"/>
          </w:tcPr>
          <w:p w14:paraId="6D9FA54F" w14:textId="77777777" w:rsidR="00785623" w:rsidRPr="00C50B1D" w:rsidRDefault="00785623" w:rsidP="00FD5FBA">
            <w:pPr>
              <w:pStyle w:val="ListParagraph"/>
              <w:tabs>
                <w:tab w:val="left" w:pos="0"/>
              </w:tabs>
              <w:ind w:left="0"/>
              <w:jc w:val="both"/>
            </w:pPr>
            <w:r w:rsidRPr="00C50B1D">
              <w:t>Draft Findings and Validation</w:t>
            </w:r>
          </w:p>
        </w:tc>
        <w:tc>
          <w:tcPr>
            <w:tcW w:w="2340" w:type="dxa"/>
          </w:tcPr>
          <w:p w14:paraId="2095B89E" w14:textId="77777777" w:rsidR="00785623" w:rsidRPr="004C005D" w:rsidRDefault="00785623" w:rsidP="00FD5FBA">
            <w:pPr>
              <w:tabs>
                <w:tab w:val="left" w:pos="0"/>
              </w:tabs>
              <w:jc w:val="both"/>
            </w:pPr>
            <w:r>
              <w:t>Sept.</w:t>
            </w:r>
            <w:r w:rsidRPr="004C005D">
              <w:t xml:space="preserve"> 2021</w:t>
            </w:r>
          </w:p>
        </w:tc>
      </w:tr>
      <w:tr w:rsidR="00785623" w14:paraId="518B2437" w14:textId="77777777" w:rsidTr="00FD5FBA">
        <w:trPr>
          <w:trHeight w:val="283"/>
          <w:jc w:val="center"/>
        </w:trPr>
        <w:tc>
          <w:tcPr>
            <w:tcW w:w="4045" w:type="dxa"/>
          </w:tcPr>
          <w:p w14:paraId="48438A6C" w14:textId="77777777" w:rsidR="00785623" w:rsidRPr="00C50B1D" w:rsidRDefault="00785623" w:rsidP="00FD5FBA">
            <w:pPr>
              <w:pStyle w:val="ListParagraph"/>
              <w:tabs>
                <w:tab w:val="left" w:pos="0"/>
              </w:tabs>
              <w:ind w:left="0"/>
              <w:jc w:val="both"/>
            </w:pPr>
            <w:r w:rsidRPr="00C50B1D">
              <w:t>Final Report</w:t>
            </w:r>
          </w:p>
        </w:tc>
        <w:tc>
          <w:tcPr>
            <w:tcW w:w="2340" w:type="dxa"/>
          </w:tcPr>
          <w:p w14:paraId="62221BA3" w14:textId="77777777" w:rsidR="00785623" w:rsidRPr="004C005D" w:rsidRDefault="00785623" w:rsidP="00FD5FBA">
            <w:pPr>
              <w:tabs>
                <w:tab w:val="left" w:pos="0"/>
              </w:tabs>
              <w:jc w:val="both"/>
            </w:pPr>
            <w:r>
              <w:t>Nov.</w:t>
            </w:r>
            <w:r w:rsidRPr="004C005D">
              <w:t xml:space="preserve"> 2021</w:t>
            </w:r>
          </w:p>
        </w:tc>
      </w:tr>
    </w:tbl>
    <w:p w14:paraId="61F93050" w14:textId="77777777" w:rsidR="00785623" w:rsidRPr="00C50B1D" w:rsidRDefault="00785623" w:rsidP="00785623">
      <w:pPr>
        <w:jc w:val="both"/>
        <w:rPr>
          <w:b/>
          <w:u w:val="single"/>
        </w:rPr>
      </w:pPr>
    </w:p>
    <w:p w14:paraId="2FBF6134" w14:textId="77777777" w:rsidR="00785623" w:rsidRPr="00C50B1D" w:rsidRDefault="00785623" w:rsidP="00785623">
      <w:pPr>
        <w:pStyle w:val="ListParagraph"/>
        <w:numPr>
          <w:ilvl w:val="0"/>
          <w:numId w:val="12"/>
        </w:numPr>
        <w:autoSpaceDE w:val="0"/>
        <w:autoSpaceDN w:val="0"/>
        <w:adjustRightInd w:val="0"/>
        <w:ind w:left="0" w:firstLine="0"/>
        <w:contextualSpacing/>
        <w:jc w:val="both"/>
        <w:rPr>
          <w:rFonts w:eastAsia="Calibri"/>
          <w:b/>
        </w:rPr>
      </w:pPr>
      <w:r w:rsidRPr="00C50B1D">
        <w:rPr>
          <w:rFonts w:eastAsia="Calibri"/>
          <w:b/>
        </w:rPr>
        <w:t>EVALUATION TEAM QUALIFICATIONS</w:t>
      </w:r>
    </w:p>
    <w:p w14:paraId="5C00D032" w14:textId="77777777" w:rsidR="00785623" w:rsidRPr="00C50B1D" w:rsidRDefault="00785623" w:rsidP="00785623">
      <w:pPr>
        <w:autoSpaceDE w:val="0"/>
        <w:autoSpaceDN w:val="0"/>
        <w:adjustRightInd w:val="0"/>
        <w:jc w:val="both"/>
        <w:rPr>
          <w:rFonts w:eastAsia="Calibri"/>
        </w:rPr>
      </w:pPr>
    </w:p>
    <w:p w14:paraId="263FF2DF" w14:textId="77777777" w:rsidR="00785623" w:rsidRPr="00D60326" w:rsidRDefault="00785623" w:rsidP="00785623">
      <w:pPr>
        <w:pStyle w:val="ListParagraph"/>
        <w:widowControl w:val="0"/>
        <w:numPr>
          <w:ilvl w:val="0"/>
          <w:numId w:val="18"/>
        </w:numPr>
        <w:autoSpaceDE w:val="0"/>
        <w:autoSpaceDN w:val="0"/>
        <w:adjustRightInd w:val="0"/>
        <w:spacing w:after="240" w:line="360" w:lineRule="atLeast"/>
        <w:contextualSpacing/>
        <w:jc w:val="both"/>
      </w:pPr>
      <w:r w:rsidRPr="00D60326">
        <w:t xml:space="preserve">The process review team or individual should command the following expertise: </w:t>
      </w:r>
    </w:p>
    <w:p w14:paraId="7E550D48" w14:textId="77777777" w:rsidR="00785623" w:rsidRPr="00C50B1D" w:rsidRDefault="00785623" w:rsidP="00785623">
      <w:pPr>
        <w:pStyle w:val="ListParagraph"/>
        <w:ind w:left="0"/>
        <w:jc w:val="both"/>
        <w:rPr>
          <w:b/>
          <w:u w:val="single"/>
        </w:rPr>
      </w:pPr>
    </w:p>
    <w:p w14:paraId="1FEB6CCF" w14:textId="77777777" w:rsidR="00785623" w:rsidRPr="000E67B7" w:rsidRDefault="00785623" w:rsidP="00785623">
      <w:pPr>
        <w:pStyle w:val="ListParagraph"/>
        <w:widowControl w:val="0"/>
        <w:numPr>
          <w:ilvl w:val="0"/>
          <w:numId w:val="19"/>
        </w:numPr>
        <w:autoSpaceDE w:val="0"/>
        <w:autoSpaceDN w:val="0"/>
        <w:adjustRightInd w:val="0"/>
        <w:spacing w:after="240" w:line="360" w:lineRule="atLeast"/>
        <w:contextualSpacing/>
        <w:jc w:val="both"/>
      </w:pPr>
      <w:r>
        <w:t>Experience in the design and conduct of evaluations, particularly of policies and strategies</w:t>
      </w:r>
    </w:p>
    <w:p w14:paraId="25B9F92C" w14:textId="77777777" w:rsidR="00785623" w:rsidRDefault="00785623" w:rsidP="00785623">
      <w:pPr>
        <w:pStyle w:val="ListParagraph"/>
        <w:widowControl w:val="0"/>
        <w:numPr>
          <w:ilvl w:val="0"/>
          <w:numId w:val="19"/>
        </w:numPr>
        <w:autoSpaceDE w:val="0"/>
        <w:autoSpaceDN w:val="0"/>
        <w:adjustRightInd w:val="0"/>
        <w:spacing w:after="240" w:line="360" w:lineRule="atLeast"/>
        <w:contextualSpacing/>
        <w:jc w:val="both"/>
      </w:pPr>
      <w:r>
        <w:t>Experience in the energy sector</w:t>
      </w:r>
    </w:p>
    <w:p w14:paraId="6A98DAC2" w14:textId="77777777" w:rsidR="00785623" w:rsidRPr="00AD3D14" w:rsidRDefault="00785623" w:rsidP="00785623">
      <w:pPr>
        <w:pStyle w:val="ListParagraph"/>
        <w:widowControl w:val="0"/>
        <w:numPr>
          <w:ilvl w:val="0"/>
          <w:numId w:val="19"/>
        </w:numPr>
        <w:autoSpaceDE w:val="0"/>
        <w:autoSpaceDN w:val="0"/>
        <w:adjustRightInd w:val="0"/>
        <w:spacing w:after="240" w:line="360" w:lineRule="atLeast"/>
        <w:contextualSpacing/>
        <w:jc w:val="both"/>
      </w:pPr>
      <w:r w:rsidRPr="00AD3D14">
        <w:t xml:space="preserve">Experience working with multilateral banks and government clients. </w:t>
      </w:r>
    </w:p>
    <w:p w14:paraId="050D3326" w14:textId="77777777" w:rsidR="00785623" w:rsidRPr="000E67B7" w:rsidRDefault="00785623" w:rsidP="00785623">
      <w:pPr>
        <w:pStyle w:val="ListParagraph"/>
        <w:widowControl w:val="0"/>
        <w:numPr>
          <w:ilvl w:val="0"/>
          <w:numId w:val="19"/>
        </w:numPr>
        <w:autoSpaceDE w:val="0"/>
        <w:autoSpaceDN w:val="0"/>
        <w:adjustRightInd w:val="0"/>
        <w:spacing w:after="240" w:line="360" w:lineRule="atLeast"/>
        <w:contextualSpacing/>
        <w:jc w:val="both"/>
      </w:pPr>
      <w:r>
        <w:t xml:space="preserve">Knowledge of development issues in the Caribbean </w:t>
      </w:r>
    </w:p>
    <w:p w14:paraId="666FF725" w14:textId="77777777" w:rsidR="00785623" w:rsidRPr="000E67B7" w:rsidRDefault="00785623" w:rsidP="00785623">
      <w:pPr>
        <w:pStyle w:val="ListParagraph"/>
        <w:widowControl w:val="0"/>
        <w:numPr>
          <w:ilvl w:val="0"/>
          <w:numId w:val="19"/>
        </w:numPr>
        <w:autoSpaceDE w:val="0"/>
        <w:autoSpaceDN w:val="0"/>
        <w:adjustRightInd w:val="0"/>
        <w:spacing w:after="240" w:line="360" w:lineRule="atLeast"/>
        <w:contextualSpacing/>
        <w:jc w:val="both"/>
      </w:pPr>
      <w:r>
        <w:t>Strong inter-cultural communication skills in English</w:t>
      </w:r>
    </w:p>
    <w:p w14:paraId="70692513" w14:textId="77777777" w:rsidR="00785623" w:rsidRDefault="00785623" w:rsidP="00785623">
      <w:pPr>
        <w:pStyle w:val="ListParagraph"/>
        <w:widowControl w:val="0"/>
        <w:numPr>
          <w:ilvl w:val="0"/>
          <w:numId w:val="19"/>
        </w:numPr>
        <w:autoSpaceDE w:val="0"/>
        <w:autoSpaceDN w:val="0"/>
        <w:adjustRightInd w:val="0"/>
        <w:spacing w:after="240" w:line="360" w:lineRule="atLeast"/>
        <w:contextualSpacing/>
        <w:jc w:val="both"/>
      </w:pPr>
      <w:r>
        <w:t>Ability to integrate qualitative and quantitative data</w:t>
      </w:r>
    </w:p>
    <w:p w14:paraId="0CC0338E" w14:textId="77777777" w:rsidR="00785623" w:rsidRDefault="00785623" w:rsidP="00785623">
      <w:pPr>
        <w:pStyle w:val="ListParagraph"/>
        <w:widowControl w:val="0"/>
        <w:numPr>
          <w:ilvl w:val="0"/>
          <w:numId w:val="19"/>
        </w:numPr>
        <w:autoSpaceDE w:val="0"/>
        <w:autoSpaceDN w:val="0"/>
        <w:adjustRightInd w:val="0"/>
        <w:spacing w:after="240" w:line="360" w:lineRule="atLeast"/>
        <w:contextualSpacing/>
        <w:jc w:val="both"/>
      </w:pPr>
      <w:r>
        <w:t>Strong report writing and presentation skills ability and experience in communicating concepts using non-technical language to diverse audiences</w:t>
      </w:r>
    </w:p>
    <w:p w14:paraId="4486868F" w14:textId="77777777" w:rsidR="00785623" w:rsidRDefault="00785623" w:rsidP="00785623">
      <w:pPr>
        <w:pStyle w:val="ListParagraph"/>
        <w:widowControl w:val="0"/>
        <w:numPr>
          <w:ilvl w:val="0"/>
          <w:numId w:val="19"/>
        </w:numPr>
        <w:autoSpaceDE w:val="0"/>
        <w:autoSpaceDN w:val="0"/>
        <w:adjustRightInd w:val="0"/>
        <w:spacing w:after="240" w:line="360" w:lineRule="atLeast"/>
        <w:contextualSpacing/>
        <w:jc w:val="both"/>
      </w:pPr>
      <w:r w:rsidRPr="00AD3D14">
        <w:t>Ability to work in an iterative, collaborative, team approach; and give and receive constructive feedback.</w:t>
      </w:r>
    </w:p>
    <w:p w14:paraId="77E4E9B9" w14:textId="77777777" w:rsidR="00785623" w:rsidRPr="005946D5" w:rsidRDefault="00785623" w:rsidP="00785623">
      <w:pPr>
        <w:pStyle w:val="ListParagraph"/>
        <w:widowControl w:val="0"/>
        <w:autoSpaceDE w:val="0"/>
        <w:autoSpaceDN w:val="0"/>
        <w:adjustRightInd w:val="0"/>
        <w:spacing w:after="240" w:line="360" w:lineRule="atLeast"/>
        <w:jc w:val="both"/>
      </w:pPr>
    </w:p>
    <w:p w14:paraId="23E74CE1" w14:textId="77777777" w:rsidR="00785623" w:rsidRPr="00C50B1D" w:rsidRDefault="00785623" w:rsidP="00785623">
      <w:pPr>
        <w:pStyle w:val="ListParagraph"/>
        <w:numPr>
          <w:ilvl w:val="0"/>
          <w:numId w:val="12"/>
        </w:numPr>
        <w:autoSpaceDE w:val="0"/>
        <w:autoSpaceDN w:val="0"/>
        <w:adjustRightInd w:val="0"/>
        <w:ind w:left="0" w:firstLine="0"/>
        <w:contextualSpacing/>
        <w:jc w:val="both"/>
        <w:rPr>
          <w:rFonts w:eastAsia="Calibri"/>
          <w:b/>
        </w:rPr>
      </w:pPr>
      <w:r w:rsidRPr="00C50B1D">
        <w:rPr>
          <w:rFonts w:eastAsia="Calibri"/>
          <w:b/>
        </w:rPr>
        <w:t>MANAGEMENT OF THE EVALUATION</w:t>
      </w:r>
    </w:p>
    <w:p w14:paraId="7B7D1226" w14:textId="77777777" w:rsidR="00785623" w:rsidRPr="00C50B1D" w:rsidRDefault="00785623" w:rsidP="00785623">
      <w:pPr>
        <w:autoSpaceDE w:val="0"/>
        <w:autoSpaceDN w:val="0"/>
        <w:adjustRightInd w:val="0"/>
        <w:jc w:val="both"/>
        <w:rPr>
          <w:rFonts w:eastAsia="Calibri"/>
        </w:rPr>
      </w:pPr>
    </w:p>
    <w:p w14:paraId="082E47C6" w14:textId="77777777" w:rsidR="00785623" w:rsidRDefault="00785623" w:rsidP="00785623">
      <w:pPr>
        <w:pStyle w:val="ListParagraph"/>
        <w:widowControl w:val="0"/>
        <w:numPr>
          <w:ilvl w:val="0"/>
          <w:numId w:val="20"/>
        </w:numPr>
        <w:autoSpaceDE w:val="0"/>
        <w:autoSpaceDN w:val="0"/>
        <w:adjustRightInd w:val="0"/>
        <w:spacing w:after="240" w:line="360" w:lineRule="atLeast"/>
        <w:contextualSpacing/>
        <w:jc w:val="both"/>
      </w:pPr>
      <w:r w:rsidRPr="00AD3D14">
        <w:t xml:space="preserve">The consultants will report to CDB's Office of Independent Evaluation (OIE), providing overall direction, guidance, and deliverables approval.  The OIE will convene an Advisory </w:t>
      </w:r>
      <w:r w:rsidRPr="00AD3D14">
        <w:lastRenderedPageBreak/>
        <w:t>Group of principal stakeholders from the Operations area of the Bank for this evaluation.  The Group will provide feedback on the scope of work, evaluation design and work plan, findings, and draft reports.</w:t>
      </w:r>
    </w:p>
    <w:p w14:paraId="72843617" w14:textId="77777777" w:rsidR="00785623" w:rsidRPr="00266B50" w:rsidRDefault="00785623" w:rsidP="00785623">
      <w:pPr>
        <w:pStyle w:val="NoSpacing"/>
        <w:ind w:left="1530" w:hanging="810"/>
        <w:jc w:val="both"/>
        <w:rPr>
          <w:rFonts w:ascii="Times New Roman" w:hAnsi="Times New Roman"/>
          <w:sz w:val="22"/>
          <w:szCs w:val="22"/>
          <w:lang w:val="en-GB"/>
        </w:rPr>
        <w:sectPr w:rsidR="00785623" w:rsidRPr="00266B50" w:rsidSect="009F72F2">
          <w:headerReference w:type="default" r:id="rId7"/>
          <w:headerReference w:type="first" r:id="rId8"/>
          <w:footnotePr>
            <w:numRestart w:val="eachSect"/>
          </w:footnotePr>
          <w:pgSz w:w="12240" w:h="15840"/>
          <w:pgMar w:top="1440" w:right="1440" w:bottom="1440" w:left="1440" w:header="720" w:footer="720" w:gutter="0"/>
          <w:pgNumType w:start="1"/>
          <w:cols w:space="720"/>
          <w:titlePg/>
          <w:docGrid w:linePitch="360"/>
        </w:sectPr>
      </w:pPr>
    </w:p>
    <w:p w14:paraId="654137AD" w14:textId="73055385" w:rsidR="00785623" w:rsidRDefault="00785623" w:rsidP="00785623">
      <w:pPr>
        <w:pStyle w:val="NoSpacing"/>
        <w:tabs>
          <w:tab w:val="left" w:pos="360"/>
        </w:tabs>
        <w:jc w:val="both"/>
        <w:rPr>
          <w:bCs/>
          <w:sz w:val="22"/>
          <w:szCs w:val="22"/>
          <w:u w:val="single"/>
        </w:rPr>
        <w:sectPr w:rsidR="00785623" w:rsidSect="00785623">
          <w:headerReference w:type="first" r:id="rId9"/>
          <w:footerReference w:type="first" r:id="rId10"/>
          <w:pgSz w:w="15840" w:h="12240" w:orient="landscape"/>
          <w:pgMar w:top="1440" w:right="1440" w:bottom="1440" w:left="1440" w:header="720" w:footer="720" w:gutter="0"/>
          <w:pgNumType w:start="1"/>
          <w:cols w:space="720"/>
          <w:titlePg/>
          <w:docGrid w:linePitch="360"/>
        </w:sectPr>
      </w:pPr>
      <w:r w:rsidRPr="002F27AC">
        <w:rPr>
          <w:rFonts w:ascii="Times New Roman" w:eastAsia="Calibri" w:hAnsi="Times New Roman"/>
          <w:b/>
          <w:noProof/>
          <w:lang w:val="en-GB" w:eastAsia="en-GB"/>
        </w:rPr>
        <w:lastRenderedPageBreak/>
        <w:drawing>
          <wp:inline distT="0" distB="0" distL="0" distR="0" wp14:anchorId="670C51D3" wp14:editId="5EAC08DB">
            <wp:extent cx="8390467" cy="5257800"/>
            <wp:effectExtent l="0" t="0" r="0" b="0"/>
            <wp:docPr id="52" name="Picture 52" descr="A picture containing text, newspaper, screensho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picture containing text, newspaper, screenshot, document&#10;&#10;Description automatically generated"/>
                    <pic:cNvPicPr/>
                  </pic:nvPicPr>
                  <pic:blipFill>
                    <a:blip r:embed="rId11">
                      <a:extLst>
                        <a:ext uri="{28A0092B-C50C-407E-A947-70E740481C1C}">
                          <a14:useLocalDpi xmlns:a14="http://schemas.microsoft.com/office/drawing/2010/main" val="0"/>
                        </a:ext>
                      </a:extLst>
                    </a:blip>
                    <a:srcRect l="599" t="1" r="202" b="885"/>
                    <a:stretch>
                      <a:fillRect/>
                    </a:stretch>
                  </pic:blipFill>
                  <pic:spPr bwMode="auto">
                    <a:xfrm>
                      <a:off x="0" y="0"/>
                      <a:ext cx="8404980" cy="5266895"/>
                    </a:xfrm>
                    <a:prstGeom prst="rect">
                      <a:avLst/>
                    </a:prstGeom>
                    <a:ln>
                      <a:noFill/>
                    </a:ln>
                    <a:extLst>
                      <a:ext uri="{53640926-AAD7-44D8-BBD7-CCE9431645EC}">
                        <a14:shadowObscured xmlns:a14="http://schemas.microsoft.com/office/drawing/2010/main"/>
                      </a:ext>
                    </a:extLst>
                  </pic:spPr>
                </pic:pic>
              </a:graphicData>
            </a:graphic>
          </wp:inline>
        </w:drawing>
      </w:r>
    </w:p>
    <w:p w14:paraId="6F8E4C04" w14:textId="77777777" w:rsidR="00785623" w:rsidRDefault="00785623" w:rsidP="00785623">
      <w:pPr>
        <w:tabs>
          <w:tab w:val="left" w:pos="7200"/>
        </w:tabs>
        <w:rPr>
          <w:b/>
          <w:sz w:val="22"/>
          <w:szCs w:val="22"/>
          <w:u w:val="single"/>
        </w:rPr>
      </w:pPr>
      <w:bookmarkStart w:id="0" w:name="OLE_LINK2"/>
      <w:bookmarkStart w:id="1" w:name="OLE_LINK3"/>
    </w:p>
    <w:p w14:paraId="0C6DE3E4" w14:textId="01889379" w:rsidR="00785623" w:rsidRDefault="00785623" w:rsidP="00785623">
      <w:pPr>
        <w:tabs>
          <w:tab w:val="left" w:pos="7200"/>
        </w:tabs>
        <w:jc w:val="center"/>
        <w:rPr>
          <w:b/>
          <w:bCs/>
          <w:sz w:val="22"/>
          <w:szCs w:val="22"/>
          <w:u w:val="single"/>
        </w:rPr>
      </w:pPr>
      <w:r>
        <w:rPr>
          <w:b/>
          <w:bCs/>
          <w:sz w:val="22"/>
          <w:szCs w:val="22"/>
          <w:u w:val="single"/>
        </w:rPr>
        <w:t>SMART FACILITIES AND PROGRAMMES</w:t>
      </w:r>
    </w:p>
    <w:p w14:paraId="6ECC6017" w14:textId="77777777" w:rsidR="00785623" w:rsidRPr="003A5276" w:rsidRDefault="00785623" w:rsidP="00785623">
      <w:pPr>
        <w:tabs>
          <w:tab w:val="left" w:pos="7200"/>
        </w:tabs>
        <w:jc w:val="center"/>
      </w:pPr>
    </w:p>
    <w:p w14:paraId="318F5063" w14:textId="77777777" w:rsidR="00785623" w:rsidRDefault="00785623" w:rsidP="00785623">
      <w:pPr>
        <w:jc w:val="both"/>
        <w:rPr>
          <w:b/>
        </w:rPr>
      </w:pPr>
      <w:r>
        <w:rPr>
          <w:b/>
        </w:rPr>
        <w:t>Overview</w:t>
      </w:r>
    </w:p>
    <w:p w14:paraId="620BAD85" w14:textId="77777777" w:rsidR="00785623" w:rsidRPr="007F4B52" w:rsidRDefault="00785623" w:rsidP="00785623">
      <w:pPr>
        <w:jc w:val="both"/>
        <w:rPr>
          <w:b/>
        </w:rPr>
      </w:pPr>
    </w:p>
    <w:p w14:paraId="750CB30F" w14:textId="77777777" w:rsidR="00785623" w:rsidRPr="00251A5C" w:rsidRDefault="00785623" w:rsidP="00785623">
      <w:pPr>
        <w:pStyle w:val="ListParagraph"/>
        <w:numPr>
          <w:ilvl w:val="0"/>
          <w:numId w:val="35"/>
        </w:numPr>
        <w:spacing w:after="160" w:line="259" w:lineRule="auto"/>
        <w:ind w:left="0" w:firstLine="0"/>
        <w:contextualSpacing/>
      </w:pPr>
      <w:r>
        <w:t>Over the period 2015-2020, CDB committed resources to the ESPS through loans (Figure 2) and grants (Figure 1).</w:t>
      </w:r>
      <w:r w:rsidRPr="006A58D7">
        <w:t xml:space="preserve"> </w:t>
      </w:r>
      <w:r>
        <w:t xml:space="preserve"> The total is estimated at USD</w:t>
      </w:r>
      <w:r w:rsidRPr="0061743D">
        <w:rPr>
          <w:rFonts w:ascii="Calibri" w:eastAsia="Times New Roman" w:hAnsi="Calibri"/>
          <w:color w:val="000000"/>
        </w:rPr>
        <w:t xml:space="preserve"> </w:t>
      </w:r>
      <w:r w:rsidRPr="0061743D">
        <w:t xml:space="preserve">323.071.548 </w:t>
      </w:r>
      <w:r>
        <w:t>(of which USD</w:t>
      </w:r>
      <w:r w:rsidRPr="0061743D">
        <w:rPr>
          <w:lang w:val="en-US"/>
        </w:rPr>
        <w:t xml:space="preserve">74.373.656 </w:t>
      </w:r>
      <w:r>
        <w:t>of counterpart contributions) (see Table 1).  The largest share was provided through loans (USD</w:t>
      </w:r>
      <w:r w:rsidRPr="00251A5C">
        <w:t>197.615.300</w:t>
      </w:r>
      <w:r>
        <w:t>), and the remaining part was allocated through grants (USD</w:t>
      </w:r>
      <w:r w:rsidRPr="00251A5C">
        <w:t>51.082.592</w:t>
      </w:r>
      <w:r>
        <w:t xml:space="preserve">). </w:t>
      </w:r>
      <w:r w:rsidRPr="00251A5C">
        <w:t xml:space="preserve"> </w:t>
      </w:r>
    </w:p>
    <w:p w14:paraId="033E4E4C" w14:textId="77777777" w:rsidR="00785623" w:rsidRPr="00490886" w:rsidRDefault="00785623" w:rsidP="00785623">
      <w:pPr>
        <w:pStyle w:val="ListParagraph"/>
        <w:numPr>
          <w:ilvl w:val="0"/>
          <w:numId w:val="35"/>
        </w:numPr>
        <w:spacing w:after="160" w:line="259" w:lineRule="auto"/>
        <w:ind w:left="0" w:firstLine="0"/>
        <w:contextualSpacing/>
      </w:pPr>
      <w:r>
        <w:t xml:space="preserve">The most significant proportion of resources was committed to Suriname (40.27%) and </w:t>
      </w:r>
      <w:r w:rsidRPr="009D5470">
        <w:t>St. Vincent and the Grenadines</w:t>
      </w:r>
      <w:r>
        <w:t xml:space="preserve"> (18.63%). ESPS resources also include some elements of regional programming.</w:t>
      </w:r>
    </w:p>
    <w:p w14:paraId="084E793A" w14:textId="77777777" w:rsidR="00785623" w:rsidRPr="00AA0EC5" w:rsidRDefault="00785623" w:rsidP="00785623">
      <w:pPr>
        <w:pStyle w:val="Caption"/>
        <w:rPr>
          <w:b/>
        </w:rPr>
      </w:pPr>
      <w:r>
        <w:t xml:space="preserve">Table </w:t>
      </w:r>
      <w:r>
        <w:fldChar w:fldCharType="begin"/>
      </w:r>
      <w:r>
        <w:instrText xml:space="preserve"> SEQ Table \* ARABIC </w:instrText>
      </w:r>
      <w:r>
        <w:fldChar w:fldCharType="separate"/>
      </w:r>
      <w:r>
        <w:rPr>
          <w:noProof/>
        </w:rPr>
        <w:t>2</w:t>
      </w:r>
      <w:r>
        <w:fldChar w:fldCharType="end"/>
      </w:r>
      <w:r>
        <w:t xml:space="preserve"> – Total Resources Committed to BMCs 2015-2020</w:t>
      </w:r>
    </w:p>
    <w:tbl>
      <w:tblPr>
        <w:tblStyle w:val="TableGrid"/>
        <w:tblpPr w:leftFromText="180" w:rightFromText="180" w:vertAnchor="text" w:tblpY="1"/>
        <w:tblOverlap w:val="never"/>
        <w:tblW w:w="0" w:type="auto"/>
        <w:tblLook w:val="04A0" w:firstRow="1" w:lastRow="0" w:firstColumn="1" w:lastColumn="0" w:noHBand="0" w:noVBand="1"/>
      </w:tblPr>
      <w:tblGrid>
        <w:gridCol w:w="2413"/>
        <w:gridCol w:w="1503"/>
        <w:gridCol w:w="1409"/>
        <w:gridCol w:w="1503"/>
        <w:gridCol w:w="2522"/>
      </w:tblGrid>
      <w:tr w:rsidR="00785623" w:rsidRPr="005B039D" w14:paraId="6C7EB5B3" w14:textId="77777777" w:rsidTr="00FD5FBA">
        <w:trPr>
          <w:trHeight w:val="657"/>
        </w:trPr>
        <w:tc>
          <w:tcPr>
            <w:tcW w:w="2413" w:type="dxa"/>
            <w:hideMark/>
          </w:tcPr>
          <w:p w14:paraId="458D61B7" w14:textId="77777777" w:rsidR="00785623" w:rsidRPr="005B039D" w:rsidRDefault="00785623" w:rsidP="00FD5FBA">
            <w:pPr>
              <w:rPr>
                <w:bCs/>
                <w:u w:val="single"/>
              </w:rPr>
            </w:pPr>
          </w:p>
        </w:tc>
        <w:tc>
          <w:tcPr>
            <w:tcW w:w="1503" w:type="dxa"/>
            <w:hideMark/>
          </w:tcPr>
          <w:p w14:paraId="5BEA8A6D" w14:textId="77777777" w:rsidR="00785623" w:rsidRPr="005B039D" w:rsidRDefault="00785623" w:rsidP="00FD5FBA">
            <w:pPr>
              <w:rPr>
                <w:b/>
              </w:rPr>
            </w:pPr>
            <w:r w:rsidRPr="005B039D">
              <w:rPr>
                <w:b/>
              </w:rPr>
              <w:t>Loans</w:t>
            </w:r>
          </w:p>
        </w:tc>
        <w:tc>
          <w:tcPr>
            <w:tcW w:w="1409" w:type="dxa"/>
            <w:hideMark/>
          </w:tcPr>
          <w:p w14:paraId="4FCD6A2A" w14:textId="77777777" w:rsidR="00785623" w:rsidRPr="005B039D" w:rsidRDefault="00785623" w:rsidP="00FD5FBA">
            <w:pPr>
              <w:rPr>
                <w:b/>
              </w:rPr>
            </w:pPr>
            <w:r w:rsidRPr="005B039D">
              <w:rPr>
                <w:b/>
              </w:rPr>
              <w:t>Grants</w:t>
            </w:r>
          </w:p>
        </w:tc>
        <w:tc>
          <w:tcPr>
            <w:tcW w:w="1503" w:type="dxa"/>
            <w:hideMark/>
          </w:tcPr>
          <w:p w14:paraId="166E9CAF" w14:textId="77777777" w:rsidR="00785623" w:rsidRPr="005B039D" w:rsidRDefault="00785623" w:rsidP="00FD5FBA">
            <w:pPr>
              <w:rPr>
                <w:b/>
              </w:rPr>
            </w:pPr>
            <w:r w:rsidRPr="005B039D">
              <w:rPr>
                <w:b/>
              </w:rPr>
              <w:t>Counterpart Contribution</w:t>
            </w:r>
          </w:p>
        </w:tc>
        <w:tc>
          <w:tcPr>
            <w:tcW w:w="2522" w:type="dxa"/>
            <w:hideMark/>
          </w:tcPr>
          <w:p w14:paraId="2C7DADBB" w14:textId="77777777" w:rsidR="00785623" w:rsidRPr="005B039D" w:rsidRDefault="00785623" w:rsidP="00FD5FBA">
            <w:pPr>
              <w:rPr>
                <w:b/>
              </w:rPr>
            </w:pPr>
            <w:r w:rsidRPr="005B039D">
              <w:rPr>
                <w:b/>
              </w:rPr>
              <w:t>Total</w:t>
            </w:r>
            <w:r w:rsidRPr="005B039D">
              <w:rPr>
                <w:rStyle w:val="FootnoteReference"/>
                <w:b/>
              </w:rPr>
              <w:footnoteReference w:id="5"/>
            </w:r>
            <w:r w:rsidRPr="005B039D">
              <w:rPr>
                <w:b/>
              </w:rPr>
              <w:t xml:space="preserve"> (Loan + Grant)</w:t>
            </w:r>
          </w:p>
        </w:tc>
      </w:tr>
      <w:tr w:rsidR="00785623" w:rsidRPr="005B039D" w14:paraId="5180101E" w14:textId="77777777" w:rsidTr="00FD5FBA">
        <w:trPr>
          <w:trHeight w:val="300"/>
        </w:trPr>
        <w:tc>
          <w:tcPr>
            <w:tcW w:w="2413" w:type="dxa"/>
            <w:noWrap/>
            <w:hideMark/>
          </w:tcPr>
          <w:p w14:paraId="540D7AE7" w14:textId="77777777" w:rsidR="00785623" w:rsidRPr="005B039D" w:rsidRDefault="00785623" w:rsidP="00FD5FBA">
            <w:r w:rsidRPr="005B039D">
              <w:t>Dominica</w:t>
            </w:r>
          </w:p>
        </w:tc>
        <w:tc>
          <w:tcPr>
            <w:tcW w:w="1503" w:type="dxa"/>
            <w:noWrap/>
            <w:hideMark/>
          </w:tcPr>
          <w:p w14:paraId="2430D8E5" w14:textId="77777777" w:rsidR="00785623" w:rsidRPr="005B039D" w:rsidRDefault="00785623" w:rsidP="00FD5FBA">
            <w:r w:rsidRPr="005B039D">
              <w:t>15.804.000</w:t>
            </w:r>
          </w:p>
        </w:tc>
        <w:tc>
          <w:tcPr>
            <w:tcW w:w="1409" w:type="dxa"/>
            <w:noWrap/>
            <w:hideMark/>
          </w:tcPr>
          <w:p w14:paraId="00FD8F07" w14:textId="77777777" w:rsidR="00785623" w:rsidRPr="005B039D" w:rsidRDefault="00785623" w:rsidP="00FD5FBA">
            <w:r w:rsidRPr="005B039D">
              <w:t>338.000</w:t>
            </w:r>
          </w:p>
        </w:tc>
        <w:tc>
          <w:tcPr>
            <w:tcW w:w="1503" w:type="dxa"/>
            <w:noWrap/>
            <w:hideMark/>
          </w:tcPr>
          <w:p w14:paraId="1A64BE1C" w14:textId="77777777" w:rsidR="00785623" w:rsidRPr="005B039D" w:rsidRDefault="00785623" w:rsidP="00FD5FBA">
            <w:r w:rsidRPr="005B039D">
              <w:t>3.989.000</w:t>
            </w:r>
          </w:p>
        </w:tc>
        <w:tc>
          <w:tcPr>
            <w:tcW w:w="2522" w:type="dxa"/>
            <w:noWrap/>
            <w:hideMark/>
          </w:tcPr>
          <w:p w14:paraId="25DE055A" w14:textId="77777777" w:rsidR="00785623" w:rsidRPr="005B039D" w:rsidRDefault="00785623" w:rsidP="00FD5FBA">
            <w:r w:rsidRPr="005B039D">
              <w:t>16.142.000</w:t>
            </w:r>
          </w:p>
        </w:tc>
      </w:tr>
      <w:tr w:rsidR="00785623" w:rsidRPr="005B039D" w14:paraId="23C4A2B7" w14:textId="77777777" w:rsidTr="00FD5FBA">
        <w:trPr>
          <w:trHeight w:val="300"/>
        </w:trPr>
        <w:tc>
          <w:tcPr>
            <w:tcW w:w="2413" w:type="dxa"/>
            <w:noWrap/>
            <w:hideMark/>
          </w:tcPr>
          <w:p w14:paraId="38F73CDB" w14:textId="77777777" w:rsidR="00785623" w:rsidRPr="005B039D" w:rsidRDefault="00785623" w:rsidP="00FD5FBA">
            <w:r w:rsidRPr="005B039D">
              <w:t>Antigua and Barbuda</w:t>
            </w:r>
          </w:p>
        </w:tc>
        <w:tc>
          <w:tcPr>
            <w:tcW w:w="1503" w:type="dxa"/>
            <w:noWrap/>
            <w:hideMark/>
          </w:tcPr>
          <w:p w14:paraId="7FE67991" w14:textId="77777777" w:rsidR="00785623" w:rsidRPr="005B039D" w:rsidRDefault="00785623" w:rsidP="00FD5FBA">
            <w:r w:rsidRPr="005B039D">
              <w:t>5.981.000</w:t>
            </w:r>
          </w:p>
        </w:tc>
        <w:tc>
          <w:tcPr>
            <w:tcW w:w="1409" w:type="dxa"/>
            <w:noWrap/>
            <w:hideMark/>
          </w:tcPr>
          <w:p w14:paraId="47D2B1FA" w14:textId="77777777" w:rsidR="00785623" w:rsidRPr="005B039D" w:rsidRDefault="00785623" w:rsidP="00FD5FBA">
            <w:r w:rsidRPr="005B039D">
              <w:t>5.088.500</w:t>
            </w:r>
          </w:p>
        </w:tc>
        <w:tc>
          <w:tcPr>
            <w:tcW w:w="1503" w:type="dxa"/>
            <w:noWrap/>
            <w:hideMark/>
          </w:tcPr>
          <w:p w14:paraId="790298DC" w14:textId="77777777" w:rsidR="00785623" w:rsidRPr="005B039D" w:rsidRDefault="00785623" w:rsidP="00FD5FBA">
            <w:r w:rsidRPr="005B039D">
              <w:t>1.649.400</w:t>
            </w:r>
          </w:p>
        </w:tc>
        <w:tc>
          <w:tcPr>
            <w:tcW w:w="2522" w:type="dxa"/>
            <w:noWrap/>
            <w:hideMark/>
          </w:tcPr>
          <w:p w14:paraId="73AF3657" w14:textId="77777777" w:rsidR="00785623" w:rsidRPr="005B039D" w:rsidRDefault="00785623" w:rsidP="00FD5FBA">
            <w:r w:rsidRPr="005B039D">
              <w:t>11.069.500</w:t>
            </w:r>
          </w:p>
        </w:tc>
      </w:tr>
      <w:tr w:rsidR="00785623" w:rsidRPr="005B039D" w14:paraId="2BCDD3F1" w14:textId="77777777" w:rsidTr="00FD5FBA">
        <w:trPr>
          <w:trHeight w:val="300"/>
        </w:trPr>
        <w:tc>
          <w:tcPr>
            <w:tcW w:w="2413" w:type="dxa"/>
            <w:noWrap/>
            <w:hideMark/>
          </w:tcPr>
          <w:p w14:paraId="49A30ABD" w14:textId="77777777" w:rsidR="00785623" w:rsidRPr="005B039D" w:rsidRDefault="00785623" w:rsidP="00FD5FBA">
            <w:r w:rsidRPr="005B039D">
              <w:t>Grenada</w:t>
            </w:r>
          </w:p>
        </w:tc>
        <w:tc>
          <w:tcPr>
            <w:tcW w:w="1503" w:type="dxa"/>
            <w:noWrap/>
            <w:hideMark/>
          </w:tcPr>
          <w:p w14:paraId="0EDFE0B6" w14:textId="77777777" w:rsidR="00785623" w:rsidRPr="005B039D" w:rsidRDefault="00785623" w:rsidP="00FD5FBA">
            <w:r w:rsidRPr="005B039D">
              <w:t>0</w:t>
            </w:r>
          </w:p>
        </w:tc>
        <w:tc>
          <w:tcPr>
            <w:tcW w:w="1409" w:type="dxa"/>
            <w:noWrap/>
            <w:hideMark/>
          </w:tcPr>
          <w:p w14:paraId="3DBC56BF" w14:textId="77777777" w:rsidR="00785623" w:rsidRPr="005B039D" w:rsidRDefault="00785623" w:rsidP="00FD5FBA">
            <w:r w:rsidRPr="005B039D">
              <w:t>1.040.030</w:t>
            </w:r>
          </w:p>
        </w:tc>
        <w:tc>
          <w:tcPr>
            <w:tcW w:w="1503" w:type="dxa"/>
            <w:noWrap/>
            <w:hideMark/>
          </w:tcPr>
          <w:p w14:paraId="7D58B2CD" w14:textId="77777777" w:rsidR="00785623" w:rsidRPr="005B039D" w:rsidRDefault="00785623" w:rsidP="00FD5FBA">
            <w:r w:rsidRPr="005B039D">
              <w:t>174.511</w:t>
            </w:r>
          </w:p>
        </w:tc>
        <w:tc>
          <w:tcPr>
            <w:tcW w:w="2522" w:type="dxa"/>
            <w:noWrap/>
            <w:hideMark/>
          </w:tcPr>
          <w:p w14:paraId="4ED0655F" w14:textId="77777777" w:rsidR="00785623" w:rsidRPr="005B039D" w:rsidRDefault="00785623" w:rsidP="00FD5FBA">
            <w:r w:rsidRPr="005B039D">
              <w:t>1.040.030</w:t>
            </w:r>
          </w:p>
        </w:tc>
      </w:tr>
      <w:tr w:rsidR="00785623" w:rsidRPr="005B039D" w14:paraId="37B73248" w14:textId="77777777" w:rsidTr="00FD5FBA">
        <w:trPr>
          <w:trHeight w:val="300"/>
        </w:trPr>
        <w:tc>
          <w:tcPr>
            <w:tcW w:w="2413" w:type="dxa"/>
            <w:noWrap/>
            <w:hideMark/>
          </w:tcPr>
          <w:p w14:paraId="124883A5" w14:textId="77777777" w:rsidR="00785623" w:rsidRPr="005B039D" w:rsidRDefault="00785623" w:rsidP="00FD5FBA">
            <w:r w:rsidRPr="005B039D">
              <w:t>St. Kitts and Nevis</w:t>
            </w:r>
          </w:p>
        </w:tc>
        <w:tc>
          <w:tcPr>
            <w:tcW w:w="1503" w:type="dxa"/>
            <w:noWrap/>
            <w:hideMark/>
          </w:tcPr>
          <w:p w14:paraId="02EF022C" w14:textId="77777777" w:rsidR="00785623" w:rsidRPr="005B039D" w:rsidRDefault="00785623" w:rsidP="00FD5FBA">
            <w:r w:rsidRPr="005B039D">
              <w:t>5.792.000</w:t>
            </w:r>
          </w:p>
        </w:tc>
        <w:tc>
          <w:tcPr>
            <w:tcW w:w="1409" w:type="dxa"/>
            <w:noWrap/>
            <w:hideMark/>
          </w:tcPr>
          <w:p w14:paraId="2633126D" w14:textId="77777777" w:rsidR="00785623" w:rsidRPr="005B039D" w:rsidRDefault="00785623" w:rsidP="00FD5FBA">
            <w:r w:rsidRPr="005B039D">
              <w:t>737.900</w:t>
            </w:r>
          </w:p>
        </w:tc>
        <w:tc>
          <w:tcPr>
            <w:tcW w:w="1503" w:type="dxa"/>
            <w:noWrap/>
            <w:hideMark/>
          </w:tcPr>
          <w:p w14:paraId="10569B2C" w14:textId="77777777" w:rsidR="00785623" w:rsidRPr="005B039D" w:rsidRDefault="00785623" w:rsidP="00FD5FBA">
            <w:r w:rsidRPr="005B039D">
              <w:t>736.160</w:t>
            </w:r>
          </w:p>
        </w:tc>
        <w:tc>
          <w:tcPr>
            <w:tcW w:w="2522" w:type="dxa"/>
            <w:noWrap/>
            <w:hideMark/>
          </w:tcPr>
          <w:p w14:paraId="658B9A9C" w14:textId="77777777" w:rsidR="00785623" w:rsidRPr="005B039D" w:rsidRDefault="00785623" w:rsidP="00FD5FBA">
            <w:r w:rsidRPr="005B039D">
              <w:t>6.529.900</w:t>
            </w:r>
          </w:p>
        </w:tc>
      </w:tr>
      <w:tr w:rsidR="00785623" w:rsidRPr="005B039D" w14:paraId="7A2D9CEE" w14:textId="77777777" w:rsidTr="00FD5FBA">
        <w:trPr>
          <w:trHeight w:val="300"/>
        </w:trPr>
        <w:tc>
          <w:tcPr>
            <w:tcW w:w="2413" w:type="dxa"/>
            <w:noWrap/>
            <w:hideMark/>
          </w:tcPr>
          <w:p w14:paraId="0A10C54F" w14:textId="77777777" w:rsidR="00785623" w:rsidRPr="005B039D" w:rsidRDefault="00785623" w:rsidP="00FD5FBA">
            <w:bookmarkStart w:id="2" w:name="OLE_LINK1"/>
            <w:r w:rsidRPr="005B039D">
              <w:t>St. Vincent and the Grenadines</w:t>
            </w:r>
            <w:bookmarkEnd w:id="2"/>
          </w:p>
        </w:tc>
        <w:tc>
          <w:tcPr>
            <w:tcW w:w="1503" w:type="dxa"/>
            <w:noWrap/>
            <w:hideMark/>
          </w:tcPr>
          <w:p w14:paraId="406E1050" w14:textId="77777777" w:rsidR="00785623" w:rsidRPr="005B039D" w:rsidRDefault="00785623" w:rsidP="00FD5FBA">
            <w:r w:rsidRPr="005B039D">
              <w:t>9.649.300</w:t>
            </w:r>
          </w:p>
        </w:tc>
        <w:tc>
          <w:tcPr>
            <w:tcW w:w="1409" w:type="dxa"/>
            <w:noWrap/>
            <w:hideMark/>
          </w:tcPr>
          <w:p w14:paraId="597491C5" w14:textId="77777777" w:rsidR="00785623" w:rsidRPr="005B039D" w:rsidRDefault="00785623" w:rsidP="00FD5FBA">
            <w:r w:rsidRPr="005B039D">
              <w:t>34.290.900</w:t>
            </w:r>
          </w:p>
        </w:tc>
        <w:tc>
          <w:tcPr>
            <w:tcW w:w="1503" w:type="dxa"/>
            <w:noWrap/>
            <w:hideMark/>
          </w:tcPr>
          <w:p w14:paraId="6809220F" w14:textId="77777777" w:rsidR="00785623" w:rsidRPr="005B039D" w:rsidRDefault="00785623" w:rsidP="00FD5FBA">
            <w:r w:rsidRPr="005B039D">
              <w:t>12.247.000</w:t>
            </w:r>
          </w:p>
        </w:tc>
        <w:tc>
          <w:tcPr>
            <w:tcW w:w="2522" w:type="dxa"/>
            <w:noWrap/>
            <w:hideMark/>
          </w:tcPr>
          <w:p w14:paraId="416C7E14" w14:textId="77777777" w:rsidR="00785623" w:rsidRPr="005B039D" w:rsidRDefault="00785623" w:rsidP="00FD5FBA">
            <w:r w:rsidRPr="005B039D">
              <w:t>43.940.200</w:t>
            </w:r>
          </w:p>
        </w:tc>
      </w:tr>
      <w:tr w:rsidR="00785623" w:rsidRPr="005B039D" w14:paraId="6DDB94C5" w14:textId="77777777" w:rsidTr="00FD5FBA">
        <w:trPr>
          <w:trHeight w:val="300"/>
        </w:trPr>
        <w:tc>
          <w:tcPr>
            <w:tcW w:w="2413" w:type="dxa"/>
            <w:noWrap/>
            <w:hideMark/>
          </w:tcPr>
          <w:p w14:paraId="42EA443B" w14:textId="77777777" w:rsidR="00785623" w:rsidRPr="005B039D" w:rsidRDefault="00785623" w:rsidP="00FD5FBA">
            <w:r w:rsidRPr="005B039D">
              <w:t>St. Lucia</w:t>
            </w:r>
          </w:p>
        </w:tc>
        <w:tc>
          <w:tcPr>
            <w:tcW w:w="1503" w:type="dxa"/>
            <w:noWrap/>
            <w:hideMark/>
          </w:tcPr>
          <w:p w14:paraId="30486952" w14:textId="77777777" w:rsidR="00785623" w:rsidRPr="005B039D" w:rsidRDefault="00785623" w:rsidP="00FD5FBA">
            <w:r w:rsidRPr="005B039D">
              <w:t>10.603.000</w:t>
            </w:r>
          </w:p>
        </w:tc>
        <w:tc>
          <w:tcPr>
            <w:tcW w:w="1409" w:type="dxa"/>
            <w:noWrap/>
            <w:hideMark/>
          </w:tcPr>
          <w:p w14:paraId="64FD391E" w14:textId="77777777" w:rsidR="00785623" w:rsidRPr="005B039D" w:rsidRDefault="00785623" w:rsidP="00FD5FBA">
            <w:r w:rsidRPr="005B039D">
              <w:t>75.000</w:t>
            </w:r>
          </w:p>
        </w:tc>
        <w:tc>
          <w:tcPr>
            <w:tcW w:w="1503" w:type="dxa"/>
            <w:noWrap/>
            <w:hideMark/>
          </w:tcPr>
          <w:p w14:paraId="618514EE" w14:textId="77777777" w:rsidR="00785623" w:rsidRPr="005B039D" w:rsidRDefault="00785623" w:rsidP="00FD5FBA">
            <w:r w:rsidRPr="005B039D">
              <w:t>1.151.000</w:t>
            </w:r>
          </w:p>
        </w:tc>
        <w:tc>
          <w:tcPr>
            <w:tcW w:w="2522" w:type="dxa"/>
            <w:noWrap/>
            <w:hideMark/>
          </w:tcPr>
          <w:p w14:paraId="4980D0EB" w14:textId="77777777" w:rsidR="00785623" w:rsidRPr="005B039D" w:rsidRDefault="00785623" w:rsidP="00FD5FBA">
            <w:r w:rsidRPr="005B039D">
              <w:t>10.678.000</w:t>
            </w:r>
          </w:p>
        </w:tc>
      </w:tr>
      <w:tr w:rsidR="00785623" w:rsidRPr="005B039D" w14:paraId="52DB0CE1" w14:textId="77777777" w:rsidTr="00FD5FBA">
        <w:trPr>
          <w:trHeight w:val="300"/>
        </w:trPr>
        <w:tc>
          <w:tcPr>
            <w:tcW w:w="2413" w:type="dxa"/>
            <w:noWrap/>
            <w:hideMark/>
          </w:tcPr>
          <w:p w14:paraId="1BE73BC2" w14:textId="77777777" w:rsidR="00785623" w:rsidRPr="005B039D" w:rsidRDefault="00785623" w:rsidP="00FD5FBA">
            <w:r>
              <w:t>Anguilla</w:t>
            </w:r>
          </w:p>
        </w:tc>
        <w:tc>
          <w:tcPr>
            <w:tcW w:w="1503" w:type="dxa"/>
            <w:noWrap/>
            <w:hideMark/>
          </w:tcPr>
          <w:p w14:paraId="10EC546D" w14:textId="77777777" w:rsidR="00785623" w:rsidRPr="005B039D" w:rsidRDefault="00785623" w:rsidP="00FD5FBA">
            <w:r w:rsidRPr="005B039D">
              <w:t>8.571.000</w:t>
            </w:r>
          </w:p>
        </w:tc>
        <w:tc>
          <w:tcPr>
            <w:tcW w:w="1409" w:type="dxa"/>
            <w:noWrap/>
            <w:hideMark/>
          </w:tcPr>
          <w:p w14:paraId="556F8FFF" w14:textId="77777777" w:rsidR="00785623" w:rsidRPr="005B039D" w:rsidRDefault="00785623" w:rsidP="00FD5FBA">
            <w:r w:rsidRPr="005B039D">
              <w:t>1.921.116</w:t>
            </w:r>
          </w:p>
        </w:tc>
        <w:tc>
          <w:tcPr>
            <w:tcW w:w="1503" w:type="dxa"/>
            <w:noWrap/>
            <w:hideMark/>
          </w:tcPr>
          <w:p w14:paraId="33F3FE88" w14:textId="77777777" w:rsidR="00785623" w:rsidRPr="005B039D" w:rsidRDefault="00785623" w:rsidP="00FD5FBA">
            <w:r w:rsidRPr="005B039D">
              <w:t>3.810.000</w:t>
            </w:r>
          </w:p>
        </w:tc>
        <w:tc>
          <w:tcPr>
            <w:tcW w:w="2522" w:type="dxa"/>
            <w:noWrap/>
            <w:hideMark/>
          </w:tcPr>
          <w:p w14:paraId="32787987" w14:textId="77777777" w:rsidR="00785623" w:rsidRPr="005B039D" w:rsidRDefault="00785623" w:rsidP="00FD5FBA">
            <w:r w:rsidRPr="005B039D">
              <w:t>10.492.116</w:t>
            </w:r>
          </w:p>
        </w:tc>
      </w:tr>
      <w:tr w:rsidR="00785623" w:rsidRPr="005B039D" w14:paraId="30E6A57F" w14:textId="77777777" w:rsidTr="00FD5FBA">
        <w:trPr>
          <w:trHeight w:val="300"/>
        </w:trPr>
        <w:tc>
          <w:tcPr>
            <w:tcW w:w="2413" w:type="dxa"/>
            <w:noWrap/>
            <w:hideMark/>
          </w:tcPr>
          <w:p w14:paraId="3889EF9A" w14:textId="77777777" w:rsidR="00785623" w:rsidRPr="005B039D" w:rsidRDefault="00785623" w:rsidP="00FD5FBA">
            <w:r w:rsidRPr="005B039D">
              <w:t>Bahamas</w:t>
            </w:r>
          </w:p>
        </w:tc>
        <w:tc>
          <w:tcPr>
            <w:tcW w:w="1503" w:type="dxa"/>
            <w:noWrap/>
            <w:hideMark/>
          </w:tcPr>
          <w:p w14:paraId="1EB9B4F3" w14:textId="77777777" w:rsidR="00785623" w:rsidRPr="005B039D" w:rsidRDefault="00785623" w:rsidP="00FD5FBA">
            <w:r w:rsidRPr="005B039D">
              <w:t>0</w:t>
            </w:r>
          </w:p>
        </w:tc>
        <w:tc>
          <w:tcPr>
            <w:tcW w:w="1409" w:type="dxa"/>
            <w:noWrap/>
            <w:hideMark/>
          </w:tcPr>
          <w:p w14:paraId="555F8520" w14:textId="77777777" w:rsidR="00785623" w:rsidRPr="005B039D" w:rsidRDefault="00785623" w:rsidP="00FD5FBA">
            <w:r w:rsidRPr="005B039D">
              <w:t>0</w:t>
            </w:r>
          </w:p>
        </w:tc>
        <w:tc>
          <w:tcPr>
            <w:tcW w:w="1503" w:type="dxa"/>
            <w:noWrap/>
            <w:hideMark/>
          </w:tcPr>
          <w:p w14:paraId="4C82F4F7" w14:textId="77777777" w:rsidR="00785623" w:rsidRPr="005B039D" w:rsidRDefault="00785623" w:rsidP="00FD5FBA">
            <w:r w:rsidRPr="005B039D">
              <w:t>2.504.000</w:t>
            </w:r>
          </w:p>
        </w:tc>
        <w:tc>
          <w:tcPr>
            <w:tcW w:w="2522" w:type="dxa"/>
            <w:noWrap/>
            <w:hideMark/>
          </w:tcPr>
          <w:p w14:paraId="56FC877D" w14:textId="77777777" w:rsidR="00785623" w:rsidRPr="005B039D" w:rsidRDefault="00785623" w:rsidP="00FD5FBA">
            <w:r w:rsidRPr="005B039D">
              <w:t>0</w:t>
            </w:r>
          </w:p>
        </w:tc>
      </w:tr>
      <w:tr w:rsidR="00785623" w:rsidRPr="005B039D" w14:paraId="1A08ECF6" w14:textId="77777777" w:rsidTr="00FD5FBA">
        <w:trPr>
          <w:trHeight w:val="300"/>
        </w:trPr>
        <w:tc>
          <w:tcPr>
            <w:tcW w:w="2413" w:type="dxa"/>
            <w:noWrap/>
            <w:hideMark/>
          </w:tcPr>
          <w:p w14:paraId="1B67BFDF" w14:textId="77777777" w:rsidR="00785623" w:rsidRPr="005B039D" w:rsidRDefault="00785623" w:rsidP="00FD5FBA">
            <w:r w:rsidRPr="005B039D">
              <w:t>Barbados</w:t>
            </w:r>
          </w:p>
        </w:tc>
        <w:tc>
          <w:tcPr>
            <w:tcW w:w="1503" w:type="dxa"/>
            <w:noWrap/>
            <w:hideMark/>
          </w:tcPr>
          <w:p w14:paraId="76389378" w14:textId="77777777" w:rsidR="00785623" w:rsidRPr="005B039D" w:rsidRDefault="00785623" w:rsidP="00FD5FBA">
            <w:r w:rsidRPr="005B039D">
              <w:t>0</w:t>
            </w:r>
          </w:p>
        </w:tc>
        <w:tc>
          <w:tcPr>
            <w:tcW w:w="1409" w:type="dxa"/>
            <w:noWrap/>
            <w:hideMark/>
          </w:tcPr>
          <w:p w14:paraId="737E4B0A" w14:textId="77777777" w:rsidR="00785623" w:rsidRPr="005B039D" w:rsidRDefault="00785623" w:rsidP="00FD5FBA">
            <w:r w:rsidRPr="005B039D">
              <w:t>100.000</w:t>
            </w:r>
          </w:p>
        </w:tc>
        <w:tc>
          <w:tcPr>
            <w:tcW w:w="1503" w:type="dxa"/>
            <w:noWrap/>
            <w:hideMark/>
          </w:tcPr>
          <w:p w14:paraId="4F11C6ED" w14:textId="77777777" w:rsidR="00785623" w:rsidRPr="005B039D" w:rsidRDefault="00785623" w:rsidP="00FD5FBA">
            <w:r w:rsidRPr="005B039D">
              <w:t>0</w:t>
            </w:r>
          </w:p>
        </w:tc>
        <w:tc>
          <w:tcPr>
            <w:tcW w:w="2522" w:type="dxa"/>
            <w:noWrap/>
            <w:hideMark/>
          </w:tcPr>
          <w:p w14:paraId="78095B85" w14:textId="77777777" w:rsidR="00785623" w:rsidRPr="005B039D" w:rsidRDefault="00785623" w:rsidP="00FD5FBA">
            <w:r w:rsidRPr="005B039D">
              <w:t>100.000</w:t>
            </w:r>
          </w:p>
        </w:tc>
      </w:tr>
      <w:tr w:rsidR="00785623" w:rsidRPr="005B039D" w14:paraId="74F1E7CD" w14:textId="77777777" w:rsidTr="00FD5FBA">
        <w:trPr>
          <w:trHeight w:val="300"/>
        </w:trPr>
        <w:tc>
          <w:tcPr>
            <w:tcW w:w="2413" w:type="dxa"/>
            <w:noWrap/>
            <w:hideMark/>
          </w:tcPr>
          <w:p w14:paraId="637765B8" w14:textId="77777777" w:rsidR="00785623" w:rsidRPr="005B039D" w:rsidRDefault="00785623" w:rsidP="00FD5FBA">
            <w:r w:rsidRPr="005B039D">
              <w:t>Belize</w:t>
            </w:r>
          </w:p>
        </w:tc>
        <w:tc>
          <w:tcPr>
            <w:tcW w:w="1503" w:type="dxa"/>
            <w:noWrap/>
            <w:hideMark/>
          </w:tcPr>
          <w:p w14:paraId="76862134" w14:textId="77777777" w:rsidR="00785623" w:rsidRPr="005B039D" w:rsidRDefault="00785623" w:rsidP="00FD5FBA">
            <w:r w:rsidRPr="005B039D">
              <w:t>6.840.000</w:t>
            </w:r>
          </w:p>
        </w:tc>
        <w:tc>
          <w:tcPr>
            <w:tcW w:w="1409" w:type="dxa"/>
            <w:noWrap/>
            <w:hideMark/>
          </w:tcPr>
          <w:p w14:paraId="12B4AE2C" w14:textId="77777777" w:rsidR="00785623" w:rsidRPr="005B039D" w:rsidRDefault="00785623" w:rsidP="00FD5FBA">
            <w:r w:rsidRPr="005B039D">
              <w:t>0</w:t>
            </w:r>
          </w:p>
        </w:tc>
        <w:tc>
          <w:tcPr>
            <w:tcW w:w="1503" w:type="dxa"/>
            <w:noWrap/>
            <w:hideMark/>
          </w:tcPr>
          <w:p w14:paraId="388A7F37" w14:textId="77777777" w:rsidR="00785623" w:rsidRPr="005B039D" w:rsidRDefault="00785623" w:rsidP="00FD5FBA">
            <w:r w:rsidRPr="005B039D">
              <w:t>1.825.000</w:t>
            </w:r>
          </w:p>
        </w:tc>
        <w:tc>
          <w:tcPr>
            <w:tcW w:w="2522" w:type="dxa"/>
            <w:noWrap/>
            <w:hideMark/>
          </w:tcPr>
          <w:p w14:paraId="343F216B" w14:textId="77777777" w:rsidR="00785623" w:rsidRPr="005B039D" w:rsidRDefault="00785623" w:rsidP="00FD5FBA">
            <w:r w:rsidRPr="005B039D">
              <w:t>6.840.000</w:t>
            </w:r>
          </w:p>
        </w:tc>
      </w:tr>
      <w:tr w:rsidR="00785623" w:rsidRPr="005B039D" w14:paraId="5C12D0B7" w14:textId="77777777" w:rsidTr="00FD5FBA">
        <w:trPr>
          <w:trHeight w:val="300"/>
        </w:trPr>
        <w:tc>
          <w:tcPr>
            <w:tcW w:w="2413" w:type="dxa"/>
            <w:noWrap/>
            <w:hideMark/>
          </w:tcPr>
          <w:p w14:paraId="7F568CD1" w14:textId="77777777" w:rsidR="00785623" w:rsidRPr="005B039D" w:rsidRDefault="00785623" w:rsidP="00FD5FBA">
            <w:r w:rsidRPr="005B039D">
              <w:t>Haiti</w:t>
            </w:r>
          </w:p>
        </w:tc>
        <w:tc>
          <w:tcPr>
            <w:tcW w:w="1503" w:type="dxa"/>
            <w:noWrap/>
            <w:hideMark/>
          </w:tcPr>
          <w:p w14:paraId="36653D1D" w14:textId="77777777" w:rsidR="00785623" w:rsidRPr="005B039D" w:rsidRDefault="00785623" w:rsidP="00FD5FBA">
            <w:r w:rsidRPr="005B039D">
              <w:t>0</w:t>
            </w:r>
          </w:p>
        </w:tc>
        <w:tc>
          <w:tcPr>
            <w:tcW w:w="1409" w:type="dxa"/>
            <w:noWrap/>
            <w:hideMark/>
          </w:tcPr>
          <w:p w14:paraId="64E65FDE" w14:textId="77777777" w:rsidR="00785623" w:rsidRPr="005B039D" w:rsidRDefault="00785623" w:rsidP="00FD5FBA">
            <w:r w:rsidRPr="005B039D">
              <w:t>748.400</w:t>
            </w:r>
          </w:p>
        </w:tc>
        <w:tc>
          <w:tcPr>
            <w:tcW w:w="1503" w:type="dxa"/>
            <w:noWrap/>
            <w:hideMark/>
          </w:tcPr>
          <w:p w14:paraId="74F8BBC9" w14:textId="77777777" w:rsidR="00785623" w:rsidRPr="005B039D" w:rsidRDefault="00785623" w:rsidP="00FD5FBA">
            <w:r w:rsidRPr="005B039D">
              <w:t>143.000</w:t>
            </w:r>
          </w:p>
        </w:tc>
        <w:tc>
          <w:tcPr>
            <w:tcW w:w="2522" w:type="dxa"/>
            <w:noWrap/>
            <w:hideMark/>
          </w:tcPr>
          <w:p w14:paraId="0548FCB1" w14:textId="77777777" w:rsidR="00785623" w:rsidRPr="005B039D" w:rsidRDefault="00785623" w:rsidP="00FD5FBA">
            <w:r w:rsidRPr="005B039D">
              <w:t>748.400</w:t>
            </w:r>
          </w:p>
        </w:tc>
      </w:tr>
      <w:tr w:rsidR="00785623" w:rsidRPr="005B039D" w14:paraId="70929F3A" w14:textId="77777777" w:rsidTr="00FD5FBA">
        <w:trPr>
          <w:trHeight w:val="300"/>
        </w:trPr>
        <w:tc>
          <w:tcPr>
            <w:tcW w:w="2413" w:type="dxa"/>
            <w:noWrap/>
            <w:hideMark/>
          </w:tcPr>
          <w:p w14:paraId="58DDE215" w14:textId="77777777" w:rsidR="00785623" w:rsidRPr="005B039D" w:rsidRDefault="00785623" w:rsidP="00FD5FBA">
            <w:r w:rsidRPr="005B039D">
              <w:t>Jamaica</w:t>
            </w:r>
          </w:p>
        </w:tc>
        <w:tc>
          <w:tcPr>
            <w:tcW w:w="1503" w:type="dxa"/>
            <w:noWrap/>
            <w:hideMark/>
          </w:tcPr>
          <w:p w14:paraId="53372528" w14:textId="77777777" w:rsidR="00785623" w:rsidRPr="005B039D" w:rsidRDefault="00785623" w:rsidP="00FD5FBA">
            <w:r w:rsidRPr="005B039D">
              <w:t>25.000.000</w:t>
            </w:r>
          </w:p>
        </w:tc>
        <w:tc>
          <w:tcPr>
            <w:tcW w:w="1409" w:type="dxa"/>
            <w:noWrap/>
            <w:hideMark/>
          </w:tcPr>
          <w:p w14:paraId="05994E18" w14:textId="77777777" w:rsidR="00785623" w:rsidRPr="005B039D" w:rsidRDefault="00785623" w:rsidP="00FD5FBA">
            <w:r w:rsidRPr="005B039D">
              <w:t>6.320.842</w:t>
            </w:r>
          </w:p>
        </w:tc>
        <w:tc>
          <w:tcPr>
            <w:tcW w:w="1503" w:type="dxa"/>
            <w:noWrap/>
            <w:hideMark/>
          </w:tcPr>
          <w:p w14:paraId="6555AB09" w14:textId="77777777" w:rsidR="00785623" w:rsidRPr="005B039D" w:rsidRDefault="00785623" w:rsidP="00FD5FBA">
            <w:r w:rsidRPr="005B039D">
              <w:t>8.840.000</w:t>
            </w:r>
          </w:p>
        </w:tc>
        <w:tc>
          <w:tcPr>
            <w:tcW w:w="2522" w:type="dxa"/>
            <w:noWrap/>
            <w:hideMark/>
          </w:tcPr>
          <w:p w14:paraId="228F5A94" w14:textId="77777777" w:rsidR="00785623" w:rsidRPr="005B039D" w:rsidRDefault="00785623" w:rsidP="00FD5FBA">
            <w:r w:rsidRPr="005B039D">
              <w:t>31.320.842</w:t>
            </w:r>
          </w:p>
        </w:tc>
      </w:tr>
      <w:tr w:rsidR="00785623" w:rsidRPr="005B039D" w14:paraId="7FC26487" w14:textId="77777777" w:rsidTr="00FD5FBA">
        <w:trPr>
          <w:trHeight w:val="300"/>
        </w:trPr>
        <w:tc>
          <w:tcPr>
            <w:tcW w:w="2413" w:type="dxa"/>
            <w:noWrap/>
            <w:hideMark/>
          </w:tcPr>
          <w:p w14:paraId="43F36E81" w14:textId="77777777" w:rsidR="00785623" w:rsidRPr="005B039D" w:rsidRDefault="00785623" w:rsidP="00FD5FBA">
            <w:r w:rsidRPr="005B039D">
              <w:t>Suriname</w:t>
            </w:r>
          </w:p>
        </w:tc>
        <w:tc>
          <w:tcPr>
            <w:tcW w:w="1503" w:type="dxa"/>
            <w:noWrap/>
            <w:hideMark/>
          </w:tcPr>
          <w:p w14:paraId="6CE31D35" w14:textId="77777777" w:rsidR="00785623" w:rsidRPr="005B039D" w:rsidRDefault="00785623" w:rsidP="00FD5FBA">
            <w:r w:rsidRPr="005B039D">
              <w:t>94.818.000</w:t>
            </w:r>
          </w:p>
        </w:tc>
        <w:tc>
          <w:tcPr>
            <w:tcW w:w="1409" w:type="dxa"/>
            <w:noWrap/>
            <w:hideMark/>
          </w:tcPr>
          <w:p w14:paraId="5FE46BFE" w14:textId="77777777" w:rsidR="00785623" w:rsidRPr="005B039D" w:rsidRDefault="00785623" w:rsidP="00FD5FBA">
            <w:r w:rsidRPr="005B039D">
              <w:t>163.479</w:t>
            </w:r>
          </w:p>
        </w:tc>
        <w:tc>
          <w:tcPr>
            <w:tcW w:w="1503" w:type="dxa"/>
            <w:noWrap/>
            <w:hideMark/>
          </w:tcPr>
          <w:p w14:paraId="590FE549" w14:textId="77777777" w:rsidR="00785623" w:rsidRPr="005B039D" w:rsidRDefault="00785623" w:rsidP="00FD5FBA">
            <w:r w:rsidRPr="005B039D">
              <w:t>36.754.686</w:t>
            </w:r>
          </w:p>
        </w:tc>
        <w:tc>
          <w:tcPr>
            <w:tcW w:w="2522" w:type="dxa"/>
            <w:noWrap/>
            <w:hideMark/>
          </w:tcPr>
          <w:p w14:paraId="51DBFE94" w14:textId="77777777" w:rsidR="00785623" w:rsidRPr="005B039D" w:rsidRDefault="00785623" w:rsidP="00FD5FBA">
            <w:r w:rsidRPr="005B039D">
              <w:t>94.981.479</w:t>
            </w:r>
          </w:p>
        </w:tc>
      </w:tr>
      <w:tr w:rsidR="00785623" w:rsidRPr="005B039D" w14:paraId="792F3BA5" w14:textId="77777777" w:rsidTr="00FD5FBA">
        <w:trPr>
          <w:trHeight w:val="300"/>
        </w:trPr>
        <w:tc>
          <w:tcPr>
            <w:tcW w:w="2413" w:type="dxa"/>
            <w:noWrap/>
            <w:hideMark/>
          </w:tcPr>
          <w:p w14:paraId="5F979D68" w14:textId="77777777" w:rsidR="00785623" w:rsidRPr="005B039D" w:rsidRDefault="00785623" w:rsidP="00FD5FBA">
            <w:r w:rsidRPr="005B039D">
              <w:t xml:space="preserve">Regional Interventions </w:t>
            </w:r>
          </w:p>
        </w:tc>
        <w:tc>
          <w:tcPr>
            <w:tcW w:w="1503" w:type="dxa"/>
            <w:noWrap/>
            <w:hideMark/>
          </w:tcPr>
          <w:p w14:paraId="567E7D1D" w14:textId="77777777" w:rsidR="00785623" w:rsidRPr="005B039D" w:rsidRDefault="00785623" w:rsidP="00FD5FBA">
            <w:r w:rsidRPr="005B039D">
              <w:t>0</w:t>
            </w:r>
          </w:p>
        </w:tc>
        <w:tc>
          <w:tcPr>
            <w:tcW w:w="1409" w:type="dxa"/>
            <w:noWrap/>
            <w:hideMark/>
          </w:tcPr>
          <w:p w14:paraId="4D92B5AC" w14:textId="77777777" w:rsidR="00785623" w:rsidRPr="005B039D" w:rsidRDefault="00785623" w:rsidP="00FD5FBA">
            <w:r w:rsidRPr="005B039D">
              <w:t>1.921.116</w:t>
            </w:r>
          </w:p>
        </w:tc>
        <w:tc>
          <w:tcPr>
            <w:tcW w:w="1503" w:type="dxa"/>
            <w:noWrap/>
            <w:hideMark/>
          </w:tcPr>
          <w:p w14:paraId="10507628" w14:textId="77777777" w:rsidR="00785623" w:rsidRPr="005B039D" w:rsidRDefault="00785623" w:rsidP="00FD5FBA">
            <w:r w:rsidRPr="005B039D">
              <w:t>549.899</w:t>
            </w:r>
          </w:p>
        </w:tc>
        <w:tc>
          <w:tcPr>
            <w:tcW w:w="2522" w:type="dxa"/>
            <w:noWrap/>
            <w:hideMark/>
          </w:tcPr>
          <w:p w14:paraId="79D19ADE" w14:textId="77777777" w:rsidR="00785623" w:rsidRPr="005B039D" w:rsidRDefault="00785623" w:rsidP="00FD5FBA">
            <w:r w:rsidRPr="005B039D">
              <w:t>1.921.116</w:t>
            </w:r>
          </w:p>
        </w:tc>
      </w:tr>
      <w:tr w:rsidR="00785623" w:rsidRPr="005B039D" w14:paraId="2979A7B2" w14:textId="77777777" w:rsidTr="00FD5FBA">
        <w:trPr>
          <w:trHeight w:val="300"/>
        </w:trPr>
        <w:tc>
          <w:tcPr>
            <w:tcW w:w="2413" w:type="dxa"/>
            <w:noWrap/>
          </w:tcPr>
          <w:p w14:paraId="241012AB" w14:textId="77777777" w:rsidR="00785623" w:rsidRPr="007E4EF0" w:rsidRDefault="00785623" w:rsidP="00FD5FBA">
            <w:pPr>
              <w:rPr>
                <w:b/>
              </w:rPr>
            </w:pPr>
            <w:r w:rsidRPr="007E4EF0">
              <w:rPr>
                <w:b/>
              </w:rPr>
              <w:t>Total</w:t>
            </w:r>
          </w:p>
        </w:tc>
        <w:tc>
          <w:tcPr>
            <w:tcW w:w="1503" w:type="dxa"/>
            <w:noWrap/>
          </w:tcPr>
          <w:p w14:paraId="17A8E8FD" w14:textId="77777777" w:rsidR="00785623" w:rsidRPr="005B039D" w:rsidRDefault="00785623" w:rsidP="00FD5FBA">
            <w:r w:rsidRPr="007E4EF0">
              <w:rPr>
                <w:rFonts w:eastAsiaTheme="minorHAnsi"/>
                <w:sz w:val="22"/>
                <w:szCs w:val="22"/>
              </w:rPr>
              <w:t>183.058.300</w:t>
            </w:r>
          </w:p>
        </w:tc>
        <w:tc>
          <w:tcPr>
            <w:tcW w:w="1409" w:type="dxa"/>
            <w:noWrap/>
          </w:tcPr>
          <w:p w14:paraId="45FEF499" w14:textId="77777777" w:rsidR="00785623" w:rsidRPr="005B039D" w:rsidRDefault="00785623" w:rsidP="00FD5FBA">
            <w:r w:rsidRPr="007E4EF0">
              <w:rPr>
                <w:rFonts w:eastAsiaTheme="minorHAnsi"/>
                <w:sz w:val="22"/>
                <w:szCs w:val="22"/>
              </w:rPr>
              <w:t>53.570.783</w:t>
            </w:r>
          </w:p>
        </w:tc>
        <w:tc>
          <w:tcPr>
            <w:tcW w:w="1503" w:type="dxa"/>
            <w:noWrap/>
          </w:tcPr>
          <w:p w14:paraId="60FA5E62" w14:textId="77777777" w:rsidR="00785623" w:rsidRPr="005B039D" w:rsidRDefault="00785623" w:rsidP="00FD5FBA">
            <w:r w:rsidRPr="007E4EF0">
              <w:rPr>
                <w:rFonts w:eastAsiaTheme="minorHAnsi"/>
                <w:sz w:val="22"/>
                <w:szCs w:val="22"/>
              </w:rPr>
              <w:t>74.373.656</w:t>
            </w:r>
          </w:p>
        </w:tc>
        <w:tc>
          <w:tcPr>
            <w:tcW w:w="2522" w:type="dxa"/>
            <w:noWrap/>
          </w:tcPr>
          <w:p w14:paraId="0003B66A" w14:textId="77777777" w:rsidR="00785623" w:rsidRPr="005B039D" w:rsidRDefault="00785623" w:rsidP="00FD5FBA">
            <w:r w:rsidRPr="007E4EF0">
              <w:rPr>
                <w:rFonts w:eastAsiaTheme="minorHAnsi"/>
                <w:sz w:val="22"/>
                <w:szCs w:val="22"/>
              </w:rPr>
              <w:t>236.629.083</w:t>
            </w:r>
          </w:p>
        </w:tc>
      </w:tr>
    </w:tbl>
    <w:p w14:paraId="3B23316E" w14:textId="77777777" w:rsidR="00785623" w:rsidRPr="000234B8" w:rsidRDefault="00785623" w:rsidP="00785623"/>
    <w:p w14:paraId="502C217D" w14:textId="77777777" w:rsidR="00785623" w:rsidRPr="008F776B" w:rsidRDefault="00785623" w:rsidP="00785623">
      <w:pPr>
        <w:jc w:val="both"/>
      </w:pPr>
      <w:r>
        <w:rPr>
          <w:noProof/>
        </w:rPr>
        <w:lastRenderedPageBreak/>
        <w:drawing>
          <wp:anchor distT="0" distB="0" distL="114300" distR="114300" simplePos="0" relativeHeight="251662336" behindDoc="0" locked="0" layoutInCell="1" allowOverlap="1" wp14:anchorId="08DCA768" wp14:editId="02178770">
            <wp:simplePos x="0" y="0"/>
            <wp:positionH relativeFrom="column">
              <wp:posOffset>-271683</wp:posOffset>
            </wp:positionH>
            <wp:positionV relativeFrom="paragraph">
              <wp:posOffset>174</wp:posOffset>
            </wp:positionV>
            <wp:extent cx="3391200" cy="3492000"/>
            <wp:effectExtent l="0" t="0" r="0" b="635"/>
            <wp:wrapThrough wrapText="bothSides">
              <wp:wrapPolygon edited="0">
                <wp:start x="0" y="0"/>
                <wp:lineTo x="0" y="21525"/>
                <wp:lineTo x="21519" y="21525"/>
                <wp:lineTo x="21519" y="0"/>
                <wp:lineTo x="0" y="0"/>
              </wp:wrapPolygon>
            </wp:wrapThrough>
            <wp:docPr id="3"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3391200" cy="3492000"/>
                    </a:xfrm>
                    <a:prstGeom prst="rect">
                      <a:avLst/>
                    </a:prstGeom>
                  </pic:spPr>
                </pic:pic>
              </a:graphicData>
            </a:graphic>
            <wp14:sizeRelH relativeFrom="margin">
              <wp14:pctWidth>0</wp14:pctWidth>
            </wp14:sizeRelH>
            <wp14:sizeRelV relativeFrom="margin">
              <wp14:pctHeight>0</wp14:pctHeight>
            </wp14:sizeRelV>
          </wp:anchor>
        </w:drawing>
      </w:r>
    </w:p>
    <w:p w14:paraId="480D965F" w14:textId="77777777" w:rsidR="00785623" w:rsidRDefault="00785623" w:rsidP="00785623">
      <w:pPr>
        <w:jc w:val="center"/>
        <w:rPr>
          <w:b/>
        </w:rPr>
      </w:pPr>
    </w:p>
    <w:p w14:paraId="4C4E8BCF" w14:textId="22A9FA56" w:rsidR="00785623" w:rsidRDefault="00785623" w:rsidP="00785623">
      <w:pPr>
        <w:rPr>
          <w:b/>
        </w:rPr>
      </w:pPr>
    </w:p>
    <w:p w14:paraId="7C56611B" w14:textId="6DF58B7B" w:rsidR="00785623" w:rsidRDefault="00785623" w:rsidP="00785623">
      <w:pPr>
        <w:rPr>
          <w:b/>
        </w:rPr>
      </w:pPr>
      <w:r>
        <w:rPr>
          <w:noProof/>
        </w:rPr>
        <w:drawing>
          <wp:anchor distT="0" distB="0" distL="114300" distR="114300" simplePos="0" relativeHeight="251659264" behindDoc="0" locked="0" layoutInCell="1" allowOverlap="1" wp14:anchorId="1E6106C5" wp14:editId="12F14A66">
            <wp:simplePos x="0" y="0"/>
            <wp:positionH relativeFrom="column">
              <wp:posOffset>3221990</wp:posOffset>
            </wp:positionH>
            <wp:positionV relativeFrom="paragraph">
              <wp:posOffset>376676</wp:posOffset>
            </wp:positionV>
            <wp:extent cx="2642235" cy="2591435"/>
            <wp:effectExtent l="0" t="0" r="0" b="0"/>
            <wp:wrapSquare wrapText="bothSides"/>
            <wp:docPr id="115896355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2642235" cy="2591435"/>
                    </a:xfrm>
                    <a:prstGeom prst="rect">
                      <a:avLst/>
                    </a:prstGeom>
                  </pic:spPr>
                </pic:pic>
              </a:graphicData>
            </a:graphic>
            <wp14:sizeRelH relativeFrom="page">
              <wp14:pctWidth>0</wp14:pctWidth>
            </wp14:sizeRelH>
            <wp14:sizeRelV relativeFrom="page">
              <wp14:pctHeight>0</wp14:pctHeight>
            </wp14:sizeRelV>
          </wp:anchor>
        </w:drawing>
      </w:r>
    </w:p>
    <w:p w14:paraId="18D85201" w14:textId="200AEC16" w:rsidR="00785623" w:rsidRDefault="00785623" w:rsidP="00785623">
      <w:pPr>
        <w:rPr>
          <w:b/>
        </w:rPr>
      </w:pPr>
    </w:p>
    <w:p w14:paraId="3DCEBA51" w14:textId="77777777" w:rsidR="00785623" w:rsidRDefault="00785623" w:rsidP="00785623">
      <w:pPr>
        <w:rPr>
          <w:b/>
        </w:rPr>
      </w:pPr>
    </w:p>
    <w:p w14:paraId="3ECE99FB" w14:textId="77777777" w:rsidR="00785623" w:rsidRDefault="00785623" w:rsidP="00785623">
      <w:pPr>
        <w:rPr>
          <w:b/>
        </w:rPr>
      </w:pPr>
    </w:p>
    <w:p w14:paraId="16F602E2" w14:textId="77777777" w:rsidR="00785623" w:rsidRDefault="00785623" w:rsidP="00785623">
      <w:pPr>
        <w:rPr>
          <w:b/>
        </w:rPr>
      </w:pPr>
    </w:p>
    <w:p w14:paraId="76D963A0" w14:textId="77777777" w:rsidR="00785623" w:rsidRDefault="00785623" w:rsidP="00785623">
      <w:pPr>
        <w:rPr>
          <w:b/>
        </w:rPr>
      </w:pPr>
    </w:p>
    <w:p w14:paraId="0CCFF4ED" w14:textId="77777777" w:rsidR="00785623" w:rsidRDefault="00785623" w:rsidP="00785623">
      <w:pPr>
        <w:rPr>
          <w:b/>
        </w:rPr>
      </w:pPr>
      <w:r w:rsidRPr="00BC33F2">
        <w:rPr>
          <w:b/>
        </w:rPr>
        <w:t>Thematic Areas</w:t>
      </w:r>
    </w:p>
    <w:p w14:paraId="20F3EF0F" w14:textId="77777777" w:rsidR="00785623" w:rsidRDefault="00785623" w:rsidP="00785623">
      <w:pPr>
        <w:rPr>
          <w:b/>
        </w:rPr>
      </w:pPr>
    </w:p>
    <w:p w14:paraId="4926C673" w14:textId="77777777" w:rsidR="00785623" w:rsidRDefault="00785623" w:rsidP="00785623">
      <w:pPr>
        <w:pStyle w:val="ListParagraph"/>
        <w:numPr>
          <w:ilvl w:val="0"/>
          <w:numId w:val="35"/>
        </w:numPr>
        <w:spacing w:after="160" w:line="259" w:lineRule="auto"/>
        <w:ind w:left="0" w:firstLine="0"/>
        <w:contextualSpacing/>
      </w:pPr>
      <w:r>
        <w:t>ESPS support to BMCs can be broadly categorised under eight main themes (Figure 3):</w:t>
      </w:r>
    </w:p>
    <w:p w14:paraId="6F9805DD" w14:textId="77777777" w:rsidR="00785623" w:rsidRDefault="00785623" w:rsidP="00785623">
      <w:pPr>
        <w:pStyle w:val="ListParagraph"/>
        <w:ind w:left="0"/>
      </w:pPr>
      <w:r>
        <w:rPr>
          <w:noProof/>
        </w:rPr>
        <w:drawing>
          <wp:anchor distT="0" distB="0" distL="114300" distR="114300" simplePos="0" relativeHeight="251660288" behindDoc="0" locked="0" layoutInCell="1" allowOverlap="1" wp14:anchorId="35374E7E" wp14:editId="25CB1A75">
            <wp:simplePos x="0" y="0"/>
            <wp:positionH relativeFrom="column">
              <wp:posOffset>3111500</wp:posOffset>
            </wp:positionH>
            <wp:positionV relativeFrom="paragraph">
              <wp:posOffset>101600</wp:posOffset>
            </wp:positionV>
            <wp:extent cx="2387600" cy="2159000"/>
            <wp:effectExtent l="0" t="0" r="0" b="0"/>
            <wp:wrapSquare wrapText="bothSides"/>
            <wp:docPr id="197417566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4">
                      <a:extLst>
                        <a:ext uri="{28A0092B-C50C-407E-A947-70E740481C1C}">
                          <a14:useLocalDpi xmlns:a14="http://schemas.microsoft.com/office/drawing/2010/main" val="0"/>
                        </a:ext>
                      </a:extLst>
                    </a:blip>
                    <a:stretch>
                      <a:fillRect/>
                    </a:stretch>
                  </pic:blipFill>
                  <pic:spPr>
                    <a:xfrm>
                      <a:off x="0" y="0"/>
                      <a:ext cx="2387600" cy="2159000"/>
                    </a:xfrm>
                    <a:prstGeom prst="rect">
                      <a:avLst/>
                    </a:prstGeom>
                  </pic:spPr>
                </pic:pic>
              </a:graphicData>
            </a:graphic>
            <wp14:sizeRelH relativeFrom="page">
              <wp14:pctWidth>0</wp14:pctWidth>
            </wp14:sizeRelH>
            <wp14:sizeRelV relativeFrom="page">
              <wp14:pctHeight>0</wp14:pctHeight>
            </wp14:sizeRelV>
          </wp:anchor>
        </w:drawing>
      </w:r>
    </w:p>
    <w:p w14:paraId="3625D231" w14:textId="77777777" w:rsidR="00785623" w:rsidRDefault="00785623" w:rsidP="00785623">
      <w:pPr>
        <w:pStyle w:val="ListParagraph"/>
        <w:numPr>
          <w:ilvl w:val="0"/>
          <w:numId w:val="34"/>
        </w:numPr>
        <w:spacing w:after="160" w:line="259" w:lineRule="auto"/>
        <w:contextualSpacing/>
      </w:pPr>
      <w:r>
        <w:t xml:space="preserve">Capacity </w:t>
      </w:r>
      <w:proofErr w:type="gramStart"/>
      <w:r>
        <w:t>Building;</w:t>
      </w:r>
      <w:proofErr w:type="gramEnd"/>
      <w:r w:rsidRPr="007E4EF0">
        <w:rPr>
          <w:noProof/>
        </w:rPr>
        <w:t xml:space="preserve"> </w:t>
      </w:r>
    </w:p>
    <w:p w14:paraId="63FD72A6" w14:textId="77777777" w:rsidR="00785623" w:rsidRDefault="00785623" w:rsidP="00785623">
      <w:pPr>
        <w:pStyle w:val="ListParagraph"/>
        <w:numPr>
          <w:ilvl w:val="0"/>
          <w:numId w:val="34"/>
        </w:numPr>
        <w:spacing w:after="160" w:line="259" w:lineRule="auto"/>
        <w:contextualSpacing/>
      </w:pPr>
      <w:r>
        <w:t xml:space="preserve">Renewable </w:t>
      </w:r>
      <w:proofErr w:type="gramStart"/>
      <w:r>
        <w:t>Energy;</w:t>
      </w:r>
      <w:proofErr w:type="gramEnd"/>
      <w:r w:rsidRPr="00CB0F64">
        <w:rPr>
          <w:noProof/>
        </w:rPr>
        <w:t xml:space="preserve"> </w:t>
      </w:r>
    </w:p>
    <w:p w14:paraId="0D2423C6" w14:textId="77777777" w:rsidR="00785623" w:rsidRDefault="00785623" w:rsidP="00785623">
      <w:pPr>
        <w:pStyle w:val="ListParagraph"/>
        <w:numPr>
          <w:ilvl w:val="0"/>
          <w:numId w:val="34"/>
        </w:numPr>
        <w:spacing w:after="160" w:line="259" w:lineRule="auto"/>
        <w:contextualSpacing/>
      </w:pPr>
      <w:r>
        <w:t xml:space="preserve">Regulatory </w:t>
      </w:r>
      <w:proofErr w:type="gramStart"/>
      <w:r>
        <w:t>Support;</w:t>
      </w:r>
      <w:proofErr w:type="gramEnd"/>
    </w:p>
    <w:p w14:paraId="3E7D11C3" w14:textId="77777777" w:rsidR="00785623" w:rsidRDefault="00785623" w:rsidP="00785623">
      <w:pPr>
        <w:pStyle w:val="ListParagraph"/>
        <w:numPr>
          <w:ilvl w:val="0"/>
          <w:numId w:val="34"/>
        </w:numPr>
        <w:spacing w:after="160" w:line="259" w:lineRule="auto"/>
        <w:contextualSpacing/>
      </w:pPr>
      <w:r>
        <w:t xml:space="preserve">Street </w:t>
      </w:r>
      <w:proofErr w:type="gramStart"/>
      <w:r>
        <w:t>Lighting;</w:t>
      </w:r>
      <w:proofErr w:type="gramEnd"/>
    </w:p>
    <w:p w14:paraId="5F1F2D78" w14:textId="77777777" w:rsidR="00785623" w:rsidRDefault="00785623" w:rsidP="00785623">
      <w:pPr>
        <w:pStyle w:val="ListParagraph"/>
        <w:numPr>
          <w:ilvl w:val="0"/>
          <w:numId w:val="34"/>
        </w:numPr>
        <w:spacing w:after="160" w:line="259" w:lineRule="auto"/>
        <w:contextualSpacing/>
      </w:pPr>
      <w:r>
        <w:t xml:space="preserve">Power restoration and </w:t>
      </w:r>
      <w:proofErr w:type="gramStart"/>
      <w:r>
        <w:t>modernization;</w:t>
      </w:r>
      <w:proofErr w:type="gramEnd"/>
    </w:p>
    <w:p w14:paraId="4A20474F" w14:textId="77777777" w:rsidR="00785623" w:rsidRDefault="00785623" w:rsidP="00785623">
      <w:pPr>
        <w:pStyle w:val="ListParagraph"/>
        <w:numPr>
          <w:ilvl w:val="0"/>
          <w:numId w:val="34"/>
        </w:numPr>
        <w:spacing w:after="160" w:line="259" w:lineRule="auto"/>
        <w:contextualSpacing/>
      </w:pPr>
      <w:r>
        <w:t xml:space="preserve">Project </w:t>
      </w:r>
      <w:proofErr w:type="gramStart"/>
      <w:r>
        <w:t>Preparation;</w:t>
      </w:r>
      <w:proofErr w:type="gramEnd"/>
    </w:p>
    <w:p w14:paraId="535C7F0F" w14:textId="77777777" w:rsidR="00785623" w:rsidRDefault="00785623" w:rsidP="00785623">
      <w:pPr>
        <w:pStyle w:val="ListParagraph"/>
        <w:numPr>
          <w:ilvl w:val="0"/>
          <w:numId w:val="34"/>
        </w:numPr>
        <w:spacing w:after="160" w:line="259" w:lineRule="auto"/>
        <w:contextualSpacing/>
      </w:pPr>
      <w:proofErr w:type="gramStart"/>
      <w:r>
        <w:t>Rehabilitation;</w:t>
      </w:r>
      <w:proofErr w:type="gramEnd"/>
    </w:p>
    <w:p w14:paraId="1E8348BB" w14:textId="77777777" w:rsidR="00785623" w:rsidRDefault="00785623" w:rsidP="00785623">
      <w:pPr>
        <w:pStyle w:val="ListParagraph"/>
        <w:numPr>
          <w:ilvl w:val="0"/>
          <w:numId w:val="34"/>
        </w:numPr>
        <w:spacing w:after="160" w:line="259" w:lineRule="auto"/>
        <w:contextualSpacing/>
      </w:pPr>
      <w:r>
        <w:t>Conventional Energy.</w:t>
      </w:r>
    </w:p>
    <w:p w14:paraId="2D89DF17" w14:textId="77777777" w:rsidR="00785623" w:rsidRDefault="00785623" w:rsidP="00785623">
      <w:pPr>
        <w:rPr>
          <w:b/>
        </w:rPr>
      </w:pPr>
    </w:p>
    <w:p w14:paraId="1D402ED4" w14:textId="77777777" w:rsidR="00785623" w:rsidRDefault="00785623" w:rsidP="00785623">
      <w:pPr>
        <w:rPr>
          <w:b/>
        </w:rPr>
      </w:pPr>
    </w:p>
    <w:p w14:paraId="42513AB4" w14:textId="77777777" w:rsidR="00785623" w:rsidRPr="007F4B52" w:rsidRDefault="00785623" w:rsidP="00785623">
      <w:pPr>
        <w:pStyle w:val="ListParagraph"/>
        <w:ind w:left="0"/>
      </w:pPr>
    </w:p>
    <w:p w14:paraId="4145F45E" w14:textId="77777777" w:rsidR="00785623" w:rsidRDefault="00785623" w:rsidP="00785623">
      <w:pPr>
        <w:pStyle w:val="ListParagraph"/>
        <w:ind w:left="0"/>
        <w:jc w:val="both"/>
      </w:pPr>
    </w:p>
    <w:p w14:paraId="33BC7FFC" w14:textId="77777777" w:rsidR="00785623" w:rsidRDefault="00785623" w:rsidP="00785623">
      <w:pPr>
        <w:pStyle w:val="ListParagraph"/>
        <w:ind w:left="0"/>
        <w:jc w:val="both"/>
      </w:pPr>
    </w:p>
    <w:p w14:paraId="6186A51C" w14:textId="77777777" w:rsidR="00785623" w:rsidRDefault="00785623" w:rsidP="00785623">
      <w:pPr>
        <w:pStyle w:val="ListParagraph"/>
        <w:ind w:left="0"/>
        <w:jc w:val="both"/>
      </w:pPr>
    </w:p>
    <w:p w14:paraId="057916B7" w14:textId="77777777" w:rsidR="00785623" w:rsidRDefault="00785623" w:rsidP="00785623">
      <w:pPr>
        <w:pStyle w:val="ListParagraph"/>
        <w:numPr>
          <w:ilvl w:val="0"/>
          <w:numId w:val="35"/>
        </w:numPr>
        <w:ind w:left="0" w:firstLine="0"/>
        <w:contextualSpacing/>
        <w:jc w:val="both"/>
      </w:pPr>
      <w:r>
        <w:t>Table 2 details the distribution of loans and grants resources by the eight main thematic areas.</w:t>
      </w:r>
    </w:p>
    <w:p w14:paraId="11692168" w14:textId="77777777" w:rsidR="00785623" w:rsidRDefault="00785623" w:rsidP="00785623">
      <w:pPr>
        <w:pStyle w:val="ListParagraph"/>
        <w:ind w:left="0"/>
        <w:jc w:val="both"/>
      </w:pPr>
    </w:p>
    <w:p w14:paraId="09334BBB" w14:textId="77777777" w:rsidR="00785623" w:rsidRDefault="00785623" w:rsidP="00785623">
      <w:pPr>
        <w:pStyle w:val="Caption"/>
        <w:rPr>
          <w:b/>
        </w:rPr>
      </w:pPr>
      <w:r>
        <w:lastRenderedPageBreak/>
        <w:t xml:space="preserve">Table </w:t>
      </w:r>
      <w:r>
        <w:fldChar w:fldCharType="begin"/>
      </w:r>
      <w:r>
        <w:instrText xml:space="preserve"> SEQ Table \* ARABIC </w:instrText>
      </w:r>
      <w:r>
        <w:fldChar w:fldCharType="separate"/>
      </w:r>
      <w:r>
        <w:rPr>
          <w:noProof/>
        </w:rPr>
        <w:t>3</w:t>
      </w:r>
      <w:r>
        <w:fldChar w:fldCharType="end"/>
      </w:r>
      <w:r>
        <w:t xml:space="preserve"> – Loans and Grants Resources by Strategic Thematic Area 2015-2020</w:t>
      </w:r>
    </w:p>
    <w:tbl>
      <w:tblPr>
        <w:tblStyle w:val="TableGrid"/>
        <w:tblW w:w="0" w:type="auto"/>
        <w:tblLook w:val="04A0" w:firstRow="1" w:lastRow="0" w:firstColumn="1" w:lastColumn="0" w:noHBand="0" w:noVBand="1"/>
      </w:tblPr>
      <w:tblGrid>
        <w:gridCol w:w="3287"/>
        <w:gridCol w:w="1300"/>
        <w:gridCol w:w="1300"/>
        <w:gridCol w:w="1300"/>
      </w:tblGrid>
      <w:tr w:rsidR="00785623" w:rsidRPr="00F641C0" w14:paraId="31718C47" w14:textId="77777777" w:rsidTr="00FD5FBA">
        <w:trPr>
          <w:trHeight w:val="300"/>
        </w:trPr>
        <w:tc>
          <w:tcPr>
            <w:tcW w:w="3287" w:type="dxa"/>
            <w:noWrap/>
            <w:hideMark/>
          </w:tcPr>
          <w:p w14:paraId="0FECFA36" w14:textId="77777777" w:rsidR="00785623" w:rsidRPr="00F641C0" w:rsidRDefault="00785623" w:rsidP="00FD5FBA"/>
        </w:tc>
        <w:tc>
          <w:tcPr>
            <w:tcW w:w="1300" w:type="dxa"/>
            <w:noWrap/>
            <w:hideMark/>
          </w:tcPr>
          <w:p w14:paraId="1147A2B7" w14:textId="77777777" w:rsidR="00785623" w:rsidRPr="00F641C0" w:rsidRDefault="00785623" w:rsidP="00FD5FBA">
            <w:pPr>
              <w:rPr>
                <w:b/>
              </w:rPr>
            </w:pPr>
            <w:r w:rsidRPr="00F641C0">
              <w:rPr>
                <w:b/>
              </w:rPr>
              <w:t>Loans</w:t>
            </w:r>
          </w:p>
        </w:tc>
        <w:tc>
          <w:tcPr>
            <w:tcW w:w="1300" w:type="dxa"/>
            <w:noWrap/>
            <w:hideMark/>
          </w:tcPr>
          <w:p w14:paraId="043A09B2" w14:textId="77777777" w:rsidR="00785623" w:rsidRPr="00F641C0" w:rsidRDefault="00785623" w:rsidP="00FD5FBA">
            <w:pPr>
              <w:rPr>
                <w:b/>
              </w:rPr>
            </w:pPr>
            <w:r w:rsidRPr="00F641C0">
              <w:rPr>
                <w:b/>
              </w:rPr>
              <w:t>Grants</w:t>
            </w:r>
          </w:p>
        </w:tc>
        <w:tc>
          <w:tcPr>
            <w:tcW w:w="1300" w:type="dxa"/>
            <w:noWrap/>
            <w:hideMark/>
          </w:tcPr>
          <w:p w14:paraId="4192A284" w14:textId="77777777" w:rsidR="00785623" w:rsidRPr="00F641C0" w:rsidRDefault="00785623" w:rsidP="00FD5FBA">
            <w:pPr>
              <w:rPr>
                <w:b/>
              </w:rPr>
            </w:pPr>
            <w:r w:rsidRPr="00F641C0">
              <w:rPr>
                <w:b/>
              </w:rPr>
              <w:t>Total</w:t>
            </w:r>
          </w:p>
        </w:tc>
      </w:tr>
      <w:tr w:rsidR="00785623" w:rsidRPr="00F641C0" w14:paraId="4F768D3F" w14:textId="77777777" w:rsidTr="00FD5FBA">
        <w:trPr>
          <w:trHeight w:val="306"/>
        </w:trPr>
        <w:tc>
          <w:tcPr>
            <w:tcW w:w="3287" w:type="dxa"/>
            <w:noWrap/>
            <w:hideMark/>
          </w:tcPr>
          <w:p w14:paraId="6C1F4FF7" w14:textId="77777777" w:rsidR="00785623" w:rsidRPr="00F641C0" w:rsidRDefault="00785623" w:rsidP="00FD5FBA">
            <w:r w:rsidRPr="00F641C0">
              <w:t>Capacity Building</w:t>
            </w:r>
          </w:p>
        </w:tc>
        <w:tc>
          <w:tcPr>
            <w:tcW w:w="1300" w:type="dxa"/>
            <w:noWrap/>
            <w:hideMark/>
          </w:tcPr>
          <w:p w14:paraId="084B9E36" w14:textId="77777777" w:rsidR="00785623" w:rsidRPr="00F641C0" w:rsidRDefault="00785623" w:rsidP="00FD5FBA">
            <w:r w:rsidRPr="00F641C0">
              <w:t>0</w:t>
            </w:r>
          </w:p>
        </w:tc>
        <w:tc>
          <w:tcPr>
            <w:tcW w:w="1300" w:type="dxa"/>
            <w:noWrap/>
            <w:hideMark/>
          </w:tcPr>
          <w:p w14:paraId="58012B3F" w14:textId="77777777" w:rsidR="00785623" w:rsidRPr="00F641C0" w:rsidRDefault="00785623" w:rsidP="00FD5FBA">
            <w:r w:rsidRPr="00F641C0">
              <w:t>1.948.900</w:t>
            </w:r>
          </w:p>
        </w:tc>
        <w:tc>
          <w:tcPr>
            <w:tcW w:w="1300" w:type="dxa"/>
            <w:noWrap/>
            <w:hideMark/>
          </w:tcPr>
          <w:p w14:paraId="3FE5017A" w14:textId="77777777" w:rsidR="00785623" w:rsidRPr="00F641C0" w:rsidRDefault="00785623" w:rsidP="00FD5FBA">
            <w:r w:rsidRPr="00F641C0">
              <w:t>1.948.900</w:t>
            </w:r>
          </w:p>
        </w:tc>
      </w:tr>
      <w:tr w:rsidR="00785623" w:rsidRPr="00F641C0" w14:paraId="7568EC5F" w14:textId="77777777" w:rsidTr="00FD5FBA">
        <w:trPr>
          <w:trHeight w:val="300"/>
        </w:trPr>
        <w:tc>
          <w:tcPr>
            <w:tcW w:w="3287" w:type="dxa"/>
            <w:noWrap/>
            <w:hideMark/>
          </w:tcPr>
          <w:p w14:paraId="12158142" w14:textId="77777777" w:rsidR="00785623" w:rsidRPr="00F641C0" w:rsidRDefault="00785623" w:rsidP="00FD5FBA">
            <w:r w:rsidRPr="00F641C0">
              <w:t>Renewable Energy</w:t>
            </w:r>
          </w:p>
        </w:tc>
        <w:tc>
          <w:tcPr>
            <w:tcW w:w="1300" w:type="dxa"/>
            <w:noWrap/>
            <w:hideMark/>
          </w:tcPr>
          <w:p w14:paraId="5E0C6C82" w14:textId="77777777" w:rsidR="00785623" w:rsidRPr="00F641C0" w:rsidRDefault="00785623" w:rsidP="00FD5FBA">
            <w:r w:rsidRPr="00F641C0">
              <w:t>7.794.300</w:t>
            </w:r>
          </w:p>
        </w:tc>
        <w:tc>
          <w:tcPr>
            <w:tcW w:w="1300" w:type="dxa"/>
            <w:noWrap/>
            <w:hideMark/>
          </w:tcPr>
          <w:p w14:paraId="1DABA586" w14:textId="77777777" w:rsidR="00785623" w:rsidRPr="00F641C0" w:rsidRDefault="00785623" w:rsidP="00FD5FBA">
            <w:r w:rsidRPr="00F641C0">
              <w:t>10.437.242</w:t>
            </w:r>
          </w:p>
        </w:tc>
        <w:tc>
          <w:tcPr>
            <w:tcW w:w="1300" w:type="dxa"/>
            <w:noWrap/>
            <w:hideMark/>
          </w:tcPr>
          <w:p w14:paraId="5CF9C78A" w14:textId="77777777" w:rsidR="00785623" w:rsidRPr="00F641C0" w:rsidRDefault="00785623" w:rsidP="00FD5FBA">
            <w:r w:rsidRPr="00F641C0">
              <w:t>18.231.542</w:t>
            </w:r>
          </w:p>
        </w:tc>
      </w:tr>
      <w:tr w:rsidR="00785623" w:rsidRPr="00F641C0" w14:paraId="0B4B0B17" w14:textId="77777777" w:rsidTr="00FD5FBA">
        <w:trPr>
          <w:trHeight w:val="300"/>
        </w:trPr>
        <w:tc>
          <w:tcPr>
            <w:tcW w:w="3287" w:type="dxa"/>
            <w:noWrap/>
            <w:hideMark/>
          </w:tcPr>
          <w:p w14:paraId="5540E049" w14:textId="77777777" w:rsidR="00785623" w:rsidRPr="00F641C0" w:rsidRDefault="00785623" w:rsidP="00FD5FBA">
            <w:r w:rsidRPr="00F641C0">
              <w:t>Regulatory Support</w:t>
            </w:r>
          </w:p>
        </w:tc>
        <w:tc>
          <w:tcPr>
            <w:tcW w:w="1300" w:type="dxa"/>
            <w:noWrap/>
            <w:hideMark/>
          </w:tcPr>
          <w:p w14:paraId="34E94063" w14:textId="77777777" w:rsidR="00785623" w:rsidRPr="00F641C0" w:rsidRDefault="00785623" w:rsidP="00FD5FBA">
            <w:r w:rsidRPr="00F641C0">
              <w:t>0</w:t>
            </w:r>
          </w:p>
        </w:tc>
        <w:tc>
          <w:tcPr>
            <w:tcW w:w="1300" w:type="dxa"/>
            <w:noWrap/>
            <w:hideMark/>
          </w:tcPr>
          <w:p w14:paraId="7357F712" w14:textId="77777777" w:rsidR="00785623" w:rsidRPr="00F641C0" w:rsidRDefault="00785623" w:rsidP="00FD5FBA">
            <w:r w:rsidRPr="00F641C0">
              <w:t>220.995</w:t>
            </w:r>
          </w:p>
        </w:tc>
        <w:tc>
          <w:tcPr>
            <w:tcW w:w="1300" w:type="dxa"/>
            <w:noWrap/>
            <w:hideMark/>
          </w:tcPr>
          <w:p w14:paraId="10AE56F7" w14:textId="77777777" w:rsidR="00785623" w:rsidRPr="00F641C0" w:rsidRDefault="00785623" w:rsidP="00FD5FBA">
            <w:r w:rsidRPr="00F641C0">
              <w:t>220.995</w:t>
            </w:r>
          </w:p>
        </w:tc>
      </w:tr>
      <w:tr w:rsidR="00785623" w:rsidRPr="00F641C0" w14:paraId="117E33D4" w14:textId="77777777" w:rsidTr="00FD5FBA">
        <w:trPr>
          <w:trHeight w:val="300"/>
        </w:trPr>
        <w:tc>
          <w:tcPr>
            <w:tcW w:w="3287" w:type="dxa"/>
            <w:noWrap/>
            <w:hideMark/>
          </w:tcPr>
          <w:p w14:paraId="58F51E29" w14:textId="77777777" w:rsidR="00785623" w:rsidRPr="00F641C0" w:rsidRDefault="00785623" w:rsidP="00FD5FBA">
            <w:r w:rsidRPr="00F641C0">
              <w:t>Street Lighting</w:t>
            </w:r>
          </w:p>
        </w:tc>
        <w:tc>
          <w:tcPr>
            <w:tcW w:w="1300" w:type="dxa"/>
            <w:noWrap/>
            <w:hideMark/>
          </w:tcPr>
          <w:p w14:paraId="4E92FC8F" w14:textId="77777777" w:rsidR="00785623" w:rsidRPr="00F641C0" w:rsidRDefault="00785623" w:rsidP="00FD5FBA">
            <w:r w:rsidRPr="00F641C0">
              <w:t>91.751.000</w:t>
            </w:r>
          </w:p>
        </w:tc>
        <w:tc>
          <w:tcPr>
            <w:tcW w:w="1300" w:type="dxa"/>
            <w:noWrap/>
            <w:hideMark/>
          </w:tcPr>
          <w:p w14:paraId="77EFE8D7" w14:textId="77777777" w:rsidR="00785623" w:rsidRPr="00F641C0" w:rsidRDefault="00785623" w:rsidP="00FD5FBA">
            <w:r w:rsidRPr="00F641C0">
              <w:t>1.041.000</w:t>
            </w:r>
          </w:p>
        </w:tc>
        <w:tc>
          <w:tcPr>
            <w:tcW w:w="1300" w:type="dxa"/>
            <w:noWrap/>
            <w:hideMark/>
          </w:tcPr>
          <w:p w14:paraId="49C479B7" w14:textId="77777777" w:rsidR="00785623" w:rsidRPr="00F641C0" w:rsidRDefault="00785623" w:rsidP="00FD5FBA">
            <w:r w:rsidRPr="00F641C0">
              <w:t>92.792.000</w:t>
            </w:r>
          </w:p>
        </w:tc>
      </w:tr>
      <w:tr w:rsidR="00785623" w:rsidRPr="00F641C0" w14:paraId="1E92F547" w14:textId="77777777" w:rsidTr="00FD5FBA">
        <w:trPr>
          <w:trHeight w:val="300"/>
        </w:trPr>
        <w:tc>
          <w:tcPr>
            <w:tcW w:w="3287" w:type="dxa"/>
            <w:noWrap/>
            <w:hideMark/>
          </w:tcPr>
          <w:p w14:paraId="31971765" w14:textId="77777777" w:rsidR="00785623" w:rsidRPr="00F641C0" w:rsidRDefault="00785623" w:rsidP="00FD5FBA">
            <w:r w:rsidRPr="00F641C0">
              <w:t>Power restoration and modernization</w:t>
            </w:r>
          </w:p>
        </w:tc>
        <w:tc>
          <w:tcPr>
            <w:tcW w:w="1300" w:type="dxa"/>
            <w:noWrap/>
            <w:hideMark/>
          </w:tcPr>
          <w:p w14:paraId="0C694D32" w14:textId="77777777" w:rsidR="00785623" w:rsidRPr="00F641C0" w:rsidRDefault="00785623" w:rsidP="00FD5FBA">
            <w:r w:rsidRPr="00F641C0">
              <w:t>87.644.000</w:t>
            </w:r>
          </w:p>
        </w:tc>
        <w:tc>
          <w:tcPr>
            <w:tcW w:w="1300" w:type="dxa"/>
            <w:noWrap/>
            <w:hideMark/>
          </w:tcPr>
          <w:p w14:paraId="3EC31FED" w14:textId="77777777" w:rsidR="00785623" w:rsidRPr="00F641C0" w:rsidRDefault="00785623" w:rsidP="00FD5FBA">
            <w:r w:rsidRPr="00F641C0">
              <w:t>211.000</w:t>
            </w:r>
          </w:p>
        </w:tc>
        <w:tc>
          <w:tcPr>
            <w:tcW w:w="1300" w:type="dxa"/>
            <w:noWrap/>
            <w:hideMark/>
          </w:tcPr>
          <w:p w14:paraId="5EAC99BE" w14:textId="77777777" w:rsidR="00785623" w:rsidRPr="00F641C0" w:rsidRDefault="00785623" w:rsidP="00FD5FBA">
            <w:r w:rsidRPr="00F641C0">
              <w:t>87.855.000</w:t>
            </w:r>
          </w:p>
        </w:tc>
      </w:tr>
      <w:tr w:rsidR="00785623" w:rsidRPr="00F641C0" w14:paraId="6259B101" w14:textId="77777777" w:rsidTr="00FD5FBA">
        <w:trPr>
          <w:trHeight w:val="300"/>
        </w:trPr>
        <w:tc>
          <w:tcPr>
            <w:tcW w:w="3287" w:type="dxa"/>
            <w:noWrap/>
            <w:hideMark/>
          </w:tcPr>
          <w:p w14:paraId="06D863D0" w14:textId="77777777" w:rsidR="00785623" w:rsidRPr="00F641C0" w:rsidRDefault="00785623" w:rsidP="00FD5FBA">
            <w:r w:rsidRPr="00F641C0">
              <w:t>Project Preparation</w:t>
            </w:r>
          </w:p>
        </w:tc>
        <w:tc>
          <w:tcPr>
            <w:tcW w:w="1300" w:type="dxa"/>
            <w:noWrap/>
            <w:hideMark/>
          </w:tcPr>
          <w:p w14:paraId="3679CCD3" w14:textId="77777777" w:rsidR="00785623" w:rsidRPr="00F641C0" w:rsidRDefault="00785623" w:rsidP="00FD5FBA">
            <w:r w:rsidRPr="00F641C0">
              <w:t>0</w:t>
            </w:r>
          </w:p>
        </w:tc>
        <w:tc>
          <w:tcPr>
            <w:tcW w:w="1300" w:type="dxa"/>
            <w:noWrap/>
            <w:hideMark/>
          </w:tcPr>
          <w:p w14:paraId="79B37F35" w14:textId="77777777" w:rsidR="00785623" w:rsidRPr="00F641C0" w:rsidRDefault="00785623" w:rsidP="00FD5FBA">
            <w:r w:rsidRPr="00F641C0">
              <w:t>33.245.030</w:t>
            </w:r>
          </w:p>
        </w:tc>
        <w:tc>
          <w:tcPr>
            <w:tcW w:w="1300" w:type="dxa"/>
            <w:noWrap/>
            <w:hideMark/>
          </w:tcPr>
          <w:p w14:paraId="76241C2C" w14:textId="77777777" w:rsidR="00785623" w:rsidRPr="00F641C0" w:rsidRDefault="00785623" w:rsidP="00FD5FBA">
            <w:r w:rsidRPr="00F641C0">
              <w:t>33.245.030</w:t>
            </w:r>
          </w:p>
        </w:tc>
      </w:tr>
      <w:tr w:rsidR="00785623" w:rsidRPr="00F641C0" w14:paraId="7F87C4C2" w14:textId="77777777" w:rsidTr="00FD5FBA">
        <w:trPr>
          <w:trHeight w:val="300"/>
        </w:trPr>
        <w:tc>
          <w:tcPr>
            <w:tcW w:w="3287" w:type="dxa"/>
            <w:noWrap/>
            <w:hideMark/>
          </w:tcPr>
          <w:p w14:paraId="25E8584B" w14:textId="77777777" w:rsidR="00785623" w:rsidRPr="00F641C0" w:rsidRDefault="00785623" w:rsidP="00FD5FBA">
            <w:r w:rsidRPr="00F641C0">
              <w:t>Rehabilitation</w:t>
            </w:r>
          </w:p>
        </w:tc>
        <w:tc>
          <w:tcPr>
            <w:tcW w:w="1300" w:type="dxa"/>
            <w:noWrap/>
            <w:hideMark/>
          </w:tcPr>
          <w:p w14:paraId="5D90026C" w14:textId="77777777" w:rsidR="00785623" w:rsidRPr="00F641C0" w:rsidRDefault="00785623" w:rsidP="00FD5FBA">
            <w:r w:rsidRPr="00F641C0">
              <w:t>0</w:t>
            </w:r>
          </w:p>
        </w:tc>
        <w:tc>
          <w:tcPr>
            <w:tcW w:w="1300" w:type="dxa"/>
            <w:noWrap/>
            <w:hideMark/>
          </w:tcPr>
          <w:p w14:paraId="78B9C684" w14:textId="77777777" w:rsidR="00785623" w:rsidRPr="00F641C0" w:rsidRDefault="00785623" w:rsidP="00FD5FBA">
            <w:r w:rsidRPr="00F641C0">
              <w:t>2.850.000</w:t>
            </w:r>
          </w:p>
        </w:tc>
        <w:tc>
          <w:tcPr>
            <w:tcW w:w="1300" w:type="dxa"/>
            <w:noWrap/>
            <w:hideMark/>
          </w:tcPr>
          <w:p w14:paraId="0A01BBA1" w14:textId="77777777" w:rsidR="00785623" w:rsidRPr="00F641C0" w:rsidRDefault="00785623" w:rsidP="00FD5FBA">
            <w:r w:rsidRPr="00F641C0">
              <w:t>2.850.000</w:t>
            </w:r>
          </w:p>
        </w:tc>
      </w:tr>
      <w:tr w:rsidR="00785623" w:rsidRPr="00F641C0" w14:paraId="2C49BDE9" w14:textId="77777777" w:rsidTr="00FD5FBA">
        <w:trPr>
          <w:trHeight w:val="300"/>
        </w:trPr>
        <w:tc>
          <w:tcPr>
            <w:tcW w:w="3287" w:type="dxa"/>
            <w:noWrap/>
            <w:hideMark/>
          </w:tcPr>
          <w:p w14:paraId="16944C4D" w14:textId="77777777" w:rsidR="00785623" w:rsidRPr="00F641C0" w:rsidRDefault="00785623" w:rsidP="00FD5FBA">
            <w:r w:rsidRPr="00F641C0">
              <w:t>Conventional Energy</w:t>
            </w:r>
          </w:p>
        </w:tc>
        <w:tc>
          <w:tcPr>
            <w:tcW w:w="1300" w:type="dxa"/>
            <w:noWrap/>
            <w:hideMark/>
          </w:tcPr>
          <w:p w14:paraId="523FE955" w14:textId="77777777" w:rsidR="00785623" w:rsidRPr="00F641C0" w:rsidRDefault="00785623" w:rsidP="00FD5FBA">
            <w:r w:rsidRPr="00F641C0">
              <w:t>6.230.000</w:t>
            </w:r>
          </w:p>
        </w:tc>
        <w:tc>
          <w:tcPr>
            <w:tcW w:w="1300" w:type="dxa"/>
            <w:noWrap/>
            <w:hideMark/>
          </w:tcPr>
          <w:p w14:paraId="78E74707" w14:textId="77777777" w:rsidR="00785623" w:rsidRPr="00F641C0" w:rsidRDefault="00785623" w:rsidP="00FD5FBA">
            <w:r w:rsidRPr="00F641C0">
              <w:t>0</w:t>
            </w:r>
          </w:p>
        </w:tc>
        <w:tc>
          <w:tcPr>
            <w:tcW w:w="1300" w:type="dxa"/>
            <w:noWrap/>
            <w:hideMark/>
          </w:tcPr>
          <w:p w14:paraId="5B9CDFFC" w14:textId="77777777" w:rsidR="00785623" w:rsidRPr="00F641C0" w:rsidRDefault="00785623" w:rsidP="00FD5FBA">
            <w:r w:rsidRPr="00F641C0">
              <w:t>6.230.000</w:t>
            </w:r>
          </w:p>
        </w:tc>
      </w:tr>
      <w:tr w:rsidR="00785623" w:rsidRPr="00F641C0" w14:paraId="02FB1DCC" w14:textId="77777777" w:rsidTr="00FD5FBA">
        <w:trPr>
          <w:trHeight w:val="300"/>
        </w:trPr>
        <w:tc>
          <w:tcPr>
            <w:tcW w:w="3287" w:type="dxa"/>
            <w:noWrap/>
            <w:hideMark/>
          </w:tcPr>
          <w:p w14:paraId="240754AF" w14:textId="77777777" w:rsidR="00785623" w:rsidRPr="00F641C0" w:rsidRDefault="00785623" w:rsidP="00FD5FBA">
            <w:pPr>
              <w:rPr>
                <w:b/>
              </w:rPr>
            </w:pPr>
            <w:r w:rsidRPr="00F641C0">
              <w:rPr>
                <w:b/>
              </w:rPr>
              <w:t>Total</w:t>
            </w:r>
          </w:p>
        </w:tc>
        <w:tc>
          <w:tcPr>
            <w:tcW w:w="1300" w:type="dxa"/>
            <w:noWrap/>
            <w:hideMark/>
          </w:tcPr>
          <w:p w14:paraId="48488A87" w14:textId="77777777" w:rsidR="00785623" w:rsidRPr="00F641C0" w:rsidRDefault="00785623" w:rsidP="00FD5FBA">
            <w:pPr>
              <w:rPr>
                <w:b/>
              </w:rPr>
            </w:pPr>
            <w:r w:rsidRPr="00F641C0">
              <w:rPr>
                <w:b/>
              </w:rPr>
              <w:t>193.419.300</w:t>
            </w:r>
          </w:p>
        </w:tc>
        <w:tc>
          <w:tcPr>
            <w:tcW w:w="1300" w:type="dxa"/>
            <w:noWrap/>
            <w:hideMark/>
          </w:tcPr>
          <w:p w14:paraId="21F7256D" w14:textId="77777777" w:rsidR="00785623" w:rsidRPr="00F641C0" w:rsidRDefault="00785623" w:rsidP="00FD5FBA">
            <w:pPr>
              <w:rPr>
                <w:b/>
              </w:rPr>
            </w:pPr>
            <w:r w:rsidRPr="00F641C0">
              <w:rPr>
                <w:b/>
              </w:rPr>
              <w:t>49.954.167</w:t>
            </w:r>
          </w:p>
        </w:tc>
        <w:tc>
          <w:tcPr>
            <w:tcW w:w="1300" w:type="dxa"/>
            <w:noWrap/>
            <w:hideMark/>
          </w:tcPr>
          <w:p w14:paraId="21638BE9" w14:textId="77777777" w:rsidR="00785623" w:rsidRPr="00F641C0" w:rsidRDefault="00785623" w:rsidP="00FD5FBA">
            <w:pPr>
              <w:rPr>
                <w:b/>
              </w:rPr>
            </w:pPr>
            <w:r w:rsidRPr="00F641C0">
              <w:rPr>
                <w:b/>
              </w:rPr>
              <w:t>243.373.467</w:t>
            </w:r>
          </w:p>
        </w:tc>
      </w:tr>
    </w:tbl>
    <w:p w14:paraId="76B2DEC4" w14:textId="77777777" w:rsidR="00785623" w:rsidRDefault="00785623" w:rsidP="00785623">
      <w:pPr>
        <w:rPr>
          <w:i/>
          <w:u w:val="single"/>
        </w:rPr>
      </w:pPr>
    </w:p>
    <w:p w14:paraId="4719063B" w14:textId="77777777" w:rsidR="00785623" w:rsidRDefault="00785623" w:rsidP="00785623">
      <w:pPr>
        <w:ind w:firstLine="720"/>
        <w:rPr>
          <w:i/>
          <w:u w:val="single"/>
        </w:rPr>
      </w:pPr>
    </w:p>
    <w:p w14:paraId="2610EE1C" w14:textId="77777777" w:rsidR="00785623" w:rsidRPr="00AA0EC5" w:rsidRDefault="00785623" w:rsidP="00785623">
      <w:pPr>
        <w:spacing w:after="160" w:line="259" w:lineRule="auto"/>
        <w:rPr>
          <w:b/>
        </w:rPr>
      </w:pPr>
      <w:r w:rsidRPr="00AA0EC5">
        <w:rPr>
          <w:b/>
        </w:rPr>
        <w:t>Technical Assistance</w:t>
      </w:r>
    </w:p>
    <w:p w14:paraId="728B787E" w14:textId="77777777" w:rsidR="00785623" w:rsidRPr="002F0765" w:rsidRDefault="00785623" w:rsidP="00785623">
      <w:pPr>
        <w:rPr>
          <w:i/>
          <w:u w:val="single"/>
        </w:rPr>
      </w:pPr>
    </w:p>
    <w:p w14:paraId="6B9A6F2F" w14:textId="77777777" w:rsidR="00785623" w:rsidRPr="001D1C5C" w:rsidRDefault="00785623" w:rsidP="00785623">
      <w:pPr>
        <w:pStyle w:val="ListParagraph"/>
        <w:numPr>
          <w:ilvl w:val="0"/>
          <w:numId w:val="35"/>
        </w:numPr>
        <w:spacing w:after="160" w:line="259" w:lineRule="auto"/>
        <w:ind w:left="0" w:firstLine="0"/>
        <w:contextualSpacing/>
      </w:pPr>
      <w:r>
        <w:t>Table 3</w:t>
      </w:r>
      <w:r w:rsidRPr="001D1C5C">
        <w:t xml:space="preserve"> provides data on the TAs provided.  CDB committed USD 4.591.525 in TA resources</w:t>
      </w:r>
      <w:r>
        <w:t>,</w:t>
      </w:r>
      <w:r w:rsidRPr="001D1C5C">
        <w:t xml:space="preserve"> with regional interventions accounting for 41.84% of the resources</w:t>
      </w:r>
      <w:r>
        <w:t>.</w:t>
      </w:r>
      <w:r w:rsidRPr="001D1C5C">
        <w:t xml:space="preserve"> Grenada received the largest percentage of TA resources during the</w:t>
      </w:r>
      <w:r>
        <w:t xml:space="preserve"> </w:t>
      </w:r>
      <w:r w:rsidRPr="001D1C5C">
        <w:t xml:space="preserve">2015-2020 period of approximately USD </w:t>
      </w:r>
      <w:r w:rsidRPr="001D1C5C">
        <w:rPr>
          <w:lang w:val="en-US"/>
        </w:rPr>
        <w:t>1.040.030</w:t>
      </w:r>
      <w:r w:rsidRPr="001D1C5C">
        <w:t xml:space="preserve">. </w:t>
      </w:r>
    </w:p>
    <w:p w14:paraId="1EA85031" w14:textId="77777777" w:rsidR="00785623" w:rsidRPr="00240EC9" w:rsidRDefault="00785623" w:rsidP="00785623">
      <w:pPr>
        <w:pStyle w:val="Caption"/>
        <w:rPr>
          <w:b/>
          <w:lang w:val="en-US"/>
        </w:rPr>
      </w:pPr>
      <w:r>
        <w:t xml:space="preserve">Table </w:t>
      </w:r>
      <w:r>
        <w:fldChar w:fldCharType="begin"/>
      </w:r>
      <w:r>
        <w:instrText xml:space="preserve"> SEQ Table \* ARABIC </w:instrText>
      </w:r>
      <w:r>
        <w:fldChar w:fldCharType="separate"/>
      </w:r>
      <w:r>
        <w:rPr>
          <w:noProof/>
        </w:rPr>
        <w:t>4</w:t>
      </w:r>
      <w:r>
        <w:fldChar w:fldCharType="end"/>
      </w:r>
      <w:r>
        <w:t xml:space="preserve"> -  TA Resources by Country 2015-2020</w:t>
      </w:r>
    </w:p>
    <w:tbl>
      <w:tblPr>
        <w:tblStyle w:val="TableGrid"/>
        <w:tblW w:w="0" w:type="auto"/>
        <w:tblLook w:val="04A0" w:firstRow="1" w:lastRow="0" w:firstColumn="1" w:lastColumn="0" w:noHBand="0" w:noVBand="1"/>
      </w:tblPr>
      <w:tblGrid>
        <w:gridCol w:w="2960"/>
        <w:gridCol w:w="1066"/>
        <w:gridCol w:w="766"/>
      </w:tblGrid>
      <w:tr w:rsidR="00785623" w:rsidRPr="00472029" w14:paraId="1F45FE92" w14:textId="77777777" w:rsidTr="00FD5FBA">
        <w:trPr>
          <w:trHeight w:val="227"/>
        </w:trPr>
        <w:tc>
          <w:tcPr>
            <w:tcW w:w="0" w:type="auto"/>
            <w:noWrap/>
            <w:hideMark/>
          </w:tcPr>
          <w:p w14:paraId="3A1933DB" w14:textId="77777777" w:rsidR="00785623" w:rsidRPr="00472029" w:rsidRDefault="00785623" w:rsidP="00FD5FBA">
            <w:pPr>
              <w:spacing w:after="160" w:line="259" w:lineRule="auto"/>
            </w:pPr>
          </w:p>
        </w:tc>
        <w:tc>
          <w:tcPr>
            <w:tcW w:w="0" w:type="auto"/>
            <w:noWrap/>
            <w:hideMark/>
          </w:tcPr>
          <w:p w14:paraId="73E71A0B" w14:textId="77777777" w:rsidR="00785623" w:rsidRPr="00472029" w:rsidRDefault="00785623" w:rsidP="00FD5FBA">
            <w:pPr>
              <w:rPr>
                <w:lang w:val="en-US"/>
              </w:rPr>
            </w:pPr>
            <w:r>
              <w:t>TA Grants</w:t>
            </w:r>
          </w:p>
        </w:tc>
        <w:tc>
          <w:tcPr>
            <w:tcW w:w="0" w:type="auto"/>
            <w:noWrap/>
            <w:hideMark/>
          </w:tcPr>
          <w:p w14:paraId="03DF0EC3" w14:textId="77777777" w:rsidR="00785623" w:rsidRPr="00472029" w:rsidRDefault="00785623" w:rsidP="00FD5FBA">
            <w:pPr>
              <w:rPr>
                <w:lang w:val="en-US"/>
              </w:rPr>
            </w:pPr>
            <w:r w:rsidRPr="00472029">
              <w:rPr>
                <w:lang w:val="en-US"/>
              </w:rPr>
              <w:t>%</w:t>
            </w:r>
          </w:p>
        </w:tc>
      </w:tr>
      <w:tr w:rsidR="00785623" w:rsidRPr="00472029" w14:paraId="12A0B961" w14:textId="77777777" w:rsidTr="00FD5FBA">
        <w:trPr>
          <w:trHeight w:val="227"/>
        </w:trPr>
        <w:tc>
          <w:tcPr>
            <w:tcW w:w="0" w:type="auto"/>
            <w:noWrap/>
            <w:vAlign w:val="bottom"/>
            <w:hideMark/>
          </w:tcPr>
          <w:p w14:paraId="5B43F590" w14:textId="77777777" w:rsidR="00785623" w:rsidRPr="00472029" w:rsidRDefault="00785623" w:rsidP="00FD5FBA">
            <w:pPr>
              <w:rPr>
                <w:lang w:val="en-US"/>
              </w:rPr>
            </w:pPr>
            <w:r w:rsidRPr="001D1C5C">
              <w:rPr>
                <w:rFonts w:eastAsiaTheme="minorHAnsi"/>
                <w:sz w:val="22"/>
                <w:szCs w:val="22"/>
              </w:rPr>
              <w:t>Dominica</w:t>
            </w:r>
          </w:p>
        </w:tc>
        <w:tc>
          <w:tcPr>
            <w:tcW w:w="0" w:type="auto"/>
            <w:noWrap/>
            <w:hideMark/>
          </w:tcPr>
          <w:p w14:paraId="59307CF0" w14:textId="77777777" w:rsidR="00785623" w:rsidRPr="00472029" w:rsidRDefault="00785623" w:rsidP="00FD5FBA">
            <w:pPr>
              <w:rPr>
                <w:lang w:val="en-US"/>
              </w:rPr>
            </w:pPr>
            <w:r w:rsidRPr="00472029">
              <w:rPr>
                <w:lang w:val="en-US"/>
              </w:rPr>
              <w:t>127.000</w:t>
            </w:r>
          </w:p>
        </w:tc>
        <w:tc>
          <w:tcPr>
            <w:tcW w:w="0" w:type="auto"/>
            <w:noWrap/>
            <w:hideMark/>
          </w:tcPr>
          <w:p w14:paraId="3435E50B" w14:textId="77777777" w:rsidR="00785623" w:rsidRPr="00472029" w:rsidRDefault="00785623" w:rsidP="00FD5FBA">
            <w:pPr>
              <w:rPr>
                <w:lang w:val="en-US"/>
              </w:rPr>
            </w:pPr>
            <w:r w:rsidRPr="00472029">
              <w:rPr>
                <w:lang w:val="en-US"/>
              </w:rPr>
              <w:t>2,77</w:t>
            </w:r>
          </w:p>
        </w:tc>
      </w:tr>
      <w:tr w:rsidR="00785623" w:rsidRPr="00472029" w14:paraId="060AAF7A" w14:textId="77777777" w:rsidTr="00FD5FBA">
        <w:trPr>
          <w:trHeight w:val="227"/>
        </w:trPr>
        <w:tc>
          <w:tcPr>
            <w:tcW w:w="0" w:type="auto"/>
            <w:noWrap/>
            <w:vAlign w:val="bottom"/>
            <w:hideMark/>
          </w:tcPr>
          <w:p w14:paraId="3AF484AC" w14:textId="77777777" w:rsidR="00785623" w:rsidRPr="00472029" w:rsidRDefault="00785623" w:rsidP="00FD5FBA">
            <w:pPr>
              <w:rPr>
                <w:lang w:val="en-US"/>
              </w:rPr>
            </w:pPr>
            <w:r w:rsidRPr="001D1C5C">
              <w:rPr>
                <w:rFonts w:eastAsiaTheme="minorHAnsi"/>
                <w:sz w:val="22"/>
                <w:szCs w:val="22"/>
              </w:rPr>
              <w:t>Antigua and Barbuda</w:t>
            </w:r>
          </w:p>
        </w:tc>
        <w:tc>
          <w:tcPr>
            <w:tcW w:w="0" w:type="auto"/>
            <w:noWrap/>
            <w:hideMark/>
          </w:tcPr>
          <w:p w14:paraId="51928A6F" w14:textId="77777777" w:rsidR="00785623" w:rsidRPr="00472029" w:rsidRDefault="00785623" w:rsidP="00FD5FBA">
            <w:pPr>
              <w:rPr>
                <w:lang w:val="en-US"/>
              </w:rPr>
            </w:pPr>
            <w:r w:rsidRPr="00472029">
              <w:rPr>
                <w:lang w:val="en-US"/>
              </w:rPr>
              <w:t>149.500</w:t>
            </w:r>
          </w:p>
        </w:tc>
        <w:tc>
          <w:tcPr>
            <w:tcW w:w="0" w:type="auto"/>
            <w:noWrap/>
            <w:hideMark/>
          </w:tcPr>
          <w:p w14:paraId="7DD596E4" w14:textId="77777777" w:rsidR="00785623" w:rsidRPr="00472029" w:rsidRDefault="00785623" w:rsidP="00FD5FBA">
            <w:pPr>
              <w:rPr>
                <w:lang w:val="en-US"/>
              </w:rPr>
            </w:pPr>
            <w:r w:rsidRPr="00472029">
              <w:rPr>
                <w:lang w:val="en-US"/>
              </w:rPr>
              <w:t>3,26</w:t>
            </w:r>
          </w:p>
        </w:tc>
      </w:tr>
      <w:tr w:rsidR="00785623" w:rsidRPr="00472029" w14:paraId="7B5F302A" w14:textId="77777777" w:rsidTr="00FD5FBA">
        <w:trPr>
          <w:trHeight w:val="227"/>
        </w:trPr>
        <w:tc>
          <w:tcPr>
            <w:tcW w:w="0" w:type="auto"/>
            <w:noWrap/>
            <w:vAlign w:val="bottom"/>
            <w:hideMark/>
          </w:tcPr>
          <w:p w14:paraId="62FA9E87" w14:textId="77777777" w:rsidR="00785623" w:rsidRPr="00472029" w:rsidRDefault="00785623" w:rsidP="00FD5FBA">
            <w:pPr>
              <w:rPr>
                <w:lang w:val="en-US"/>
              </w:rPr>
            </w:pPr>
            <w:r w:rsidRPr="001D1C5C">
              <w:rPr>
                <w:rFonts w:eastAsiaTheme="minorHAnsi"/>
                <w:sz w:val="22"/>
                <w:szCs w:val="22"/>
              </w:rPr>
              <w:t>Anguilla</w:t>
            </w:r>
          </w:p>
        </w:tc>
        <w:tc>
          <w:tcPr>
            <w:tcW w:w="0" w:type="auto"/>
            <w:noWrap/>
            <w:hideMark/>
          </w:tcPr>
          <w:p w14:paraId="43A09E9F" w14:textId="77777777" w:rsidR="00785623" w:rsidRPr="00472029" w:rsidRDefault="00785623" w:rsidP="00FD5FBA">
            <w:pPr>
              <w:rPr>
                <w:lang w:val="en-US"/>
              </w:rPr>
            </w:pPr>
            <w:r w:rsidRPr="00472029">
              <w:rPr>
                <w:lang w:val="en-US"/>
              </w:rPr>
              <w:t>109.000</w:t>
            </w:r>
          </w:p>
        </w:tc>
        <w:tc>
          <w:tcPr>
            <w:tcW w:w="0" w:type="auto"/>
            <w:noWrap/>
            <w:hideMark/>
          </w:tcPr>
          <w:p w14:paraId="03F22417" w14:textId="77777777" w:rsidR="00785623" w:rsidRPr="00472029" w:rsidRDefault="00785623" w:rsidP="00FD5FBA">
            <w:pPr>
              <w:rPr>
                <w:lang w:val="en-US"/>
              </w:rPr>
            </w:pPr>
            <w:r w:rsidRPr="00472029">
              <w:rPr>
                <w:lang w:val="en-US"/>
              </w:rPr>
              <w:t>2,37</w:t>
            </w:r>
          </w:p>
        </w:tc>
      </w:tr>
      <w:tr w:rsidR="00785623" w:rsidRPr="00472029" w14:paraId="5DB11BE2" w14:textId="77777777" w:rsidTr="00FD5FBA">
        <w:trPr>
          <w:trHeight w:val="227"/>
        </w:trPr>
        <w:tc>
          <w:tcPr>
            <w:tcW w:w="0" w:type="auto"/>
            <w:noWrap/>
            <w:vAlign w:val="bottom"/>
            <w:hideMark/>
          </w:tcPr>
          <w:p w14:paraId="0DC7A2BD" w14:textId="77777777" w:rsidR="00785623" w:rsidRPr="00472029" w:rsidRDefault="00785623" w:rsidP="00FD5FBA">
            <w:pPr>
              <w:rPr>
                <w:lang w:val="en-US"/>
              </w:rPr>
            </w:pPr>
            <w:r w:rsidRPr="001D1C5C">
              <w:rPr>
                <w:rFonts w:eastAsiaTheme="minorHAnsi"/>
                <w:sz w:val="22"/>
                <w:szCs w:val="22"/>
              </w:rPr>
              <w:t>Barbados</w:t>
            </w:r>
          </w:p>
        </w:tc>
        <w:tc>
          <w:tcPr>
            <w:tcW w:w="0" w:type="auto"/>
            <w:noWrap/>
            <w:hideMark/>
          </w:tcPr>
          <w:p w14:paraId="3EBADA4B" w14:textId="77777777" w:rsidR="00785623" w:rsidRPr="00472029" w:rsidRDefault="00785623" w:rsidP="00FD5FBA">
            <w:pPr>
              <w:rPr>
                <w:lang w:val="en-US"/>
              </w:rPr>
            </w:pPr>
            <w:r w:rsidRPr="00472029">
              <w:rPr>
                <w:lang w:val="en-US"/>
              </w:rPr>
              <w:t>100.000</w:t>
            </w:r>
          </w:p>
        </w:tc>
        <w:tc>
          <w:tcPr>
            <w:tcW w:w="0" w:type="auto"/>
            <w:noWrap/>
            <w:hideMark/>
          </w:tcPr>
          <w:p w14:paraId="21553A7A" w14:textId="77777777" w:rsidR="00785623" w:rsidRPr="00472029" w:rsidRDefault="00785623" w:rsidP="00FD5FBA">
            <w:pPr>
              <w:rPr>
                <w:lang w:val="en-US"/>
              </w:rPr>
            </w:pPr>
            <w:r w:rsidRPr="00472029">
              <w:rPr>
                <w:lang w:val="en-US"/>
              </w:rPr>
              <w:t>2,18</w:t>
            </w:r>
          </w:p>
        </w:tc>
      </w:tr>
      <w:tr w:rsidR="00785623" w:rsidRPr="00472029" w14:paraId="780EAF7C" w14:textId="77777777" w:rsidTr="00FD5FBA">
        <w:trPr>
          <w:trHeight w:val="227"/>
        </w:trPr>
        <w:tc>
          <w:tcPr>
            <w:tcW w:w="0" w:type="auto"/>
            <w:noWrap/>
            <w:vAlign w:val="bottom"/>
            <w:hideMark/>
          </w:tcPr>
          <w:p w14:paraId="6E878477" w14:textId="77777777" w:rsidR="00785623" w:rsidRPr="00472029" w:rsidRDefault="00785623" w:rsidP="00FD5FBA">
            <w:pPr>
              <w:rPr>
                <w:lang w:val="en-US"/>
              </w:rPr>
            </w:pPr>
            <w:r w:rsidRPr="001D1C5C">
              <w:rPr>
                <w:rFonts w:eastAsiaTheme="minorHAnsi"/>
                <w:sz w:val="22"/>
                <w:szCs w:val="22"/>
              </w:rPr>
              <w:t>Grenada</w:t>
            </w:r>
          </w:p>
        </w:tc>
        <w:tc>
          <w:tcPr>
            <w:tcW w:w="0" w:type="auto"/>
            <w:noWrap/>
            <w:hideMark/>
          </w:tcPr>
          <w:p w14:paraId="5FF1C17D" w14:textId="77777777" w:rsidR="00785623" w:rsidRPr="00472029" w:rsidRDefault="00785623" w:rsidP="00FD5FBA">
            <w:pPr>
              <w:rPr>
                <w:lang w:val="en-US"/>
              </w:rPr>
            </w:pPr>
            <w:r w:rsidRPr="00472029">
              <w:rPr>
                <w:lang w:val="en-US"/>
              </w:rPr>
              <w:t>1.040.030</w:t>
            </w:r>
          </w:p>
        </w:tc>
        <w:tc>
          <w:tcPr>
            <w:tcW w:w="0" w:type="auto"/>
            <w:noWrap/>
            <w:hideMark/>
          </w:tcPr>
          <w:p w14:paraId="5898C6C7" w14:textId="77777777" w:rsidR="00785623" w:rsidRPr="00472029" w:rsidRDefault="00785623" w:rsidP="00FD5FBA">
            <w:pPr>
              <w:rPr>
                <w:lang w:val="en-US"/>
              </w:rPr>
            </w:pPr>
            <w:r w:rsidRPr="00472029">
              <w:rPr>
                <w:lang w:val="en-US"/>
              </w:rPr>
              <w:t>22,65</w:t>
            </w:r>
          </w:p>
        </w:tc>
      </w:tr>
      <w:tr w:rsidR="00785623" w:rsidRPr="00472029" w14:paraId="58DA0082" w14:textId="77777777" w:rsidTr="00FD5FBA">
        <w:trPr>
          <w:trHeight w:val="227"/>
        </w:trPr>
        <w:tc>
          <w:tcPr>
            <w:tcW w:w="0" w:type="auto"/>
            <w:noWrap/>
            <w:vAlign w:val="bottom"/>
            <w:hideMark/>
          </w:tcPr>
          <w:p w14:paraId="666F172A" w14:textId="77777777" w:rsidR="00785623" w:rsidRPr="00472029" w:rsidRDefault="00785623" w:rsidP="00FD5FBA">
            <w:pPr>
              <w:rPr>
                <w:lang w:val="en-US"/>
              </w:rPr>
            </w:pPr>
            <w:r w:rsidRPr="001D1C5C">
              <w:rPr>
                <w:rFonts w:eastAsiaTheme="minorHAnsi"/>
                <w:sz w:val="22"/>
                <w:szCs w:val="22"/>
              </w:rPr>
              <w:t>Jamaica</w:t>
            </w:r>
          </w:p>
        </w:tc>
        <w:tc>
          <w:tcPr>
            <w:tcW w:w="0" w:type="auto"/>
            <w:noWrap/>
            <w:hideMark/>
          </w:tcPr>
          <w:p w14:paraId="4ED88E7C" w14:textId="77777777" w:rsidR="00785623" w:rsidRPr="00472029" w:rsidRDefault="00785623" w:rsidP="00FD5FBA">
            <w:pPr>
              <w:rPr>
                <w:lang w:val="en-US"/>
              </w:rPr>
            </w:pPr>
            <w:r w:rsidRPr="00472029">
              <w:rPr>
                <w:lang w:val="en-US"/>
              </w:rPr>
              <w:t>126.000</w:t>
            </w:r>
          </w:p>
        </w:tc>
        <w:tc>
          <w:tcPr>
            <w:tcW w:w="0" w:type="auto"/>
            <w:noWrap/>
            <w:hideMark/>
          </w:tcPr>
          <w:p w14:paraId="64DEF7EC" w14:textId="77777777" w:rsidR="00785623" w:rsidRPr="00472029" w:rsidRDefault="00785623" w:rsidP="00FD5FBA">
            <w:pPr>
              <w:rPr>
                <w:lang w:val="en-US"/>
              </w:rPr>
            </w:pPr>
            <w:r w:rsidRPr="00472029">
              <w:rPr>
                <w:lang w:val="en-US"/>
              </w:rPr>
              <w:t>2,74</w:t>
            </w:r>
          </w:p>
        </w:tc>
      </w:tr>
      <w:tr w:rsidR="00785623" w:rsidRPr="00472029" w14:paraId="0F98F87F" w14:textId="77777777" w:rsidTr="00FD5FBA">
        <w:trPr>
          <w:trHeight w:val="227"/>
        </w:trPr>
        <w:tc>
          <w:tcPr>
            <w:tcW w:w="0" w:type="auto"/>
            <w:noWrap/>
            <w:vAlign w:val="bottom"/>
            <w:hideMark/>
          </w:tcPr>
          <w:p w14:paraId="3E526B05" w14:textId="77777777" w:rsidR="00785623" w:rsidRPr="00472029" w:rsidRDefault="00785623" w:rsidP="00FD5FBA">
            <w:pPr>
              <w:rPr>
                <w:lang w:val="en-US"/>
              </w:rPr>
            </w:pPr>
            <w:r w:rsidRPr="001D1C5C">
              <w:rPr>
                <w:rFonts w:eastAsiaTheme="minorHAnsi"/>
                <w:sz w:val="22"/>
                <w:szCs w:val="22"/>
              </w:rPr>
              <w:t>Regional Interventions</w:t>
            </w:r>
          </w:p>
        </w:tc>
        <w:tc>
          <w:tcPr>
            <w:tcW w:w="0" w:type="auto"/>
            <w:noWrap/>
            <w:hideMark/>
          </w:tcPr>
          <w:p w14:paraId="7AE078F4" w14:textId="77777777" w:rsidR="00785623" w:rsidRPr="00472029" w:rsidRDefault="00785623" w:rsidP="00FD5FBA">
            <w:pPr>
              <w:rPr>
                <w:lang w:val="en-US"/>
              </w:rPr>
            </w:pPr>
            <w:r w:rsidRPr="00472029">
              <w:rPr>
                <w:lang w:val="en-US"/>
              </w:rPr>
              <w:t>1.921.116</w:t>
            </w:r>
          </w:p>
        </w:tc>
        <w:tc>
          <w:tcPr>
            <w:tcW w:w="0" w:type="auto"/>
            <w:noWrap/>
            <w:hideMark/>
          </w:tcPr>
          <w:p w14:paraId="108D1630" w14:textId="77777777" w:rsidR="00785623" w:rsidRPr="00472029" w:rsidRDefault="00785623" w:rsidP="00FD5FBA">
            <w:pPr>
              <w:rPr>
                <w:lang w:val="en-US"/>
              </w:rPr>
            </w:pPr>
            <w:r w:rsidRPr="00472029">
              <w:rPr>
                <w:lang w:val="en-US"/>
              </w:rPr>
              <w:t>41,84</w:t>
            </w:r>
          </w:p>
        </w:tc>
      </w:tr>
      <w:tr w:rsidR="00785623" w:rsidRPr="00472029" w14:paraId="16A6DFE2" w14:textId="77777777" w:rsidTr="00FD5FBA">
        <w:trPr>
          <w:trHeight w:val="227"/>
        </w:trPr>
        <w:tc>
          <w:tcPr>
            <w:tcW w:w="0" w:type="auto"/>
            <w:noWrap/>
            <w:vAlign w:val="bottom"/>
            <w:hideMark/>
          </w:tcPr>
          <w:p w14:paraId="7A81D76E" w14:textId="77777777" w:rsidR="00785623" w:rsidRPr="00472029" w:rsidRDefault="00785623" w:rsidP="00FD5FBA">
            <w:pPr>
              <w:rPr>
                <w:lang w:val="en-US"/>
              </w:rPr>
            </w:pPr>
            <w:r w:rsidRPr="001D1C5C">
              <w:rPr>
                <w:rFonts w:eastAsiaTheme="minorHAnsi"/>
                <w:sz w:val="22"/>
                <w:szCs w:val="22"/>
              </w:rPr>
              <w:t>St. Kitts and Nevis</w:t>
            </w:r>
          </w:p>
        </w:tc>
        <w:tc>
          <w:tcPr>
            <w:tcW w:w="0" w:type="auto"/>
            <w:noWrap/>
            <w:hideMark/>
          </w:tcPr>
          <w:p w14:paraId="6232991C" w14:textId="77777777" w:rsidR="00785623" w:rsidRPr="00472029" w:rsidRDefault="00785623" w:rsidP="00FD5FBA">
            <w:pPr>
              <w:rPr>
                <w:lang w:val="en-US"/>
              </w:rPr>
            </w:pPr>
            <w:r w:rsidRPr="00472029">
              <w:rPr>
                <w:lang w:val="en-US"/>
              </w:rPr>
              <w:t>737.900</w:t>
            </w:r>
          </w:p>
        </w:tc>
        <w:tc>
          <w:tcPr>
            <w:tcW w:w="0" w:type="auto"/>
            <w:noWrap/>
            <w:hideMark/>
          </w:tcPr>
          <w:p w14:paraId="4A28B4A4" w14:textId="77777777" w:rsidR="00785623" w:rsidRPr="00472029" w:rsidRDefault="00785623" w:rsidP="00FD5FBA">
            <w:pPr>
              <w:rPr>
                <w:lang w:val="en-US"/>
              </w:rPr>
            </w:pPr>
            <w:r w:rsidRPr="00472029">
              <w:rPr>
                <w:lang w:val="en-US"/>
              </w:rPr>
              <w:t>16,07</w:t>
            </w:r>
          </w:p>
        </w:tc>
      </w:tr>
      <w:tr w:rsidR="00785623" w:rsidRPr="00472029" w14:paraId="26E9B245" w14:textId="77777777" w:rsidTr="00FD5FBA">
        <w:trPr>
          <w:trHeight w:val="227"/>
        </w:trPr>
        <w:tc>
          <w:tcPr>
            <w:tcW w:w="0" w:type="auto"/>
            <w:noWrap/>
            <w:vAlign w:val="bottom"/>
            <w:hideMark/>
          </w:tcPr>
          <w:p w14:paraId="1AE78E96" w14:textId="77777777" w:rsidR="00785623" w:rsidRPr="00472029" w:rsidRDefault="00785623" w:rsidP="00FD5FBA">
            <w:pPr>
              <w:rPr>
                <w:lang w:val="en-US"/>
              </w:rPr>
            </w:pPr>
            <w:r w:rsidRPr="001D1C5C">
              <w:rPr>
                <w:rFonts w:eastAsiaTheme="minorHAnsi"/>
                <w:sz w:val="22"/>
                <w:szCs w:val="22"/>
              </w:rPr>
              <w:t>St. Lucia</w:t>
            </w:r>
          </w:p>
        </w:tc>
        <w:tc>
          <w:tcPr>
            <w:tcW w:w="0" w:type="auto"/>
            <w:noWrap/>
            <w:hideMark/>
          </w:tcPr>
          <w:p w14:paraId="4055CDC9" w14:textId="77777777" w:rsidR="00785623" w:rsidRPr="00472029" w:rsidRDefault="00785623" w:rsidP="00FD5FBA">
            <w:pPr>
              <w:rPr>
                <w:lang w:val="en-US"/>
              </w:rPr>
            </w:pPr>
            <w:r w:rsidRPr="00472029">
              <w:rPr>
                <w:lang w:val="en-US"/>
              </w:rPr>
              <w:t>45.000</w:t>
            </w:r>
          </w:p>
        </w:tc>
        <w:tc>
          <w:tcPr>
            <w:tcW w:w="0" w:type="auto"/>
            <w:noWrap/>
            <w:hideMark/>
          </w:tcPr>
          <w:p w14:paraId="36C461D3" w14:textId="77777777" w:rsidR="00785623" w:rsidRPr="00472029" w:rsidRDefault="00785623" w:rsidP="00FD5FBA">
            <w:pPr>
              <w:rPr>
                <w:lang w:val="en-US"/>
              </w:rPr>
            </w:pPr>
            <w:r w:rsidRPr="00472029">
              <w:rPr>
                <w:lang w:val="en-US"/>
              </w:rPr>
              <w:t>0,98</w:t>
            </w:r>
          </w:p>
        </w:tc>
      </w:tr>
      <w:tr w:rsidR="00785623" w:rsidRPr="00472029" w14:paraId="0EE8BF71" w14:textId="77777777" w:rsidTr="00FD5FBA">
        <w:trPr>
          <w:trHeight w:val="227"/>
        </w:trPr>
        <w:tc>
          <w:tcPr>
            <w:tcW w:w="0" w:type="auto"/>
            <w:noWrap/>
            <w:vAlign w:val="bottom"/>
            <w:hideMark/>
          </w:tcPr>
          <w:p w14:paraId="6E68DA01" w14:textId="77777777" w:rsidR="00785623" w:rsidRPr="00472029" w:rsidRDefault="00785623" w:rsidP="00FD5FBA">
            <w:pPr>
              <w:rPr>
                <w:lang w:val="en-US"/>
              </w:rPr>
            </w:pPr>
            <w:r w:rsidRPr="001D1C5C">
              <w:rPr>
                <w:rFonts w:eastAsiaTheme="minorHAnsi"/>
                <w:sz w:val="22"/>
                <w:szCs w:val="22"/>
              </w:rPr>
              <w:t>Suriname</w:t>
            </w:r>
          </w:p>
        </w:tc>
        <w:tc>
          <w:tcPr>
            <w:tcW w:w="0" w:type="auto"/>
            <w:noWrap/>
            <w:hideMark/>
          </w:tcPr>
          <w:p w14:paraId="47804981" w14:textId="77777777" w:rsidR="00785623" w:rsidRPr="00472029" w:rsidRDefault="00785623" w:rsidP="00FD5FBA">
            <w:pPr>
              <w:rPr>
                <w:lang w:val="en-US"/>
              </w:rPr>
            </w:pPr>
            <w:r w:rsidRPr="00472029">
              <w:rPr>
                <w:lang w:val="en-US"/>
              </w:rPr>
              <w:t>163.479</w:t>
            </w:r>
          </w:p>
        </w:tc>
        <w:tc>
          <w:tcPr>
            <w:tcW w:w="0" w:type="auto"/>
            <w:noWrap/>
            <w:hideMark/>
          </w:tcPr>
          <w:p w14:paraId="1F90BE7F" w14:textId="77777777" w:rsidR="00785623" w:rsidRPr="00472029" w:rsidRDefault="00785623" w:rsidP="00FD5FBA">
            <w:pPr>
              <w:rPr>
                <w:lang w:val="en-US"/>
              </w:rPr>
            </w:pPr>
            <w:r w:rsidRPr="00472029">
              <w:rPr>
                <w:lang w:val="en-US"/>
              </w:rPr>
              <w:t>3,56</w:t>
            </w:r>
          </w:p>
        </w:tc>
      </w:tr>
      <w:tr w:rsidR="00785623" w:rsidRPr="00472029" w14:paraId="6C28252C" w14:textId="77777777" w:rsidTr="00FD5FBA">
        <w:trPr>
          <w:trHeight w:val="227"/>
        </w:trPr>
        <w:tc>
          <w:tcPr>
            <w:tcW w:w="0" w:type="auto"/>
            <w:noWrap/>
            <w:vAlign w:val="bottom"/>
            <w:hideMark/>
          </w:tcPr>
          <w:p w14:paraId="12051976" w14:textId="77777777" w:rsidR="00785623" w:rsidRPr="00472029" w:rsidRDefault="00785623" w:rsidP="00FD5FBA">
            <w:pPr>
              <w:rPr>
                <w:lang w:val="en-US"/>
              </w:rPr>
            </w:pPr>
            <w:r w:rsidRPr="001D1C5C">
              <w:rPr>
                <w:rFonts w:eastAsiaTheme="minorHAnsi"/>
                <w:sz w:val="22"/>
                <w:szCs w:val="22"/>
              </w:rPr>
              <w:t>St. Vincent and the Grenadines</w:t>
            </w:r>
          </w:p>
        </w:tc>
        <w:tc>
          <w:tcPr>
            <w:tcW w:w="0" w:type="auto"/>
            <w:noWrap/>
            <w:hideMark/>
          </w:tcPr>
          <w:p w14:paraId="68AE7B50" w14:textId="77777777" w:rsidR="00785623" w:rsidRPr="00472029" w:rsidRDefault="00785623" w:rsidP="00FD5FBA">
            <w:pPr>
              <w:rPr>
                <w:lang w:val="en-US"/>
              </w:rPr>
            </w:pPr>
            <w:r w:rsidRPr="00472029">
              <w:rPr>
                <w:lang w:val="en-US"/>
              </w:rPr>
              <w:t>72.500</w:t>
            </w:r>
          </w:p>
        </w:tc>
        <w:tc>
          <w:tcPr>
            <w:tcW w:w="0" w:type="auto"/>
            <w:noWrap/>
            <w:hideMark/>
          </w:tcPr>
          <w:p w14:paraId="08BD95CA" w14:textId="77777777" w:rsidR="00785623" w:rsidRPr="00472029" w:rsidRDefault="00785623" w:rsidP="00FD5FBA">
            <w:pPr>
              <w:rPr>
                <w:lang w:val="en-US"/>
              </w:rPr>
            </w:pPr>
            <w:r w:rsidRPr="00472029">
              <w:rPr>
                <w:lang w:val="en-US"/>
              </w:rPr>
              <w:t>1,58</w:t>
            </w:r>
          </w:p>
        </w:tc>
      </w:tr>
      <w:tr w:rsidR="00785623" w:rsidRPr="00472029" w14:paraId="301E61EB" w14:textId="77777777" w:rsidTr="00FD5FBA">
        <w:trPr>
          <w:trHeight w:val="227"/>
        </w:trPr>
        <w:tc>
          <w:tcPr>
            <w:tcW w:w="0" w:type="auto"/>
            <w:noWrap/>
            <w:hideMark/>
          </w:tcPr>
          <w:p w14:paraId="5B26EB10" w14:textId="77777777" w:rsidR="00785623" w:rsidRPr="00472029" w:rsidRDefault="00785623" w:rsidP="00FD5FBA">
            <w:pPr>
              <w:rPr>
                <w:lang w:val="en-US"/>
              </w:rPr>
            </w:pPr>
            <w:r w:rsidRPr="00472029">
              <w:rPr>
                <w:lang w:val="en-US"/>
              </w:rPr>
              <w:t>Total</w:t>
            </w:r>
          </w:p>
        </w:tc>
        <w:tc>
          <w:tcPr>
            <w:tcW w:w="0" w:type="auto"/>
            <w:noWrap/>
            <w:hideMark/>
          </w:tcPr>
          <w:p w14:paraId="7F14BC2B" w14:textId="77777777" w:rsidR="00785623" w:rsidRPr="00472029" w:rsidRDefault="00785623" w:rsidP="00FD5FBA">
            <w:pPr>
              <w:rPr>
                <w:lang w:val="en-US"/>
              </w:rPr>
            </w:pPr>
            <w:r w:rsidRPr="00472029">
              <w:rPr>
                <w:lang w:val="en-US"/>
              </w:rPr>
              <w:t>4.591.525</w:t>
            </w:r>
          </w:p>
        </w:tc>
        <w:tc>
          <w:tcPr>
            <w:tcW w:w="0" w:type="auto"/>
            <w:noWrap/>
            <w:hideMark/>
          </w:tcPr>
          <w:p w14:paraId="5983CB62" w14:textId="77777777" w:rsidR="00785623" w:rsidRPr="00472029" w:rsidRDefault="00785623" w:rsidP="00FD5FBA">
            <w:pPr>
              <w:rPr>
                <w:lang w:val="en-US"/>
              </w:rPr>
            </w:pPr>
            <w:r w:rsidRPr="00472029">
              <w:rPr>
                <w:lang w:val="en-US"/>
              </w:rPr>
              <w:t>100,00</w:t>
            </w:r>
          </w:p>
        </w:tc>
      </w:tr>
    </w:tbl>
    <w:p w14:paraId="189F3CC1" w14:textId="77777777" w:rsidR="00785623" w:rsidRPr="00472029" w:rsidRDefault="00785623" w:rsidP="00785623">
      <w:pPr>
        <w:rPr>
          <w:highlight w:val="red"/>
        </w:rPr>
      </w:pPr>
    </w:p>
    <w:p w14:paraId="4470F369" w14:textId="77777777" w:rsidR="00785623" w:rsidRDefault="00785623" w:rsidP="00785623">
      <w:pPr>
        <w:widowControl w:val="0"/>
        <w:autoSpaceDE w:val="0"/>
        <w:autoSpaceDN w:val="0"/>
        <w:adjustRightInd w:val="0"/>
        <w:spacing w:after="240" w:line="180" w:lineRule="atLeast"/>
        <w:rPr>
          <w:b/>
        </w:rPr>
      </w:pPr>
    </w:p>
    <w:p w14:paraId="3C36DDCF" w14:textId="77777777" w:rsidR="00785623" w:rsidRPr="00A62519" w:rsidRDefault="00785623" w:rsidP="00785623">
      <w:pPr>
        <w:widowControl w:val="0"/>
        <w:autoSpaceDE w:val="0"/>
        <w:autoSpaceDN w:val="0"/>
        <w:adjustRightInd w:val="0"/>
        <w:spacing w:after="240" w:line="180" w:lineRule="atLeast"/>
        <w:rPr>
          <w:rFonts w:ascii="Times" w:hAnsi="Times" w:cs="Times"/>
          <w:color w:val="000000" w:themeColor="text1"/>
        </w:rPr>
      </w:pPr>
      <w:r w:rsidRPr="00A62519">
        <w:rPr>
          <w:b/>
        </w:rPr>
        <w:t>The Sustainable Energy Facility (SEF) for the Eastern Caribbean countries</w:t>
      </w:r>
    </w:p>
    <w:p w14:paraId="1FE81FCC" w14:textId="77777777" w:rsidR="00785623" w:rsidRDefault="00785623" w:rsidP="00785623">
      <w:pPr>
        <w:pStyle w:val="ListParagraph"/>
        <w:widowControl w:val="0"/>
        <w:numPr>
          <w:ilvl w:val="0"/>
          <w:numId w:val="30"/>
        </w:numPr>
        <w:autoSpaceDE w:val="0"/>
        <w:autoSpaceDN w:val="0"/>
        <w:adjustRightInd w:val="0"/>
        <w:spacing w:after="240" w:line="360" w:lineRule="atLeast"/>
        <w:contextualSpacing/>
        <w:jc w:val="both"/>
      </w:pPr>
      <w:r w:rsidRPr="00186274">
        <w:t>The Sustainable Energy Facility (SEF)</w:t>
      </w:r>
      <w:r w:rsidDel="00DF3A3C">
        <w:t xml:space="preserve"> </w:t>
      </w:r>
      <w:r>
        <w:t xml:space="preserve">to OECS countries </w:t>
      </w:r>
      <w:r w:rsidDel="00DF3A3C">
        <w:t>(</w:t>
      </w:r>
      <w:r w:rsidRPr="00186274">
        <w:t xml:space="preserve">Antigua and Barbuda, Dominica, Grenada, Saint Kitts, and Nevis, Saint Lucia, and Saint Vincent and the Grenadines) is a loan and grant package provided </w:t>
      </w:r>
      <w:r>
        <w:t>by</w:t>
      </w:r>
      <w:r w:rsidRPr="00186274">
        <w:t xml:space="preserve"> the Inter-American Development Bank (IDB) to CDB for</w:t>
      </w:r>
      <w:r>
        <w:t xml:space="preserve"> on-lending in</w:t>
      </w:r>
      <w:r w:rsidRPr="00186274">
        <w:t xml:space="preserve"> RE/EE but with a focus on Geothermal development. </w:t>
      </w:r>
    </w:p>
    <w:p w14:paraId="2718A788" w14:textId="77777777" w:rsidR="00785623" w:rsidRDefault="00785623" w:rsidP="00785623">
      <w:pPr>
        <w:pStyle w:val="ListParagraph"/>
        <w:widowControl w:val="0"/>
        <w:numPr>
          <w:ilvl w:val="0"/>
          <w:numId w:val="30"/>
        </w:numPr>
        <w:autoSpaceDE w:val="0"/>
        <w:autoSpaceDN w:val="0"/>
        <w:adjustRightInd w:val="0"/>
        <w:spacing w:after="240" w:line="360" w:lineRule="atLeast"/>
        <w:contextualSpacing/>
        <w:jc w:val="both"/>
      </w:pPr>
      <w:r w:rsidRPr="003F5294">
        <w:lastRenderedPageBreak/>
        <w:t>The SEF's objective is to diversify the</w:t>
      </w:r>
      <w:r w:rsidRPr="003F5294" w:rsidDel="009F2063">
        <w:t xml:space="preserve"> </w:t>
      </w:r>
      <w:r>
        <w:t>OECS</w:t>
      </w:r>
      <w:r w:rsidRPr="003F5294">
        <w:t xml:space="preserve"> energy matrix to reduce the cost of power generation and electricity prices. The SEF supports the implementation of Energy Efficiency (EE) and Renewable Energy (RE) technologies, with particular emphasis on geothermal energy (GE), to reduce the region's dependency on liquid fossil fuels for power generation. The SEF supports to overcome barriers to the development of RE and EE projects by providing concessional funding and technical assistance. </w:t>
      </w:r>
    </w:p>
    <w:p w14:paraId="77DFDEC0" w14:textId="77777777" w:rsidR="00785623" w:rsidRDefault="00785623" w:rsidP="00785623">
      <w:pPr>
        <w:pStyle w:val="ListParagraph"/>
        <w:widowControl w:val="0"/>
        <w:numPr>
          <w:ilvl w:val="0"/>
          <w:numId w:val="30"/>
        </w:numPr>
        <w:autoSpaceDE w:val="0"/>
        <w:autoSpaceDN w:val="0"/>
        <w:adjustRightInd w:val="0"/>
        <w:spacing w:after="240" w:line="360" w:lineRule="atLeast"/>
        <w:contextualSpacing/>
        <w:jc w:val="both"/>
      </w:pPr>
      <w:r w:rsidRPr="003F5294">
        <w:t xml:space="preserve">The SEF aims to facilitate or lead </w:t>
      </w:r>
      <w:r>
        <w:t>to</w:t>
      </w:r>
      <w:r w:rsidRPr="003F5294">
        <w:t xml:space="preserve"> the substitution of up to 60MW</w:t>
      </w:r>
      <w:r>
        <w:rPr>
          <w:rStyle w:val="FootnoteReference"/>
        </w:rPr>
        <w:footnoteReference w:id="6"/>
      </w:r>
      <w:r w:rsidRPr="003F5294">
        <w:t xml:space="preserve"> </w:t>
      </w:r>
      <w:r>
        <w:t>o</w:t>
      </w:r>
      <w:r w:rsidRPr="003F5294">
        <w:t xml:space="preserve">f liquid fossil fuel-based generation with geothermal power, representing about 70 percent of current aggregated baseload demand for the ECC. </w:t>
      </w:r>
      <w:r>
        <w:t xml:space="preserve">It also funds </w:t>
      </w:r>
      <w:r w:rsidRPr="003F5294">
        <w:t xml:space="preserve">EE projects, with emphasis on retrofitting </w:t>
      </w:r>
      <w:proofErr w:type="gramStart"/>
      <w:r w:rsidRPr="003F5294">
        <w:t>street lights</w:t>
      </w:r>
      <w:proofErr w:type="gramEnd"/>
      <w:r w:rsidRPr="003F5294">
        <w:t xml:space="preserve"> and public buildings.</w:t>
      </w:r>
    </w:p>
    <w:p w14:paraId="62715D7D" w14:textId="77777777" w:rsidR="00785623" w:rsidRPr="003F5294" w:rsidRDefault="00785623" w:rsidP="00785623">
      <w:pPr>
        <w:pStyle w:val="ListParagraph"/>
        <w:widowControl w:val="0"/>
        <w:numPr>
          <w:ilvl w:val="0"/>
          <w:numId w:val="30"/>
        </w:numPr>
        <w:autoSpaceDE w:val="0"/>
        <w:autoSpaceDN w:val="0"/>
        <w:adjustRightInd w:val="0"/>
        <w:spacing w:after="240" w:line="360" w:lineRule="atLeast"/>
        <w:contextualSpacing/>
        <w:jc w:val="both"/>
      </w:pPr>
      <w:r w:rsidRPr="003F5294">
        <w:t xml:space="preserve">The SEF is expected to result in: </w:t>
      </w:r>
    </w:p>
    <w:p w14:paraId="321C7A6C" w14:textId="77777777" w:rsidR="00785623" w:rsidRPr="002C78DE" w:rsidRDefault="00785623" w:rsidP="00785623">
      <w:pPr>
        <w:pStyle w:val="ListParagraph"/>
        <w:widowControl w:val="0"/>
        <w:numPr>
          <w:ilvl w:val="0"/>
          <w:numId w:val="32"/>
        </w:numPr>
        <w:autoSpaceDE w:val="0"/>
        <w:autoSpaceDN w:val="0"/>
        <w:adjustRightInd w:val="0"/>
        <w:spacing w:after="240" w:line="360" w:lineRule="atLeast"/>
        <w:contextualSpacing/>
        <w:jc w:val="both"/>
      </w:pPr>
      <w:r w:rsidRPr="002C78DE">
        <w:t>A reduction from an estimated average cost of service of US$0.33/kWh (at a fuel price of US$70 per barrel) to US$0.27/kWh (a 17 percent reduction</w:t>
      </w:r>
      <w:proofErr w:type="gramStart"/>
      <w:r w:rsidRPr="002C78DE">
        <w:t>)</w:t>
      </w:r>
      <w:r>
        <w:t>;</w:t>
      </w:r>
      <w:proofErr w:type="gramEnd"/>
      <w:r w:rsidRPr="002C78DE">
        <w:t xml:space="preserve"> </w:t>
      </w:r>
      <w:r w:rsidRPr="002C78DE">
        <w:rPr>
          <w:rFonts w:ascii="MS Mincho" w:eastAsia="MS Mincho" w:hAnsi="MS Mincho" w:cs="MS Mincho"/>
        </w:rPr>
        <w:t> </w:t>
      </w:r>
    </w:p>
    <w:p w14:paraId="09915E4D" w14:textId="77777777" w:rsidR="00785623" w:rsidRDefault="00785623" w:rsidP="00785623">
      <w:pPr>
        <w:pStyle w:val="ListParagraph"/>
        <w:widowControl w:val="0"/>
        <w:numPr>
          <w:ilvl w:val="0"/>
          <w:numId w:val="32"/>
        </w:numPr>
        <w:autoSpaceDE w:val="0"/>
        <w:autoSpaceDN w:val="0"/>
        <w:adjustRightInd w:val="0"/>
        <w:spacing w:after="240" w:line="360" w:lineRule="atLeast"/>
        <w:contextualSpacing/>
        <w:jc w:val="both"/>
      </w:pPr>
      <w:r w:rsidRPr="002C78DE">
        <w:t>A reduction in fossil fuel imports of 802,000 barrels per year (a 44 percent annual reduction, when the EC imports ~1.8 million barrels/year). This would reduce the average fuel imports by US$56 million at an oil price of US$70 per barrel (or US$40million at an oil price of US$ 50 per barrel</w:t>
      </w:r>
      <w:proofErr w:type="gramStart"/>
      <w:r w:rsidRPr="002C78DE">
        <w:t>)</w:t>
      </w:r>
      <w:r>
        <w:t>;</w:t>
      </w:r>
      <w:proofErr w:type="gramEnd"/>
    </w:p>
    <w:p w14:paraId="28DB5404" w14:textId="77777777" w:rsidR="00785623" w:rsidRDefault="00785623" w:rsidP="00785623">
      <w:pPr>
        <w:pStyle w:val="ListParagraph"/>
        <w:widowControl w:val="0"/>
        <w:numPr>
          <w:ilvl w:val="0"/>
          <w:numId w:val="32"/>
        </w:numPr>
        <w:autoSpaceDE w:val="0"/>
        <w:autoSpaceDN w:val="0"/>
        <w:adjustRightInd w:val="0"/>
        <w:spacing w:after="240" w:line="360" w:lineRule="atLeast"/>
        <w:contextualSpacing/>
        <w:jc w:val="both"/>
      </w:pPr>
      <w:r w:rsidRPr="002C78DE">
        <w:t>Reductions in CO</w:t>
      </w:r>
      <w:r w:rsidRPr="002C78DE">
        <w:rPr>
          <w:vertAlign w:val="subscript"/>
        </w:rPr>
        <w:t>2</w:t>
      </w:r>
      <w:r w:rsidRPr="002C78DE">
        <w:t xml:space="preserve"> emissions of 375,930 metric tons per year. </w:t>
      </w:r>
    </w:p>
    <w:p w14:paraId="0132DF18" w14:textId="77777777" w:rsidR="00785623" w:rsidRPr="003F5294" w:rsidRDefault="00785623" w:rsidP="00785623">
      <w:pPr>
        <w:pStyle w:val="ListParagraph"/>
        <w:widowControl w:val="0"/>
        <w:numPr>
          <w:ilvl w:val="0"/>
          <w:numId w:val="30"/>
        </w:numPr>
        <w:autoSpaceDE w:val="0"/>
        <w:autoSpaceDN w:val="0"/>
        <w:adjustRightInd w:val="0"/>
        <w:spacing w:after="240" w:line="360" w:lineRule="atLeast"/>
        <w:contextualSpacing/>
        <w:jc w:val="both"/>
      </w:pPr>
      <w:r w:rsidRPr="003F5294">
        <w:t>The SEF supports the implementation of RE and EE projects through three components: Component 1 providing funding for EE projects; Component 2 providing financing for a regulatory framework, institutional strengthening, and capac</w:t>
      </w:r>
      <w:r>
        <w:t>ity building; Component 3 focusing</w:t>
      </w:r>
      <w:r w:rsidRPr="003F5294">
        <w:t xml:space="preserve"> on RE projects, including geothermal energy and other RE. Table 2 summari</w:t>
      </w:r>
      <w:r>
        <w:t>z</w:t>
      </w:r>
      <w:r w:rsidRPr="003F5294">
        <w:t>es the components of SEF, the type of activities funded, the kind of funding, and the source of funding.</w:t>
      </w:r>
    </w:p>
    <w:p w14:paraId="17A553B1" w14:textId="77777777" w:rsidR="00785623" w:rsidRPr="0025257B" w:rsidRDefault="00785623" w:rsidP="00785623">
      <w:pPr>
        <w:pStyle w:val="Caption"/>
        <w:rPr>
          <w:rFonts w:ascii="Times New Roman" w:hAnsi="Times New Roman" w:cs="Times New Roman"/>
          <w:color w:val="auto"/>
          <w:sz w:val="22"/>
          <w:szCs w:val="22"/>
        </w:rPr>
      </w:pPr>
      <w:r>
        <w:t xml:space="preserve">Table </w:t>
      </w:r>
      <w:r>
        <w:fldChar w:fldCharType="begin"/>
      </w:r>
      <w:r>
        <w:instrText>SEQ Table \* ARABIC</w:instrText>
      </w:r>
      <w:r>
        <w:fldChar w:fldCharType="separate"/>
      </w:r>
      <w:r>
        <w:rPr>
          <w:noProof/>
        </w:rPr>
        <w:t>2</w:t>
      </w:r>
      <w:r>
        <w:fldChar w:fldCharType="end"/>
      </w:r>
      <w:r>
        <w:t xml:space="preserve"> – Components of the SEF</w:t>
      </w:r>
    </w:p>
    <w:tbl>
      <w:tblPr>
        <w:tblStyle w:val="TableGrid"/>
        <w:tblW w:w="0" w:type="auto"/>
        <w:tblLook w:val="04A0" w:firstRow="1" w:lastRow="0" w:firstColumn="1" w:lastColumn="0" w:noHBand="0" w:noVBand="1"/>
      </w:tblPr>
      <w:tblGrid>
        <w:gridCol w:w="1494"/>
        <w:gridCol w:w="1836"/>
        <w:gridCol w:w="3413"/>
        <w:gridCol w:w="2607"/>
      </w:tblGrid>
      <w:tr w:rsidR="00785623" w14:paraId="051FF7E8" w14:textId="77777777" w:rsidTr="00FD5FBA">
        <w:trPr>
          <w:trHeight w:val="759"/>
        </w:trPr>
        <w:tc>
          <w:tcPr>
            <w:tcW w:w="1243" w:type="dxa"/>
          </w:tcPr>
          <w:p w14:paraId="3C887B14" w14:textId="77777777" w:rsidR="00785623" w:rsidRPr="001C22A6" w:rsidRDefault="00785623" w:rsidP="00FD5FBA">
            <w:pPr>
              <w:spacing w:after="240" w:line="300" w:lineRule="atLeast"/>
              <w:rPr>
                <w:color w:val="000000"/>
              </w:rPr>
            </w:pPr>
            <w:r w:rsidRPr="001C22A6">
              <w:rPr>
                <w:color w:val="000000"/>
              </w:rPr>
              <w:t>Component</w:t>
            </w:r>
          </w:p>
        </w:tc>
        <w:tc>
          <w:tcPr>
            <w:tcW w:w="1871" w:type="dxa"/>
          </w:tcPr>
          <w:p w14:paraId="5AE68212" w14:textId="77777777" w:rsidR="00785623" w:rsidRPr="001C22A6" w:rsidRDefault="00785623" w:rsidP="00FD5FBA">
            <w:pPr>
              <w:rPr>
                <w:color w:val="000000"/>
              </w:rPr>
            </w:pPr>
            <w:r w:rsidRPr="001C22A6">
              <w:rPr>
                <w:color w:val="000000"/>
              </w:rPr>
              <w:t>Component 1</w:t>
            </w:r>
          </w:p>
          <w:p w14:paraId="5818DFED" w14:textId="77777777" w:rsidR="00785623" w:rsidRPr="001C22A6" w:rsidRDefault="00785623" w:rsidP="00FD5FBA">
            <w:pPr>
              <w:rPr>
                <w:color w:val="000000"/>
              </w:rPr>
            </w:pPr>
            <w:r w:rsidRPr="001C22A6">
              <w:rPr>
                <w:color w:val="000000"/>
              </w:rPr>
              <w:t>Energy Efficiency</w:t>
            </w:r>
          </w:p>
        </w:tc>
        <w:tc>
          <w:tcPr>
            <w:tcW w:w="3544" w:type="dxa"/>
          </w:tcPr>
          <w:p w14:paraId="4D537CCF" w14:textId="77777777" w:rsidR="00785623" w:rsidRPr="001C22A6" w:rsidRDefault="00785623" w:rsidP="00FD5FBA">
            <w:pPr>
              <w:rPr>
                <w:color w:val="000000"/>
              </w:rPr>
            </w:pPr>
            <w:r w:rsidRPr="001C22A6">
              <w:rPr>
                <w:color w:val="000000"/>
              </w:rPr>
              <w:t>Component 2</w:t>
            </w:r>
          </w:p>
          <w:p w14:paraId="16E7F8C1" w14:textId="77777777" w:rsidR="00785623" w:rsidRPr="001C22A6" w:rsidRDefault="00785623" w:rsidP="00FD5FBA">
            <w:pPr>
              <w:rPr>
                <w:color w:val="000000"/>
              </w:rPr>
            </w:pPr>
            <w:r w:rsidRPr="001C22A6">
              <w:rPr>
                <w:color w:val="000000"/>
              </w:rPr>
              <w:t>Regulatory Framework, Institutional Strengthening, and Capacity Building</w:t>
            </w:r>
          </w:p>
        </w:tc>
        <w:tc>
          <w:tcPr>
            <w:tcW w:w="2692" w:type="dxa"/>
          </w:tcPr>
          <w:p w14:paraId="5C3EB8A3" w14:textId="77777777" w:rsidR="00785623" w:rsidRPr="001C22A6" w:rsidRDefault="00785623" w:rsidP="00FD5FBA">
            <w:pPr>
              <w:rPr>
                <w:color w:val="000000"/>
              </w:rPr>
            </w:pPr>
            <w:r w:rsidRPr="001C22A6">
              <w:rPr>
                <w:color w:val="000000"/>
              </w:rPr>
              <w:t>Component 3</w:t>
            </w:r>
          </w:p>
          <w:p w14:paraId="6D3E2BB7" w14:textId="77777777" w:rsidR="00785623" w:rsidRPr="001C22A6" w:rsidRDefault="00785623" w:rsidP="00FD5FBA">
            <w:pPr>
              <w:rPr>
                <w:color w:val="000000"/>
              </w:rPr>
            </w:pPr>
            <w:r w:rsidRPr="001C22A6">
              <w:rPr>
                <w:color w:val="000000"/>
              </w:rPr>
              <w:t>Renewable Energy</w:t>
            </w:r>
          </w:p>
        </w:tc>
      </w:tr>
      <w:tr w:rsidR="00785623" w14:paraId="1CC3F5A0" w14:textId="77777777" w:rsidTr="00FD5FBA">
        <w:tc>
          <w:tcPr>
            <w:tcW w:w="1243" w:type="dxa"/>
          </w:tcPr>
          <w:p w14:paraId="36762C77" w14:textId="77777777" w:rsidR="00785623" w:rsidRPr="001C22A6" w:rsidRDefault="00785623" w:rsidP="00FD5FBA">
            <w:pPr>
              <w:spacing w:after="240" w:line="300" w:lineRule="atLeast"/>
              <w:rPr>
                <w:color w:val="000000"/>
              </w:rPr>
            </w:pPr>
            <w:r w:rsidRPr="001C22A6">
              <w:rPr>
                <w:color w:val="000000"/>
              </w:rPr>
              <w:t>Type of Activities Funded</w:t>
            </w:r>
          </w:p>
        </w:tc>
        <w:tc>
          <w:tcPr>
            <w:tcW w:w="1871" w:type="dxa"/>
          </w:tcPr>
          <w:p w14:paraId="6E949902" w14:textId="77777777" w:rsidR="00785623" w:rsidRPr="001C22A6" w:rsidRDefault="00785623" w:rsidP="00FD5FBA">
            <w:pPr>
              <w:spacing w:after="240" w:line="300" w:lineRule="atLeast"/>
              <w:rPr>
                <w:color w:val="000000"/>
              </w:rPr>
            </w:pPr>
            <w:r w:rsidRPr="001C22A6">
              <w:rPr>
                <w:color w:val="000000"/>
              </w:rPr>
              <w:t xml:space="preserve">Retrofitting government buildings and installing or replacing streetlights with </w:t>
            </w:r>
            <w:r w:rsidRPr="001C22A6">
              <w:rPr>
                <w:color w:val="000000"/>
              </w:rPr>
              <w:lastRenderedPageBreak/>
              <w:t xml:space="preserve">energy-efficient ones </w:t>
            </w:r>
          </w:p>
          <w:p w14:paraId="55BEE261" w14:textId="77777777" w:rsidR="00785623" w:rsidRPr="001C22A6" w:rsidRDefault="00785623" w:rsidP="00FD5FBA">
            <w:pPr>
              <w:spacing w:after="240" w:line="360" w:lineRule="atLeast"/>
              <w:rPr>
                <w:color w:val="000000"/>
              </w:rPr>
            </w:pPr>
          </w:p>
        </w:tc>
        <w:tc>
          <w:tcPr>
            <w:tcW w:w="3544" w:type="dxa"/>
          </w:tcPr>
          <w:p w14:paraId="16FF786F" w14:textId="77777777" w:rsidR="00785623" w:rsidRPr="001C22A6" w:rsidRDefault="00785623" w:rsidP="00FD5FBA">
            <w:pPr>
              <w:spacing w:after="240" w:line="300" w:lineRule="atLeast"/>
              <w:rPr>
                <w:color w:val="000000"/>
              </w:rPr>
            </w:pPr>
            <w:r w:rsidRPr="001C22A6">
              <w:rPr>
                <w:color w:val="000000"/>
              </w:rPr>
              <w:lastRenderedPageBreak/>
              <w:t xml:space="preserve">Institutional strengthening and capacity building for the CDB </w:t>
            </w:r>
          </w:p>
          <w:p w14:paraId="61BC01F4" w14:textId="77777777" w:rsidR="00785623" w:rsidRPr="001C22A6" w:rsidRDefault="00785623" w:rsidP="00FD5FBA">
            <w:pPr>
              <w:spacing w:after="240" w:line="300" w:lineRule="atLeast"/>
              <w:rPr>
                <w:color w:val="000000"/>
              </w:rPr>
            </w:pPr>
            <w:r w:rsidRPr="001C22A6">
              <w:rPr>
                <w:color w:val="000000"/>
              </w:rPr>
              <w:t xml:space="preserve">Technical assistance for reforming regulatory, legal, and policy framework, and institutional </w:t>
            </w:r>
            <w:r w:rsidRPr="001C22A6">
              <w:rPr>
                <w:color w:val="000000"/>
              </w:rPr>
              <w:lastRenderedPageBreak/>
              <w:t xml:space="preserve">strengthening and capacity building for local authorities in the ECC </w:t>
            </w:r>
          </w:p>
          <w:p w14:paraId="04A3E05C" w14:textId="77777777" w:rsidR="00785623" w:rsidRPr="001C22A6" w:rsidRDefault="00785623" w:rsidP="00FD5FBA">
            <w:pPr>
              <w:spacing w:after="240" w:line="300" w:lineRule="atLeast"/>
              <w:rPr>
                <w:color w:val="000000"/>
              </w:rPr>
            </w:pPr>
            <w:r w:rsidRPr="001C22A6">
              <w:rPr>
                <w:color w:val="000000"/>
              </w:rPr>
              <w:t>Policy-Based Loan for reforming the regulatory, legal, and policy framework of the energy sector</w:t>
            </w:r>
          </w:p>
        </w:tc>
        <w:tc>
          <w:tcPr>
            <w:tcW w:w="2692" w:type="dxa"/>
          </w:tcPr>
          <w:p w14:paraId="1DE2E06C" w14:textId="77777777" w:rsidR="00785623" w:rsidRPr="001C22A6" w:rsidRDefault="00785623" w:rsidP="00FD5FBA">
            <w:pPr>
              <w:spacing w:after="240" w:line="300" w:lineRule="atLeast"/>
              <w:rPr>
                <w:color w:val="000000"/>
              </w:rPr>
            </w:pPr>
            <w:r w:rsidRPr="001C22A6">
              <w:rPr>
                <w:color w:val="000000"/>
              </w:rPr>
              <w:lastRenderedPageBreak/>
              <w:t xml:space="preserve">Geothermal projects </w:t>
            </w:r>
          </w:p>
          <w:p w14:paraId="23C84F26" w14:textId="77777777" w:rsidR="00785623" w:rsidRPr="001C22A6" w:rsidRDefault="00785623" w:rsidP="00FD5FBA">
            <w:pPr>
              <w:spacing w:after="240" w:line="300" w:lineRule="atLeast"/>
              <w:rPr>
                <w:color w:val="000000"/>
              </w:rPr>
            </w:pPr>
            <w:r w:rsidRPr="001C22A6">
              <w:rPr>
                <w:color w:val="000000"/>
              </w:rPr>
              <w:t xml:space="preserve">Other RE projects for the public sector (such as wind power, solar V, hydro, and </w:t>
            </w:r>
            <w:r w:rsidRPr="001C22A6">
              <w:rPr>
                <w:color w:val="000000"/>
              </w:rPr>
              <w:lastRenderedPageBreak/>
              <w:t xml:space="preserve">waste to energy </w:t>
            </w:r>
          </w:p>
          <w:p w14:paraId="56913C52" w14:textId="77777777" w:rsidR="00785623" w:rsidRPr="001C22A6" w:rsidRDefault="00785623" w:rsidP="00FD5FBA">
            <w:pPr>
              <w:spacing w:after="240" w:line="360" w:lineRule="atLeast"/>
              <w:rPr>
                <w:color w:val="000000"/>
              </w:rPr>
            </w:pPr>
          </w:p>
        </w:tc>
      </w:tr>
      <w:tr w:rsidR="00785623" w14:paraId="49816453" w14:textId="77777777" w:rsidTr="00FD5FBA">
        <w:trPr>
          <w:trHeight w:val="1289"/>
        </w:trPr>
        <w:tc>
          <w:tcPr>
            <w:tcW w:w="1243" w:type="dxa"/>
          </w:tcPr>
          <w:p w14:paraId="24B2BAD1" w14:textId="77777777" w:rsidR="00785623" w:rsidRPr="001C22A6" w:rsidRDefault="00785623" w:rsidP="00FD5FBA">
            <w:pPr>
              <w:spacing w:after="240" w:line="300" w:lineRule="atLeast"/>
              <w:rPr>
                <w:color w:val="000000"/>
              </w:rPr>
            </w:pPr>
            <w:r w:rsidRPr="001C22A6">
              <w:rPr>
                <w:color w:val="000000"/>
              </w:rPr>
              <w:lastRenderedPageBreak/>
              <w:t>Source and Type of Funding</w:t>
            </w:r>
          </w:p>
        </w:tc>
        <w:tc>
          <w:tcPr>
            <w:tcW w:w="1871" w:type="dxa"/>
          </w:tcPr>
          <w:p w14:paraId="77B5A689" w14:textId="77777777" w:rsidR="00785623" w:rsidRPr="001C22A6" w:rsidRDefault="00785623" w:rsidP="00FD5FBA">
            <w:pPr>
              <w:spacing w:line="276" w:lineRule="auto"/>
              <w:rPr>
                <w:color w:val="000000"/>
              </w:rPr>
            </w:pPr>
            <w:r w:rsidRPr="001C22A6">
              <w:rPr>
                <w:color w:val="000000"/>
              </w:rPr>
              <w:t xml:space="preserve">CDB OCR/SFR (Loan and Grant) </w:t>
            </w:r>
          </w:p>
          <w:p w14:paraId="0EC2C1F8" w14:textId="77777777" w:rsidR="00785623" w:rsidRPr="001C22A6" w:rsidRDefault="00785623" w:rsidP="00FD5FBA">
            <w:pPr>
              <w:spacing w:line="276" w:lineRule="auto"/>
              <w:rPr>
                <w:color w:val="000000"/>
              </w:rPr>
            </w:pPr>
            <w:r w:rsidRPr="001C22A6">
              <w:rPr>
                <w:color w:val="000000"/>
              </w:rPr>
              <w:t xml:space="preserve">IDB OC (Loan) </w:t>
            </w:r>
          </w:p>
          <w:p w14:paraId="609805A8" w14:textId="77777777" w:rsidR="00785623" w:rsidRPr="001C22A6" w:rsidRDefault="00785623" w:rsidP="00FD5FBA">
            <w:pPr>
              <w:spacing w:line="276" w:lineRule="auto"/>
              <w:rPr>
                <w:color w:val="000000"/>
              </w:rPr>
            </w:pPr>
            <w:r w:rsidRPr="001C22A6">
              <w:rPr>
                <w:color w:val="000000"/>
              </w:rPr>
              <w:t xml:space="preserve">GEF (Grant) </w:t>
            </w:r>
          </w:p>
        </w:tc>
        <w:tc>
          <w:tcPr>
            <w:tcW w:w="3544" w:type="dxa"/>
          </w:tcPr>
          <w:p w14:paraId="431DF192" w14:textId="77777777" w:rsidR="00785623" w:rsidRPr="001C22A6" w:rsidRDefault="00785623" w:rsidP="00FD5FBA">
            <w:pPr>
              <w:spacing w:line="276" w:lineRule="auto"/>
              <w:rPr>
                <w:color w:val="000000"/>
              </w:rPr>
            </w:pPr>
            <w:r w:rsidRPr="001C22A6">
              <w:rPr>
                <w:color w:val="000000"/>
              </w:rPr>
              <w:t xml:space="preserve">CDB OCR/SFR (Loan and Grant) </w:t>
            </w:r>
          </w:p>
          <w:p w14:paraId="6EC94B52" w14:textId="77777777" w:rsidR="00785623" w:rsidRPr="001C22A6" w:rsidRDefault="00785623" w:rsidP="00FD5FBA">
            <w:pPr>
              <w:spacing w:line="276" w:lineRule="auto"/>
              <w:rPr>
                <w:color w:val="000000"/>
              </w:rPr>
            </w:pPr>
            <w:r w:rsidRPr="001C22A6">
              <w:rPr>
                <w:color w:val="000000"/>
              </w:rPr>
              <w:t xml:space="preserve">IDB OC (Loan) </w:t>
            </w:r>
          </w:p>
          <w:p w14:paraId="3B5B8E76" w14:textId="77777777" w:rsidR="00785623" w:rsidRPr="001C22A6" w:rsidRDefault="00785623" w:rsidP="00FD5FBA">
            <w:pPr>
              <w:spacing w:line="276" w:lineRule="auto"/>
              <w:rPr>
                <w:color w:val="000000"/>
              </w:rPr>
            </w:pPr>
            <w:r w:rsidRPr="001C22A6">
              <w:rPr>
                <w:color w:val="000000"/>
              </w:rPr>
              <w:t xml:space="preserve">GEF (Grant) </w:t>
            </w:r>
          </w:p>
        </w:tc>
        <w:tc>
          <w:tcPr>
            <w:tcW w:w="2692" w:type="dxa"/>
          </w:tcPr>
          <w:p w14:paraId="42752081" w14:textId="77777777" w:rsidR="00785623" w:rsidRPr="001C22A6" w:rsidRDefault="00785623" w:rsidP="00FD5FBA">
            <w:pPr>
              <w:spacing w:line="276" w:lineRule="auto"/>
              <w:rPr>
                <w:color w:val="000000"/>
              </w:rPr>
            </w:pPr>
            <w:r w:rsidRPr="001C22A6">
              <w:rPr>
                <w:color w:val="000000"/>
              </w:rPr>
              <w:t xml:space="preserve">CDB OCR/SFR (Loan and Grant) </w:t>
            </w:r>
          </w:p>
          <w:p w14:paraId="226CD453" w14:textId="77777777" w:rsidR="00785623" w:rsidRPr="001C22A6" w:rsidRDefault="00785623" w:rsidP="00FD5FBA">
            <w:pPr>
              <w:spacing w:line="276" w:lineRule="auto"/>
              <w:rPr>
                <w:color w:val="000000"/>
              </w:rPr>
            </w:pPr>
            <w:r w:rsidRPr="001C22A6">
              <w:rPr>
                <w:color w:val="000000"/>
              </w:rPr>
              <w:t xml:space="preserve">IDB OC (Loan) </w:t>
            </w:r>
          </w:p>
          <w:p w14:paraId="441A375D" w14:textId="77777777" w:rsidR="00785623" w:rsidRPr="001C22A6" w:rsidRDefault="00785623" w:rsidP="00FD5FBA">
            <w:pPr>
              <w:spacing w:line="276" w:lineRule="auto"/>
              <w:rPr>
                <w:color w:val="000000"/>
              </w:rPr>
            </w:pPr>
            <w:r w:rsidRPr="001C22A6">
              <w:rPr>
                <w:color w:val="000000"/>
              </w:rPr>
              <w:t>GEF (Grant)</w:t>
            </w:r>
          </w:p>
          <w:p w14:paraId="3CCAC201" w14:textId="77777777" w:rsidR="00785623" w:rsidRPr="001C22A6" w:rsidRDefault="00785623" w:rsidP="00FD5FBA">
            <w:pPr>
              <w:spacing w:line="276" w:lineRule="auto"/>
              <w:rPr>
                <w:color w:val="000000"/>
              </w:rPr>
            </w:pPr>
            <w:r w:rsidRPr="001C22A6">
              <w:rPr>
                <w:color w:val="000000"/>
              </w:rPr>
              <w:t xml:space="preserve">CTF (Contingent Grant) </w:t>
            </w:r>
          </w:p>
        </w:tc>
      </w:tr>
      <w:tr w:rsidR="00785623" w14:paraId="0E0545A8" w14:textId="77777777" w:rsidTr="00FD5FBA">
        <w:trPr>
          <w:trHeight w:val="2617"/>
        </w:trPr>
        <w:tc>
          <w:tcPr>
            <w:tcW w:w="1243" w:type="dxa"/>
          </w:tcPr>
          <w:p w14:paraId="03F29454" w14:textId="77777777" w:rsidR="00785623" w:rsidRPr="001C22A6" w:rsidRDefault="00785623" w:rsidP="00FD5FBA">
            <w:pPr>
              <w:spacing w:after="240" w:line="300" w:lineRule="atLeast"/>
              <w:rPr>
                <w:color w:val="000000"/>
              </w:rPr>
            </w:pPr>
            <w:r w:rsidRPr="001C22A6">
              <w:rPr>
                <w:color w:val="000000"/>
              </w:rPr>
              <w:t>Eligible Sub-borrowers/Final Beneficiaries</w:t>
            </w:r>
          </w:p>
        </w:tc>
        <w:tc>
          <w:tcPr>
            <w:tcW w:w="1871" w:type="dxa"/>
          </w:tcPr>
          <w:p w14:paraId="0C311BA2" w14:textId="77777777" w:rsidR="00785623" w:rsidRPr="001C22A6" w:rsidRDefault="00785623" w:rsidP="00FD5FBA">
            <w:pPr>
              <w:spacing w:after="240" w:line="300" w:lineRule="atLeast"/>
              <w:rPr>
                <w:color w:val="000000"/>
              </w:rPr>
            </w:pPr>
            <w:r w:rsidRPr="001C22A6">
              <w:rPr>
                <w:color w:val="000000"/>
              </w:rPr>
              <w:t xml:space="preserve">Governments of Eligible CDB Member Countries </w:t>
            </w:r>
          </w:p>
          <w:p w14:paraId="52FDC368" w14:textId="77777777" w:rsidR="00785623" w:rsidRPr="001C22A6" w:rsidRDefault="00785623" w:rsidP="00FD5FBA">
            <w:pPr>
              <w:spacing w:after="240" w:line="300" w:lineRule="atLeast"/>
              <w:rPr>
                <w:color w:val="000000"/>
              </w:rPr>
            </w:pPr>
            <w:r w:rsidRPr="001C22A6">
              <w:rPr>
                <w:color w:val="000000"/>
              </w:rPr>
              <w:t xml:space="preserve">Public Utilities Eligible CDB Member Countries </w:t>
            </w:r>
          </w:p>
        </w:tc>
        <w:tc>
          <w:tcPr>
            <w:tcW w:w="3544" w:type="dxa"/>
          </w:tcPr>
          <w:p w14:paraId="6C3E5767" w14:textId="77777777" w:rsidR="00785623" w:rsidRPr="001C22A6" w:rsidRDefault="00785623" w:rsidP="00FD5FBA">
            <w:pPr>
              <w:spacing w:after="240" w:line="300" w:lineRule="atLeast"/>
              <w:rPr>
                <w:color w:val="000000"/>
              </w:rPr>
            </w:pPr>
            <w:r w:rsidRPr="001C22A6">
              <w:rPr>
                <w:color w:val="000000"/>
              </w:rPr>
              <w:t xml:space="preserve">Governments of Eligible CDB Member Countries </w:t>
            </w:r>
          </w:p>
          <w:p w14:paraId="2EABF677" w14:textId="77777777" w:rsidR="00785623" w:rsidRPr="001C22A6" w:rsidRDefault="00785623" w:rsidP="00FD5FBA">
            <w:pPr>
              <w:spacing w:after="240" w:line="300" w:lineRule="atLeast"/>
              <w:rPr>
                <w:color w:val="000000"/>
              </w:rPr>
            </w:pPr>
          </w:p>
        </w:tc>
        <w:tc>
          <w:tcPr>
            <w:tcW w:w="2692" w:type="dxa"/>
          </w:tcPr>
          <w:p w14:paraId="161B0A60" w14:textId="77777777" w:rsidR="00785623" w:rsidRPr="001C22A6" w:rsidRDefault="00785623" w:rsidP="00FD5FBA">
            <w:pPr>
              <w:spacing w:after="240" w:line="300" w:lineRule="atLeast"/>
              <w:rPr>
                <w:color w:val="000000"/>
              </w:rPr>
            </w:pPr>
            <w:r w:rsidRPr="001C22A6">
              <w:rPr>
                <w:color w:val="000000"/>
              </w:rPr>
              <w:t xml:space="preserve">Governments of Eligible CDB Member Countries </w:t>
            </w:r>
          </w:p>
          <w:p w14:paraId="2669C1DE" w14:textId="77777777" w:rsidR="00785623" w:rsidRPr="001C22A6" w:rsidRDefault="00785623" w:rsidP="00FD5FBA">
            <w:pPr>
              <w:spacing w:after="240" w:line="300" w:lineRule="atLeast"/>
              <w:rPr>
                <w:color w:val="000000"/>
              </w:rPr>
            </w:pPr>
            <w:r w:rsidRPr="001C22A6">
              <w:rPr>
                <w:color w:val="000000"/>
              </w:rPr>
              <w:t xml:space="preserve">Public Utilities Eligible CDB Member Countries </w:t>
            </w:r>
          </w:p>
          <w:p w14:paraId="423F35F1" w14:textId="77777777" w:rsidR="00785623" w:rsidRPr="001C22A6" w:rsidRDefault="00785623" w:rsidP="00FD5FBA">
            <w:pPr>
              <w:spacing w:after="240" w:line="300" w:lineRule="atLeast"/>
              <w:rPr>
                <w:color w:val="000000"/>
              </w:rPr>
            </w:pPr>
            <w:r w:rsidRPr="001C22A6">
              <w:rPr>
                <w:color w:val="000000"/>
              </w:rPr>
              <w:t xml:space="preserve">SPV legally established in Eligible CDB Member Countries under a PPP </w:t>
            </w:r>
          </w:p>
        </w:tc>
      </w:tr>
    </w:tbl>
    <w:p w14:paraId="7B4DEF1B" w14:textId="77777777" w:rsidR="00785623" w:rsidRDefault="00785623" w:rsidP="00785623">
      <w:pPr>
        <w:widowControl w:val="0"/>
        <w:autoSpaceDE w:val="0"/>
        <w:autoSpaceDN w:val="0"/>
        <w:adjustRightInd w:val="0"/>
        <w:spacing w:after="240" w:line="360" w:lineRule="atLeast"/>
        <w:rPr>
          <w:rFonts w:ascii="Times" w:hAnsi="Times" w:cs="Times"/>
          <w:color w:val="000000"/>
        </w:rPr>
      </w:pPr>
    </w:p>
    <w:p w14:paraId="77DADE09" w14:textId="77777777" w:rsidR="00785623" w:rsidRPr="003F5294" w:rsidRDefault="00785623" w:rsidP="00785623">
      <w:pPr>
        <w:pStyle w:val="ListParagraph"/>
        <w:widowControl w:val="0"/>
        <w:numPr>
          <w:ilvl w:val="0"/>
          <w:numId w:val="31"/>
        </w:numPr>
        <w:autoSpaceDE w:val="0"/>
        <w:autoSpaceDN w:val="0"/>
        <w:adjustRightInd w:val="0"/>
        <w:spacing w:after="240" w:line="360" w:lineRule="atLeast"/>
        <w:contextualSpacing/>
        <w:jc w:val="both"/>
      </w:pPr>
      <w:r w:rsidRPr="00186274">
        <w:t>The SEF is implemented by CDB and funded by multiple donors, including the IDB, Clean Technology Fund (CTF), the Global Environment Facility (GEF)</w:t>
      </w:r>
      <w:r>
        <w:t>, the Green Climate Fund (GCF), CDB, the Government of Italy, the Government of New Zealand and the United Kingdom Commonwealth and Development Office (FCDO) (see Figure 1).</w:t>
      </w:r>
    </w:p>
    <w:p w14:paraId="2284E998" w14:textId="77777777" w:rsidR="00785623" w:rsidRPr="00C408D7" w:rsidRDefault="00785623" w:rsidP="00785623">
      <w:pPr>
        <w:pStyle w:val="ListParagraph"/>
        <w:widowControl w:val="0"/>
        <w:numPr>
          <w:ilvl w:val="0"/>
          <w:numId w:val="31"/>
        </w:numPr>
        <w:autoSpaceDE w:val="0"/>
        <w:autoSpaceDN w:val="0"/>
        <w:adjustRightInd w:val="0"/>
        <w:spacing w:after="240" w:line="360" w:lineRule="atLeast"/>
        <w:contextualSpacing/>
        <w:jc w:val="both"/>
      </w:pPr>
      <w:r w:rsidRPr="00B7274E">
        <w:t>CDB is the Executing Agency (EA) for the SEF, w</w:t>
      </w:r>
      <w:r>
        <w:t>ith Focal Point being the Renewable Energy and Energy Efficiency Unit (REEEU).</w:t>
      </w:r>
    </w:p>
    <w:p w14:paraId="60023C77" w14:textId="77777777" w:rsidR="00785623" w:rsidRPr="00C408D7" w:rsidRDefault="00785623" w:rsidP="00785623">
      <w:pPr>
        <w:widowControl w:val="0"/>
        <w:autoSpaceDE w:val="0"/>
        <w:autoSpaceDN w:val="0"/>
        <w:adjustRightInd w:val="0"/>
        <w:spacing w:after="240" w:line="340" w:lineRule="atLeast"/>
        <w:rPr>
          <w:b/>
          <w:color w:val="000000"/>
        </w:rPr>
      </w:pPr>
      <w:r w:rsidRPr="00C408D7">
        <w:rPr>
          <w:b/>
        </w:rPr>
        <w:t xml:space="preserve">CIF - </w:t>
      </w:r>
      <w:r w:rsidRPr="00C408D7">
        <w:rPr>
          <w:b/>
          <w:bCs/>
          <w:color w:val="000000"/>
        </w:rPr>
        <w:t xml:space="preserve">Geothermal Risk Mitigation Programme for the Eastern Caribbean </w:t>
      </w:r>
    </w:p>
    <w:p w14:paraId="50D68FAD" w14:textId="77777777" w:rsidR="00785623" w:rsidRDefault="00785623" w:rsidP="00785623">
      <w:pPr>
        <w:widowControl w:val="0"/>
        <w:autoSpaceDE w:val="0"/>
        <w:autoSpaceDN w:val="0"/>
        <w:adjustRightInd w:val="0"/>
        <w:spacing w:after="240" w:line="360" w:lineRule="atLeast"/>
        <w:contextualSpacing/>
        <w:jc w:val="both"/>
      </w:pPr>
      <w:r w:rsidRPr="003A5276">
        <w:rPr>
          <w:color w:val="000000"/>
        </w:rPr>
        <w:t>The Caribbean Investment Facility (CIF) is a series of regional blending facilities combining EU development grants with loans and other risk-sharing mechanisms from European and Regional Finance Institutions to finance infrastructure projects in selected sectors, such as transport and energy.</w:t>
      </w:r>
    </w:p>
    <w:p w14:paraId="5252AFA5" w14:textId="77777777" w:rsidR="00785623" w:rsidRPr="008560C3" w:rsidRDefault="00785623" w:rsidP="00785623">
      <w:pPr>
        <w:pStyle w:val="ListParagraph"/>
        <w:widowControl w:val="0"/>
        <w:numPr>
          <w:ilvl w:val="0"/>
          <w:numId w:val="31"/>
        </w:numPr>
        <w:autoSpaceDE w:val="0"/>
        <w:autoSpaceDN w:val="0"/>
        <w:adjustRightInd w:val="0"/>
        <w:spacing w:after="240" w:line="360" w:lineRule="atLeast"/>
        <w:contextualSpacing/>
        <w:jc w:val="both"/>
      </w:pPr>
      <w:r w:rsidRPr="000B6CD2">
        <w:rPr>
          <w:color w:val="000000"/>
        </w:rPr>
        <w:t>The GRMP seeks to facilitate geothermal energy development in 5 ECC (</w:t>
      </w:r>
      <w:r w:rsidRPr="000173C8">
        <w:rPr>
          <w:color w:val="000000"/>
        </w:rPr>
        <w:t>Dominica, Grenada, St Kitts, and Nevis, St Lucia, and St Vincent and the Grenadines)</w:t>
      </w:r>
      <w:r w:rsidRPr="000B6CD2">
        <w:rPr>
          <w:color w:val="000000"/>
        </w:rPr>
        <w:t xml:space="preserve"> through the mitigation of risks and removal of barriers, and the targeting of the installation of an estimated 60MW of GE capacity. </w:t>
      </w:r>
    </w:p>
    <w:p w14:paraId="492937F0" w14:textId="77777777" w:rsidR="00785623" w:rsidRPr="008560C3" w:rsidRDefault="00785623" w:rsidP="00785623">
      <w:pPr>
        <w:pStyle w:val="ListParagraph"/>
        <w:widowControl w:val="0"/>
        <w:numPr>
          <w:ilvl w:val="0"/>
          <w:numId w:val="31"/>
        </w:numPr>
        <w:autoSpaceDE w:val="0"/>
        <w:autoSpaceDN w:val="0"/>
        <w:adjustRightInd w:val="0"/>
        <w:spacing w:after="240" w:line="360" w:lineRule="atLeast"/>
        <w:contextualSpacing/>
        <w:jc w:val="both"/>
      </w:pPr>
      <w:r w:rsidRPr="4628C846">
        <w:rPr>
          <w:color w:val="000000" w:themeColor="text1"/>
        </w:rPr>
        <w:lastRenderedPageBreak/>
        <w:t xml:space="preserve">The GRMP, therefore, assists the ECC in meeting their national strategies in the energy sector. The </w:t>
      </w:r>
      <w:r w:rsidRPr="4628C846">
        <w:rPr>
          <w:rFonts w:ascii="MS Mincho" w:eastAsia="MS Mincho" w:hAnsi="MS Mincho" w:cs="MS Mincho"/>
          <w:color w:val="000000" w:themeColor="text1"/>
        </w:rPr>
        <w:t> </w:t>
      </w:r>
      <w:r w:rsidRPr="4628C846">
        <w:rPr>
          <w:color w:val="000000" w:themeColor="text1"/>
        </w:rPr>
        <w:t>five countries share common goals of increasing energy security and affordability by developing RE and exploiting EE opportunities. These objectives also align well with those in the Caribbean Community (CARICOM) Regional Energy Policy (2013).</w:t>
      </w:r>
      <w:r w:rsidRPr="003A5276">
        <w:rPr>
          <w:rStyle w:val="FootnoteReference"/>
          <w:color w:val="000000"/>
          <w:vertAlign w:val="superscript"/>
        </w:rPr>
        <w:footnoteReference w:id="7"/>
      </w:r>
      <w:r w:rsidRPr="003A5276">
        <w:rPr>
          <w:rFonts w:ascii="MS Mincho" w:eastAsia="MS Mincho" w:hAnsi="MS Mincho" w:cs="MS Mincho"/>
          <w:color w:val="000000" w:themeColor="text1"/>
          <w:vertAlign w:val="superscript"/>
        </w:rPr>
        <w:t> </w:t>
      </w:r>
    </w:p>
    <w:p w14:paraId="4D53DAB6" w14:textId="77777777" w:rsidR="00785623" w:rsidRPr="005F51D7" w:rsidRDefault="00785623" w:rsidP="00785623">
      <w:pPr>
        <w:pStyle w:val="ListParagraph"/>
        <w:widowControl w:val="0"/>
        <w:numPr>
          <w:ilvl w:val="0"/>
          <w:numId w:val="31"/>
        </w:numPr>
        <w:autoSpaceDE w:val="0"/>
        <w:autoSpaceDN w:val="0"/>
        <w:adjustRightInd w:val="0"/>
        <w:spacing w:after="240" w:line="360" w:lineRule="atLeast"/>
        <w:contextualSpacing/>
        <w:jc w:val="both"/>
        <w:rPr>
          <w:color w:val="000000"/>
        </w:rPr>
      </w:pPr>
      <w:r w:rsidRPr="5795F0F6">
        <w:rPr>
          <w:color w:val="000000" w:themeColor="text1"/>
        </w:rPr>
        <w:t>CDB leads on the development of GE in 3 ECC (Grenada, St Kitts, and Nevis, St Vincent and the Grenadines), and the World Bank operates in 2 ECC (Dominica and St Lucia).</w:t>
      </w:r>
    </w:p>
    <w:p w14:paraId="24FA60DE" w14:textId="77777777" w:rsidR="00785623" w:rsidRDefault="00785623" w:rsidP="00785623"/>
    <w:p w14:paraId="3462FBF1" w14:textId="77777777" w:rsidR="00785623" w:rsidRPr="00170F5E" w:rsidRDefault="00785623" w:rsidP="00785623">
      <w:pPr>
        <w:pStyle w:val="Caption"/>
        <w:rPr>
          <w14:shadow w14:blurRad="50800" w14:dist="50800" w14:dir="5400000" w14:sx="0" w14:sy="0" w14:kx="0" w14:ky="0" w14:algn="ctr">
            <w14:schemeClr w14:val="bg1">
              <w14:alpha w14:val="100000"/>
            </w14:schemeClr>
          </w14:shadow>
        </w:rPr>
      </w:pPr>
      <w:r>
        <w:t xml:space="preserve">Figure </w:t>
      </w:r>
      <w:r>
        <w:fldChar w:fldCharType="begin"/>
      </w:r>
      <w:r>
        <w:instrText>SEQ Figure \* ARABIC</w:instrText>
      </w:r>
      <w:r>
        <w:fldChar w:fldCharType="separate"/>
      </w:r>
      <w:r>
        <w:rPr>
          <w:noProof/>
        </w:rPr>
        <w:t>1</w:t>
      </w:r>
      <w:r>
        <w:fldChar w:fldCharType="end"/>
      </w:r>
      <w:r>
        <w:t xml:space="preserve"> – Funding sources under the CDB SEF</w:t>
      </w:r>
    </w:p>
    <w:p w14:paraId="5468177A" w14:textId="77777777" w:rsidR="00785623" w:rsidRPr="00CD0888" w:rsidRDefault="00785623" w:rsidP="00785623">
      <w:r>
        <w:rPr>
          <w:noProof/>
        </w:rPr>
        <w:drawing>
          <wp:anchor distT="0" distB="0" distL="114300" distR="114300" simplePos="0" relativeHeight="251661312" behindDoc="0" locked="0" layoutInCell="1" allowOverlap="1" wp14:anchorId="7BC2B671" wp14:editId="77DE193D">
            <wp:simplePos x="0" y="0"/>
            <wp:positionH relativeFrom="column">
              <wp:align>left</wp:align>
            </wp:positionH>
            <wp:positionV relativeFrom="paragraph">
              <wp:posOffset>0</wp:posOffset>
            </wp:positionV>
            <wp:extent cx="5728336" cy="2625090"/>
            <wp:effectExtent l="0" t="0" r="0" b="0"/>
            <wp:wrapSquare wrapText="bothSides"/>
            <wp:docPr id="1205731781"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31781" name="Picture 10" descr="Diagram&#10;&#10;Description automatically generated"/>
                    <pic:cNvPicPr/>
                  </pic:nvPicPr>
                  <pic:blipFill>
                    <a:blip r:embed="rId15">
                      <a:extLst>
                        <a:ext uri="{BEBA8EAE-BF5A-486C-A8C5-ECC9F3942E4B}">
                          <a14:imgProps xmlns:a14="http://schemas.microsoft.com/office/drawing/2010/main">
                            <a14:imgLayer>
                              <a14:imgEffect>
                                <a14:colorTemperature colorTemp="47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728336" cy="2625090"/>
                    </a:xfrm>
                    <a:prstGeom prst="rect">
                      <a:avLst/>
                    </a:prstGeom>
                  </pic:spPr>
                </pic:pic>
              </a:graphicData>
            </a:graphic>
            <wp14:sizeRelH relativeFrom="page">
              <wp14:pctWidth>0</wp14:pctWidth>
            </wp14:sizeRelH>
            <wp14:sizeRelV relativeFrom="page">
              <wp14:pctHeight>0</wp14:pctHeight>
            </wp14:sizeRelV>
          </wp:anchor>
        </w:drawing>
      </w:r>
    </w:p>
    <w:p w14:paraId="385995BD" w14:textId="77777777" w:rsidR="00785623" w:rsidRPr="00E74CE7" w:rsidRDefault="00785623" w:rsidP="00785623">
      <w:pPr>
        <w:pStyle w:val="ListParagraph"/>
        <w:widowControl w:val="0"/>
        <w:numPr>
          <w:ilvl w:val="0"/>
          <w:numId w:val="31"/>
        </w:numPr>
        <w:autoSpaceDE w:val="0"/>
        <w:autoSpaceDN w:val="0"/>
        <w:adjustRightInd w:val="0"/>
        <w:spacing w:after="240" w:line="360" w:lineRule="atLeast"/>
        <w:contextualSpacing/>
        <w:jc w:val="both"/>
        <w:rPr>
          <w:color w:val="000000"/>
        </w:rPr>
      </w:pPr>
      <w:r w:rsidRPr="000B6CD2">
        <w:rPr>
          <w:color w:val="000000"/>
        </w:rPr>
        <w:t xml:space="preserve">The GRMP </w:t>
      </w:r>
      <w:r>
        <w:rPr>
          <w:color w:val="000000"/>
        </w:rPr>
        <w:t>i</w:t>
      </w:r>
      <w:r w:rsidRPr="000B6CD2">
        <w:rPr>
          <w:color w:val="000000"/>
        </w:rPr>
        <w:t xml:space="preserve">s divided into two components: Investment grants (Component I), used to fund slim-hole drilling services or </w:t>
      </w:r>
      <w:r>
        <w:rPr>
          <w:color w:val="000000"/>
        </w:rPr>
        <w:t xml:space="preserve">full-size exploration drilling, </w:t>
      </w:r>
      <w:r w:rsidRPr="000B6CD2">
        <w:rPr>
          <w:color w:val="000000"/>
        </w:rPr>
        <w:t xml:space="preserve">executed by the </w:t>
      </w:r>
      <w:r>
        <w:rPr>
          <w:color w:val="000000"/>
        </w:rPr>
        <w:t>s</w:t>
      </w:r>
      <w:r w:rsidRPr="000A7A52">
        <w:rPr>
          <w:color w:val="000000"/>
        </w:rPr>
        <w:t>pecial purpose vehicle</w:t>
      </w:r>
      <w:r w:rsidRPr="000A7A52">
        <w:footnoteReference w:id="8"/>
      </w:r>
      <w:r w:rsidRPr="000A7A52">
        <w:rPr>
          <w:color w:val="000000"/>
        </w:rPr>
        <w:t xml:space="preserve"> (</w:t>
      </w:r>
      <w:r w:rsidRPr="0021260F">
        <w:rPr>
          <w:color w:val="000000"/>
        </w:rPr>
        <w:t>SPV</w:t>
      </w:r>
      <w:r w:rsidRPr="000A7A52">
        <w:rPr>
          <w:color w:val="000000"/>
        </w:rPr>
        <w:t>)</w:t>
      </w:r>
      <w:r>
        <w:rPr>
          <w:color w:val="000000"/>
        </w:rPr>
        <w:t xml:space="preserve"> </w:t>
      </w:r>
      <w:r w:rsidRPr="00903FF1">
        <w:rPr>
          <w:color w:val="000000"/>
        </w:rPr>
        <w:t>and accounted for as government equity in the project; and Technical Assistance grants (Component II)</w:t>
      </w:r>
      <w:r w:rsidRPr="00903FF1" w:rsidDel="00B03582">
        <w:rPr>
          <w:color w:val="000000"/>
        </w:rPr>
        <w:t xml:space="preserve"> </w:t>
      </w:r>
      <w:r w:rsidRPr="00903FF1">
        <w:rPr>
          <w:color w:val="000000"/>
        </w:rPr>
        <w:t xml:space="preserve">provided for capacity building and feasibility studies for submarine interconnection of electricity grids. </w:t>
      </w:r>
    </w:p>
    <w:p w14:paraId="5FD23525" w14:textId="77777777" w:rsidR="00785623" w:rsidRDefault="00785623" w:rsidP="00785623">
      <w:pPr>
        <w:pStyle w:val="ListParagraph"/>
        <w:widowControl w:val="0"/>
        <w:numPr>
          <w:ilvl w:val="0"/>
          <w:numId w:val="31"/>
        </w:numPr>
        <w:autoSpaceDE w:val="0"/>
        <w:autoSpaceDN w:val="0"/>
        <w:adjustRightInd w:val="0"/>
        <w:spacing w:after="240" w:line="360" w:lineRule="atLeast"/>
        <w:contextualSpacing/>
        <w:jc w:val="both"/>
        <w:rPr>
          <w:color w:val="000000"/>
        </w:rPr>
      </w:pPr>
      <w:r w:rsidRPr="5795F0F6">
        <w:rPr>
          <w:color w:val="000000" w:themeColor="text1"/>
        </w:rPr>
        <w:t xml:space="preserve">The GRMP aims at </w:t>
      </w:r>
      <w:proofErr w:type="spellStart"/>
      <w:r w:rsidRPr="5795F0F6">
        <w:rPr>
          <w:color w:val="000000" w:themeColor="text1"/>
        </w:rPr>
        <w:t>i</w:t>
      </w:r>
      <w:proofErr w:type="spellEnd"/>
      <w:r w:rsidRPr="5795F0F6">
        <w:rPr>
          <w:color w:val="000000" w:themeColor="text1"/>
        </w:rPr>
        <w:t>) increasing the installed generation capacity of baseload RE sources in the form of GE, and ii) strengthening institutional and individual capacities to develop and operate the GE projects in 5ECC, through the provision of financing and technical assistance.</w:t>
      </w:r>
    </w:p>
    <w:p w14:paraId="1E4DC335" w14:textId="77777777" w:rsidR="00785623" w:rsidRPr="00653FD0" w:rsidRDefault="00785623" w:rsidP="00785623">
      <w:pPr>
        <w:pStyle w:val="ListParagraph"/>
        <w:widowControl w:val="0"/>
        <w:numPr>
          <w:ilvl w:val="0"/>
          <w:numId w:val="31"/>
        </w:numPr>
        <w:autoSpaceDE w:val="0"/>
        <w:autoSpaceDN w:val="0"/>
        <w:adjustRightInd w:val="0"/>
        <w:spacing w:after="240" w:line="360" w:lineRule="atLeast"/>
        <w:contextualSpacing/>
        <w:jc w:val="both"/>
        <w:rPr>
          <w:color w:val="000000"/>
        </w:rPr>
      </w:pPr>
      <w:r w:rsidRPr="5795F0F6">
        <w:rPr>
          <w:color w:val="000000" w:themeColor="text1"/>
        </w:rPr>
        <w:t>The GRMP implementation period is 2016-2023</w:t>
      </w:r>
      <w:r w:rsidRPr="5795F0F6">
        <w:rPr>
          <w:rFonts w:ascii="Times" w:hAnsi="Times" w:cs="Times"/>
          <w:color w:val="000000" w:themeColor="text1"/>
        </w:rPr>
        <w:t>.</w:t>
      </w:r>
    </w:p>
    <w:p w14:paraId="284677E9" w14:textId="77777777" w:rsidR="00785623" w:rsidRPr="00DE7386" w:rsidRDefault="00785623" w:rsidP="00785623">
      <w:pPr>
        <w:widowControl w:val="0"/>
        <w:autoSpaceDE w:val="0"/>
        <w:autoSpaceDN w:val="0"/>
        <w:adjustRightInd w:val="0"/>
        <w:spacing w:after="240" w:line="360" w:lineRule="atLeast"/>
        <w:jc w:val="both"/>
        <w:rPr>
          <w:b/>
        </w:rPr>
      </w:pPr>
      <w:r w:rsidRPr="00DE7386">
        <w:rPr>
          <w:b/>
        </w:rPr>
        <w:lastRenderedPageBreak/>
        <w:t xml:space="preserve">Sustainable Energy </w:t>
      </w:r>
      <w:proofErr w:type="gramStart"/>
      <w:r w:rsidRPr="00DE7386">
        <w:rPr>
          <w:b/>
        </w:rPr>
        <w:t>For</w:t>
      </w:r>
      <w:proofErr w:type="gramEnd"/>
      <w:r w:rsidRPr="00DE7386">
        <w:rPr>
          <w:b/>
        </w:rPr>
        <w:t xml:space="preserve"> the Eastern Caribbean (SEEC) Programme</w:t>
      </w:r>
    </w:p>
    <w:p w14:paraId="3272ED34" w14:textId="77777777" w:rsidR="00785623" w:rsidRPr="005F51D7" w:rsidRDefault="00785623" w:rsidP="00785623">
      <w:pPr>
        <w:pStyle w:val="ListParagraph"/>
        <w:widowControl w:val="0"/>
        <w:numPr>
          <w:ilvl w:val="0"/>
          <w:numId w:val="31"/>
        </w:numPr>
        <w:autoSpaceDE w:val="0"/>
        <w:autoSpaceDN w:val="0"/>
        <w:adjustRightInd w:val="0"/>
        <w:spacing w:after="240" w:line="360" w:lineRule="atLeast"/>
        <w:contextualSpacing/>
        <w:jc w:val="both"/>
        <w:rPr>
          <w:color w:val="000000"/>
        </w:rPr>
      </w:pPr>
      <w:r w:rsidRPr="5795F0F6">
        <w:rPr>
          <w:color w:val="000000" w:themeColor="text1"/>
        </w:rPr>
        <w:t xml:space="preserve">The SEEC is a multi-year, multi-partner EE and RE Programme targeted to providing investment loans, grant financing, and guarantees and support establishing an enabling environment for investment in energy infrastructure and capacity development. </w:t>
      </w:r>
    </w:p>
    <w:p w14:paraId="7E02A945" w14:textId="77777777" w:rsidR="00785623" w:rsidRPr="00DE7386" w:rsidRDefault="00785623" w:rsidP="00785623">
      <w:pPr>
        <w:widowControl w:val="0"/>
        <w:autoSpaceDE w:val="0"/>
        <w:autoSpaceDN w:val="0"/>
        <w:adjustRightInd w:val="0"/>
        <w:spacing w:after="240" w:line="360" w:lineRule="atLeast"/>
        <w:jc w:val="both"/>
        <w:rPr>
          <w:b/>
        </w:rPr>
      </w:pPr>
      <w:r w:rsidRPr="00DE7386">
        <w:rPr>
          <w:b/>
        </w:rPr>
        <w:t xml:space="preserve">Regional RE and EE Programme for Public Sector </w:t>
      </w:r>
    </w:p>
    <w:p w14:paraId="4724C3E9" w14:textId="77777777" w:rsidR="00785623" w:rsidRPr="005F51D7" w:rsidRDefault="00785623" w:rsidP="00785623">
      <w:pPr>
        <w:pStyle w:val="ListParagraph"/>
        <w:widowControl w:val="0"/>
        <w:numPr>
          <w:ilvl w:val="0"/>
          <w:numId w:val="31"/>
        </w:numPr>
        <w:autoSpaceDE w:val="0"/>
        <w:autoSpaceDN w:val="0"/>
        <w:adjustRightInd w:val="0"/>
        <w:spacing w:after="240" w:line="360" w:lineRule="atLeast"/>
        <w:contextualSpacing/>
        <w:jc w:val="both"/>
        <w:rPr>
          <w:color w:val="000000"/>
        </w:rPr>
      </w:pPr>
      <w:r w:rsidRPr="5795F0F6">
        <w:rPr>
          <w:color w:val="000000" w:themeColor="text1"/>
        </w:rPr>
        <w:t>The Regional RE and EE Programme aims at developing a public sector EE improvement promotion program over two years by utilizing a combination of instruments and approaches, such as: (</w:t>
      </w:r>
      <w:proofErr w:type="spellStart"/>
      <w:r w:rsidRPr="5795F0F6">
        <w:rPr>
          <w:color w:val="000000" w:themeColor="text1"/>
        </w:rPr>
        <w:t>i</w:t>
      </w:r>
      <w:proofErr w:type="spellEnd"/>
      <w:r w:rsidRPr="5795F0F6">
        <w:rPr>
          <w:color w:val="000000" w:themeColor="text1"/>
        </w:rPr>
        <w:t xml:space="preserve">) energy performance contracting using a shared-savings approach within an energy services company (ESCO) model, which provides a turn-key implementation of selected EE measures and RE options; and (ii) public green procurement. In the first instance, the focus is on those BMCs which are not participants in the sub-regional RE/EE Programmes (Eastern Caribbean). </w:t>
      </w:r>
    </w:p>
    <w:p w14:paraId="687CA79F" w14:textId="77777777" w:rsidR="00785623" w:rsidRDefault="00785623" w:rsidP="00785623">
      <w:pPr>
        <w:widowControl w:val="0"/>
        <w:autoSpaceDE w:val="0"/>
        <w:autoSpaceDN w:val="0"/>
        <w:adjustRightInd w:val="0"/>
        <w:spacing w:after="240" w:line="360" w:lineRule="atLeast"/>
        <w:jc w:val="both"/>
        <w:rPr>
          <w:rFonts w:ascii="Times" w:hAnsi="Times" w:cs="Times"/>
          <w:color w:val="000000"/>
        </w:rPr>
      </w:pPr>
      <w:r w:rsidRPr="00DE7386">
        <w:rPr>
          <w:b/>
        </w:rPr>
        <w:t>Regional Efficient Street Lighting Programme</w:t>
      </w:r>
      <w:r>
        <w:rPr>
          <w:rFonts w:ascii="Times" w:hAnsi="Times" w:cs="Times"/>
          <w:color w:val="000000"/>
          <w:sz w:val="29"/>
          <w:szCs w:val="29"/>
        </w:rPr>
        <w:t xml:space="preserve"> </w:t>
      </w:r>
    </w:p>
    <w:p w14:paraId="113760C5" w14:textId="77777777" w:rsidR="00785623" w:rsidRPr="005F51D7" w:rsidRDefault="00785623" w:rsidP="00785623">
      <w:pPr>
        <w:pStyle w:val="ListParagraph"/>
        <w:widowControl w:val="0"/>
        <w:numPr>
          <w:ilvl w:val="0"/>
          <w:numId w:val="31"/>
        </w:numPr>
        <w:autoSpaceDE w:val="0"/>
        <w:autoSpaceDN w:val="0"/>
        <w:adjustRightInd w:val="0"/>
        <w:spacing w:after="240" w:line="360" w:lineRule="atLeast"/>
        <w:contextualSpacing/>
        <w:jc w:val="both"/>
        <w:rPr>
          <w:color w:val="000000"/>
        </w:rPr>
      </w:pPr>
      <w:r w:rsidRPr="5795F0F6">
        <w:rPr>
          <w:color w:val="000000" w:themeColor="text1"/>
        </w:rPr>
        <w:t xml:space="preserve">In 2013, BMCs’ total electricity consumption for street lighting was approximately 200 GWh. A modest program targeting at least a 20% savings, using a shared-savings approach, has been allocated to enhance regional efficient street lightning. </w:t>
      </w:r>
    </w:p>
    <w:p w14:paraId="14882F86" w14:textId="77777777" w:rsidR="00785623" w:rsidRPr="00DE7386" w:rsidRDefault="00785623" w:rsidP="00785623">
      <w:pPr>
        <w:widowControl w:val="0"/>
        <w:autoSpaceDE w:val="0"/>
        <w:autoSpaceDN w:val="0"/>
        <w:adjustRightInd w:val="0"/>
        <w:spacing w:after="240" w:line="360" w:lineRule="atLeast"/>
        <w:jc w:val="both"/>
        <w:rPr>
          <w:b/>
        </w:rPr>
      </w:pPr>
      <w:r w:rsidRPr="00DE7386">
        <w:rPr>
          <w:b/>
        </w:rPr>
        <w:t xml:space="preserve">Regional ESCO Development Line of Credit </w:t>
      </w:r>
    </w:p>
    <w:p w14:paraId="3BB5DF5B" w14:textId="573DACB1" w:rsidR="00785623" w:rsidRDefault="00785623" w:rsidP="00785623">
      <w:pPr>
        <w:pStyle w:val="ListParagraph"/>
        <w:widowControl w:val="0"/>
        <w:numPr>
          <w:ilvl w:val="0"/>
          <w:numId w:val="31"/>
        </w:numPr>
        <w:autoSpaceDE w:val="0"/>
        <w:autoSpaceDN w:val="0"/>
        <w:adjustRightInd w:val="0"/>
        <w:spacing w:after="240" w:line="360" w:lineRule="atLeast"/>
        <w:contextualSpacing/>
        <w:jc w:val="both"/>
      </w:pPr>
      <w:r w:rsidRPr="5795F0F6">
        <w:rPr>
          <w:color w:val="000000" w:themeColor="text1"/>
        </w:rPr>
        <w:t>Private sector-based or utility-based ESCOs utilizing energy performance contracting approaches have been proven globally as a mechanism for providing turn-key EE solutions that overcome many barriers such as technical, market, financing, and performance risks (especially in the context of institutional buildings). CDB builds on existing efforts to establish a framework for the ESCO industry and further seek to provide the requisite financing through appropriately designed Lines of Credit to support implementation.</w:t>
      </w:r>
      <w:bookmarkEnd w:id="0"/>
      <w:bookmarkEnd w:id="1"/>
      <w:r>
        <w:t xml:space="preserve"> </w:t>
      </w:r>
    </w:p>
    <w:sectPr w:rsidR="00785623" w:rsidSect="00DE2545">
      <w:headerReference w:type="default" r:id="rId16"/>
      <w:headerReference w:type="first" r:id="rId17"/>
      <w:pgSz w:w="12240" w:h="15840" w:code="1"/>
      <w:pgMar w:top="1440" w:right="1440" w:bottom="1440" w:left="1440" w:header="720" w:footer="720" w:gutter="0"/>
      <w:pgNumType w:fmt="numberInDash"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12970" w14:textId="77777777" w:rsidR="004231D4" w:rsidRDefault="004231D4" w:rsidP="00785623">
      <w:r>
        <w:separator/>
      </w:r>
    </w:p>
  </w:endnote>
  <w:endnote w:type="continuationSeparator" w:id="0">
    <w:p w14:paraId="1834ABF3" w14:textId="77777777" w:rsidR="004231D4" w:rsidRDefault="004231D4" w:rsidP="0078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imes">
    <w:altName w:val="﷽﷽﷽﷽﷽﷽﷽﷽翿"/>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EE91A" w14:textId="77777777" w:rsidR="00785623" w:rsidRPr="00335FD3" w:rsidRDefault="00785623" w:rsidP="00335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E74F1" w14:textId="77777777" w:rsidR="004231D4" w:rsidRDefault="004231D4" w:rsidP="00785623">
      <w:r>
        <w:separator/>
      </w:r>
    </w:p>
  </w:footnote>
  <w:footnote w:type="continuationSeparator" w:id="0">
    <w:p w14:paraId="61C4AFAD" w14:textId="77777777" w:rsidR="004231D4" w:rsidRDefault="004231D4" w:rsidP="00785623">
      <w:r>
        <w:continuationSeparator/>
      </w:r>
    </w:p>
  </w:footnote>
  <w:footnote w:id="1">
    <w:p w14:paraId="1E7B33AC" w14:textId="77777777" w:rsidR="00785623" w:rsidRPr="00EE71F0" w:rsidRDefault="00785623" w:rsidP="00785623">
      <w:pPr>
        <w:pStyle w:val="Footnote1"/>
      </w:pPr>
      <w:r>
        <w:rPr>
          <w:rStyle w:val="FootnoteReference"/>
        </w:rPr>
        <w:footnoteRef/>
      </w:r>
      <w:r>
        <w:t xml:space="preserve"> </w:t>
      </w:r>
      <w:r w:rsidRPr="0018500C">
        <w:rPr>
          <w:lang w:val="en-GB"/>
        </w:rPr>
        <w:t xml:space="preserve">CDB Evaluation Policy. </w:t>
      </w:r>
      <w:r>
        <w:rPr>
          <w:lang w:val="en-GB"/>
        </w:rPr>
        <w:t>http://www.caribank.org/wp</w:t>
      </w:r>
      <w:r w:rsidRPr="0018500C">
        <w:rPr>
          <w:lang w:val="en-GB"/>
        </w:rPr>
        <w:t>content/uploads/2016/03/BD126_11EvaluationPolicyforCDB_FINAL.pdf</w:t>
      </w:r>
    </w:p>
  </w:footnote>
  <w:footnote w:id="2">
    <w:p w14:paraId="777A005C" w14:textId="77777777" w:rsidR="00785623" w:rsidRPr="00281DD4" w:rsidRDefault="00785623" w:rsidP="00785623">
      <w:pPr>
        <w:pStyle w:val="Footnote1"/>
      </w:pPr>
      <w:r>
        <w:rPr>
          <w:rStyle w:val="FootnoteReference"/>
        </w:rPr>
        <w:footnoteRef/>
      </w:r>
      <w:r>
        <w:t xml:space="preserve"> </w:t>
      </w:r>
      <w:r w:rsidRPr="00281DD4">
        <w:t>All BMCs except Trinidad and Tobago are net energy importers; however, some produce oil such as Suriname, Belize, and Barbados, with the latter producing both oil and natural gas.</w:t>
      </w:r>
    </w:p>
  </w:footnote>
  <w:footnote w:id="3">
    <w:p w14:paraId="1E6CB013" w14:textId="77777777" w:rsidR="00785623" w:rsidRPr="00281DD4" w:rsidRDefault="00785623" w:rsidP="00785623">
      <w:pPr>
        <w:pStyle w:val="Footnote1"/>
        <w:rPr>
          <w:rStyle w:val="FootnoteReference"/>
          <w:lang w:val="en-GB"/>
        </w:rPr>
      </w:pPr>
      <w:r>
        <w:rPr>
          <w:rStyle w:val="FootnoteReference"/>
        </w:rPr>
        <w:footnoteRef/>
      </w:r>
      <w:r w:rsidRPr="00281DD4">
        <w:rPr>
          <w:rStyle w:val="FootnoteReference"/>
        </w:rPr>
        <w:t xml:space="preserve"> </w:t>
      </w:r>
      <w:r w:rsidRPr="00281DD4">
        <w:rPr>
          <w:lang w:val="en-GB"/>
        </w:rPr>
        <w:t>Over 90% of net energy importing (NEI) BMCs' commercial energy is imported in oil and derivatives.</w:t>
      </w:r>
    </w:p>
  </w:footnote>
  <w:footnote w:id="4">
    <w:p w14:paraId="4AAB9D0C" w14:textId="77777777" w:rsidR="00785623" w:rsidRPr="00281DD4" w:rsidRDefault="00785623" w:rsidP="00785623">
      <w:pPr>
        <w:pStyle w:val="Footnote1"/>
        <w:rPr>
          <w:lang w:val="en-GB"/>
        </w:rPr>
      </w:pPr>
      <w:r>
        <w:rPr>
          <w:rStyle w:val="FootnoteReference"/>
        </w:rPr>
        <w:footnoteRef/>
      </w:r>
      <w:r>
        <w:t xml:space="preserve"> </w:t>
      </w:r>
      <w:r w:rsidRPr="00281DD4">
        <w:rPr>
          <w:lang w:val="en-GB"/>
        </w:rPr>
        <w:t>This is also a key source of lack of sustainability for the energy sector</w:t>
      </w:r>
      <w:r>
        <w:rPr>
          <w:lang w:val="en-GB"/>
        </w:rPr>
        <w:t>.</w:t>
      </w:r>
    </w:p>
  </w:footnote>
  <w:footnote w:id="5">
    <w:p w14:paraId="34B4AE86" w14:textId="77777777" w:rsidR="00785623" w:rsidRPr="009D5470" w:rsidRDefault="00785623" w:rsidP="00785623">
      <w:pPr>
        <w:pStyle w:val="FootnoteText"/>
        <w:rPr>
          <w:lang w:val="en-US"/>
        </w:rPr>
      </w:pPr>
      <w:r>
        <w:rPr>
          <w:rStyle w:val="FootnoteReference"/>
        </w:rPr>
        <w:footnoteRef/>
      </w:r>
      <w:r>
        <w:t xml:space="preserve"> </w:t>
      </w:r>
      <w:r w:rsidRPr="009D5470">
        <w:t>This total does not include the Counterpart Contribution</w:t>
      </w:r>
      <w:r>
        <w:t>.</w:t>
      </w:r>
    </w:p>
  </w:footnote>
  <w:footnote w:id="6">
    <w:p w14:paraId="12982A5E" w14:textId="77777777" w:rsidR="00785623" w:rsidRPr="002C78DE" w:rsidRDefault="00785623" w:rsidP="00785623">
      <w:pPr>
        <w:pStyle w:val="Footnote1"/>
        <w:rPr>
          <w:lang w:val="en-GB"/>
        </w:rPr>
      </w:pPr>
      <w:r>
        <w:rPr>
          <w:rStyle w:val="FootnoteReference"/>
        </w:rPr>
        <w:footnoteRef/>
      </w:r>
      <w:r>
        <w:t xml:space="preserve"> C</w:t>
      </w:r>
      <w:proofErr w:type="spellStart"/>
      <w:r w:rsidRPr="002C78DE">
        <w:rPr>
          <w:lang w:val="en-GB"/>
        </w:rPr>
        <w:t>orrespond</w:t>
      </w:r>
      <w:proofErr w:type="spellEnd"/>
      <w:r w:rsidRPr="002C78DE">
        <w:rPr>
          <w:lang w:val="en-GB"/>
        </w:rPr>
        <w:t xml:space="preserve"> to geothermal projects in DOM 10MW, GRE 10MW, Nevis 10MW, SL 20MW, and SVG 10MW. The first geothermal project that is included in the SEF pipeline will most likely receive funding is the project in SVG. </w:t>
      </w:r>
    </w:p>
    <w:p w14:paraId="729E09E6" w14:textId="77777777" w:rsidR="00785623" w:rsidRPr="002C78DE" w:rsidRDefault="00785623" w:rsidP="00785623">
      <w:pPr>
        <w:pStyle w:val="FootnoteText"/>
      </w:pPr>
    </w:p>
  </w:footnote>
  <w:footnote w:id="7">
    <w:p w14:paraId="33EEADC6" w14:textId="77777777" w:rsidR="00785623" w:rsidRPr="008560C3" w:rsidRDefault="00785623" w:rsidP="00785623">
      <w:pPr>
        <w:pStyle w:val="Footnote1"/>
        <w:rPr>
          <w:lang w:val="en-GB"/>
        </w:rPr>
      </w:pPr>
      <w:r>
        <w:rPr>
          <w:rStyle w:val="FootnoteReference"/>
        </w:rPr>
        <w:footnoteRef/>
      </w:r>
      <w:r>
        <w:t xml:space="preserve"> </w:t>
      </w:r>
      <w:r w:rsidRPr="008560C3">
        <w:rPr>
          <w:lang w:val="en-GB"/>
        </w:rPr>
        <w:t xml:space="preserve">The CARICOM Policy aims to promote "sustainable and secure energy supplies through diversification of energy sources; increased EE and conservation in all </w:t>
      </w:r>
      <w:r>
        <w:rPr>
          <w:lang w:val="en-GB"/>
        </w:rPr>
        <w:t>s</w:t>
      </w:r>
      <w:r w:rsidRPr="008560C3">
        <w:rPr>
          <w:lang w:val="en-GB"/>
        </w:rPr>
        <w:t xml:space="preserve">ectors strengthening and enhancing the human and institutional capacities; and established regional and national targets for emissions reduction with corresponding mitigation actions." CARICOV1 2013 Energy Policy. </w:t>
      </w:r>
    </w:p>
  </w:footnote>
  <w:footnote w:id="8">
    <w:p w14:paraId="668D4A16" w14:textId="77777777" w:rsidR="00785623" w:rsidRPr="000A7A52" w:rsidRDefault="00785623" w:rsidP="00785623">
      <w:pPr>
        <w:pStyle w:val="FootnoteText"/>
      </w:pPr>
      <w:r>
        <w:rPr>
          <w:rStyle w:val="FootnoteReference"/>
        </w:rPr>
        <w:footnoteRef/>
      </w:r>
      <w:r>
        <w:t xml:space="preserve"> </w:t>
      </w:r>
      <w:r w:rsidRPr="006223FF">
        <w:t xml:space="preserve">At the national level, project Sponsors will be either the government or an SPV established as a </w:t>
      </w:r>
      <w:r w:rsidRPr="00903FF1">
        <w:t xml:space="preserve">public private partnership </w:t>
      </w:r>
      <w:r>
        <w:t>(</w:t>
      </w:r>
      <w:r w:rsidRPr="006223FF">
        <w:t>PPP</w:t>
      </w:r>
      <w:r>
        <w:t>)</w:t>
      </w:r>
      <w:r w:rsidRPr="006223FF">
        <w:t xml:space="preserve"> in each of the participating 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597CA" w14:textId="70C7B1B0" w:rsidR="00785623" w:rsidRPr="00785623" w:rsidRDefault="00785623" w:rsidP="00BE3AE3">
    <w:pPr>
      <w:pStyle w:val="Header"/>
      <w:tabs>
        <w:tab w:val="left" w:pos="7200"/>
      </w:tabs>
      <w:jc w:val="right"/>
      <w:rPr>
        <w:b/>
        <w:sz w:val="22"/>
        <w:szCs w:val="22"/>
        <w:u w:val="single"/>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rPr>
      <w:id w:val="-1995715552"/>
      <w:docPartObj>
        <w:docPartGallery w:val="Page Numbers (Top of Page)"/>
        <w:docPartUnique/>
      </w:docPartObj>
    </w:sdtPr>
    <w:sdtEndPr/>
    <w:sdtContent>
      <w:p w14:paraId="4897BEB0" w14:textId="34C9F5B0" w:rsidR="00785623" w:rsidRDefault="00785623" w:rsidP="00FD4895">
        <w:pPr>
          <w:pStyle w:val="Header"/>
          <w:jc w:val="right"/>
          <w:rPr>
            <w:b/>
            <w:sz w:val="22"/>
            <w:szCs w:val="22"/>
            <w:u w:val="single"/>
          </w:rPr>
        </w:pPr>
      </w:p>
      <w:p w14:paraId="007B3B36" w14:textId="77777777" w:rsidR="00785623" w:rsidRPr="00023B40" w:rsidRDefault="004231D4" w:rsidP="00FD4895">
        <w:pPr>
          <w:pStyle w:val="Header"/>
          <w:jc w:val="right"/>
          <w:rPr>
            <w:b/>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6B2DB" w14:textId="5A549964" w:rsidR="00785623" w:rsidRPr="00785623" w:rsidRDefault="00785623" w:rsidP="00E844FF">
    <w:pPr>
      <w:pStyle w:val="Header"/>
      <w:tabs>
        <w:tab w:val="left" w:pos="7200"/>
      </w:tabs>
      <w:jc w:val="right"/>
      <w:rPr>
        <w:b/>
        <w:sz w:val="22"/>
        <w:szCs w:val="22"/>
        <w:u w:val="single"/>
        <w:lang w:val="it-IT"/>
      </w:rPr>
    </w:pPr>
    <w:r>
      <w:rPr>
        <w:b/>
        <w:sz w:val="22"/>
        <w:szCs w:val="22"/>
        <w:u w:val="single"/>
        <w:lang w:val="it-IT"/>
      </w:rPr>
      <w:t>APPENDIX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6DABF" w14:textId="77777777" w:rsidR="0097685F" w:rsidRPr="00785623" w:rsidRDefault="0097685F" w:rsidP="0097685F">
    <w:pPr>
      <w:pStyle w:val="Header"/>
      <w:tabs>
        <w:tab w:val="left" w:pos="7200"/>
      </w:tabs>
      <w:jc w:val="right"/>
      <w:rPr>
        <w:b/>
        <w:sz w:val="22"/>
        <w:szCs w:val="22"/>
        <w:u w:val="single"/>
        <w:lang w:val="it-IT"/>
      </w:rPr>
    </w:pPr>
    <w:r>
      <w:rPr>
        <w:b/>
        <w:sz w:val="22"/>
        <w:szCs w:val="22"/>
        <w:u w:val="single"/>
        <w:lang w:val="it-IT"/>
      </w:rPr>
      <w:t>APPENDIX 2</w:t>
    </w:r>
  </w:p>
  <w:p w14:paraId="7744583D" w14:textId="77777777" w:rsidR="0097685F" w:rsidRPr="00785623" w:rsidRDefault="0097685F" w:rsidP="00BE3AE3">
    <w:pPr>
      <w:pStyle w:val="Header"/>
      <w:tabs>
        <w:tab w:val="left" w:pos="7200"/>
      </w:tabs>
      <w:jc w:val="right"/>
      <w:rPr>
        <w:b/>
        <w:sz w:val="22"/>
        <w:szCs w:val="22"/>
        <w:u w:val="single"/>
        <w:lang w:val="it-I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8E056" w14:textId="474BD296" w:rsidR="009046A8" w:rsidRPr="00785623" w:rsidRDefault="00785623" w:rsidP="00DE2545">
    <w:pPr>
      <w:pStyle w:val="Header"/>
      <w:tabs>
        <w:tab w:val="left" w:pos="7200"/>
      </w:tabs>
      <w:jc w:val="right"/>
      <w:rPr>
        <w:b/>
        <w:sz w:val="22"/>
        <w:szCs w:val="22"/>
        <w:u w:val="single"/>
        <w:lang w:val="it-IT"/>
      </w:rPr>
    </w:pPr>
    <w:r>
      <w:rPr>
        <w:b/>
        <w:sz w:val="22"/>
        <w:szCs w:val="22"/>
        <w:u w:val="single"/>
        <w:lang w:val="it-IT"/>
      </w:rPr>
      <w:t>APPENDIX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25789"/>
    <w:multiLevelType w:val="hybridMultilevel"/>
    <w:tmpl w:val="E9C85A9A"/>
    <w:lvl w:ilvl="0" w:tplc="EDB24DD0">
      <w:start w:val="2"/>
      <w:numFmt w:val="decimal"/>
      <w:lvlText w:val="%1."/>
      <w:lvlJc w:val="left"/>
      <w:pPr>
        <w:tabs>
          <w:tab w:val="num" w:pos="720"/>
        </w:tabs>
        <w:ind w:left="720" w:hanging="360"/>
      </w:pPr>
    </w:lvl>
    <w:lvl w:ilvl="1" w:tplc="97540ED8" w:tentative="1">
      <w:start w:val="1"/>
      <w:numFmt w:val="decimal"/>
      <w:lvlText w:val="%2."/>
      <w:lvlJc w:val="left"/>
      <w:pPr>
        <w:tabs>
          <w:tab w:val="num" w:pos="1440"/>
        </w:tabs>
        <w:ind w:left="1440" w:hanging="360"/>
      </w:pPr>
    </w:lvl>
    <w:lvl w:ilvl="2" w:tplc="F274D260" w:tentative="1">
      <w:start w:val="1"/>
      <w:numFmt w:val="decimal"/>
      <w:lvlText w:val="%3."/>
      <w:lvlJc w:val="left"/>
      <w:pPr>
        <w:tabs>
          <w:tab w:val="num" w:pos="2160"/>
        </w:tabs>
        <w:ind w:left="2160" w:hanging="360"/>
      </w:pPr>
    </w:lvl>
    <w:lvl w:ilvl="3" w:tplc="63A63850" w:tentative="1">
      <w:start w:val="1"/>
      <w:numFmt w:val="decimal"/>
      <w:lvlText w:val="%4."/>
      <w:lvlJc w:val="left"/>
      <w:pPr>
        <w:tabs>
          <w:tab w:val="num" w:pos="2880"/>
        </w:tabs>
        <w:ind w:left="2880" w:hanging="360"/>
      </w:pPr>
    </w:lvl>
    <w:lvl w:ilvl="4" w:tplc="D83C38E2" w:tentative="1">
      <w:start w:val="1"/>
      <w:numFmt w:val="decimal"/>
      <w:lvlText w:val="%5."/>
      <w:lvlJc w:val="left"/>
      <w:pPr>
        <w:tabs>
          <w:tab w:val="num" w:pos="3600"/>
        </w:tabs>
        <w:ind w:left="3600" w:hanging="360"/>
      </w:pPr>
    </w:lvl>
    <w:lvl w:ilvl="5" w:tplc="A58C65F4" w:tentative="1">
      <w:start w:val="1"/>
      <w:numFmt w:val="decimal"/>
      <w:lvlText w:val="%6."/>
      <w:lvlJc w:val="left"/>
      <w:pPr>
        <w:tabs>
          <w:tab w:val="num" w:pos="4320"/>
        </w:tabs>
        <w:ind w:left="4320" w:hanging="360"/>
      </w:pPr>
    </w:lvl>
    <w:lvl w:ilvl="6" w:tplc="D9C052F2" w:tentative="1">
      <w:start w:val="1"/>
      <w:numFmt w:val="decimal"/>
      <w:lvlText w:val="%7."/>
      <w:lvlJc w:val="left"/>
      <w:pPr>
        <w:tabs>
          <w:tab w:val="num" w:pos="5040"/>
        </w:tabs>
        <w:ind w:left="5040" w:hanging="360"/>
      </w:pPr>
    </w:lvl>
    <w:lvl w:ilvl="7" w:tplc="834EE066" w:tentative="1">
      <w:start w:val="1"/>
      <w:numFmt w:val="decimal"/>
      <w:lvlText w:val="%8."/>
      <w:lvlJc w:val="left"/>
      <w:pPr>
        <w:tabs>
          <w:tab w:val="num" w:pos="5760"/>
        </w:tabs>
        <w:ind w:left="5760" w:hanging="360"/>
      </w:pPr>
    </w:lvl>
    <w:lvl w:ilvl="8" w:tplc="59CA0D96" w:tentative="1">
      <w:start w:val="1"/>
      <w:numFmt w:val="decimal"/>
      <w:lvlText w:val="%9."/>
      <w:lvlJc w:val="left"/>
      <w:pPr>
        <w:tabs>
          <w:tab w:val="num" w:pos="6480"/>
        </w:tabs>
        <w:ind w:left="6480" w:hanging="360"/>
      </w:pPr>
    </w:lvl>
  </w:abstractNum>
  <w:abstractNum w:abstractNumId="2" w15:restartNumberingAfterBreak="0">
    <w:nsid w:val="040C6DE0"/>
    <w:multiLevelType w:val="hybridMultilevel"/>
    <w:tmpl w:val="24CC0D6A"/>
    <w:lvl w:ilvl="0" w:tplc="24A2C9D6">
      <w:start w:val="1"/>
      <w:numFmt w:val="lowerLetter"/>
      <w:lvlText w:val="%1."/>
      <w:lvlJc w:val="left"/>
      <w:pPr>
        <w:ind w:left="1080" w:hanging="360"/>
      </w:pPr>
      <w:rPr>
        <w:rFonts w:hint="default"/>
      </w:rPr>
    </w:lvl>
    <w:lvl w:ilvl="1" w:tplc="A134D046" w:tentative="1">
      <w:start w:val="1"/>
      <w:numFmt w:val="lowerLetter"/>
      <w:lvlText w:val="%2."/>
      <w:lvlJc w:val="left"/>
      <w:pPr>
        <w:ind w:left="1800" w:hanging="360"/>
      </w:pPr>
    </w:lvl>
    <w:lvl w:ilvl="2" w:tplc="8C24EDD4" w:tentative="1">
      <w:start w:val="1"/>
      <w:numFmt w:val="lowerRoman"/>
      <w:lvlText w:val="%3."/>
      <w:lvlJc w:val="right"/>
      <w:pPr>
        <w:ind w:left="2520" w:hanging="180"/>
      </w:pPr>
    </w:lvl>
    <w:lvl w:ilvl="3" w:tplc="A746B3CE" w:tentative="1">
      <w:start w:val="1"/>
      <w:numFmt w:val="decimal"/>
      <w:lvlText w:val="%4."/>
      <w:lvlJc w:val="left"/>
      <w:pPr>
        <w:ind w:left="3240" w:hanging="360"/>
      </w:pPr>
    </w:lvl>
    <w:lvl w:ilvl="4" w:tplc="6688DAE4" w:tentative="1">
      <w:start w:val="1"/>
      <w:numFmt w:val="lowerLetter"/>
      <w:lvlText w:val="%5."/>
      <w:lvlJc w:val="left"/>
      <w:pPr>
        <w:ind w:left="3960" w:hanging="360"/>
      </w:pPr>
    </w:lvl>
    <w:lvl w:ilvl="5" w:tplc="F190CB18" w:tentative="1">
      <w:start w:val="1"/>
      <w:numFmt w:val="lowerRoman"/>
      <w:lvlText w:val="%6."/>
      <w:lvlJc w:val="right"/>
      <w:pPr>
        <w:ind w:left="4680" w:hanging="180"/>
      </w:pPr>
    </w:lvl>
    <w:lvl w:ilvl="6" w:tplc="F98AE93E" w:tentative="1">
      <w:start w:val="1"/>
      <w:numFmt w:val="decimal"/>
      <w:lvlText w:val="%7."/>
      <w:lvlJc w:val="left"/>
      <w:pPr>
        <w:ind w:left="5400" w:hanging="360"/>
      </w:pPr>
    </w:lvl>
    <w:lvl w:ilvl="7" w:tplc="8D2E84B2" w:tentative="1">
      <w:start w:val="1"/>
      <w:numFmt w:val="lowerLetter"/>
      <w:lvlText w:val="%8."/>
      <w:lvlJc w:val="left"/>
      <w:pPr>
        <w:ind w:left="6120" w:hanging="360"/>
      </w:pPr>
    </w:lvl>
    <w:lvl w:ilvl="8" w:tplc="1F4E4A4C" w:tentative="1">
      <w:start w:val="1"/>
      <w:numFmt w:val="lowerRoman"/>
      <w:lvlText w:val="%9."/>
      <w:lvlJc w:val="right"/>
      <w:pPr>
        <w:ind w:left="6840" w:hanging="180"/>
      </w:pPr>
    </w:lvl>
  </w:abstractNum>
  <w:abstractNum w:abstractNumId="3" w15:restartNumberingAfterBreak="0">
    <w:nsid w:val="118B22D9"/>
    <w:multiLevelType w:val="hybridMultilevel"/>
    <w:tmpl w:val="27EA9180"/>
    <w:lvl w:ilvl="0" w:tplc="0410000F">
      <w:start w:val="1"/>
      <w:numFmt w:val="decimal"/>
      <w:lvlText w:val="%1."/>
      <w:lvlJc w:val="left"/>
      <w:pPr>
        <w:ind w:left="360" w:hanging="360"/>
      </w:pPr>
      <w:rPr>
        <w:rFonts w:hint="default"/>
        <w:i w:val="0"/>
      </w:rPr>
    </w:lvl>
    <w:lvl w:ilvl="1" w:tplc="27542D0E">
      <w:start w:val="1"/>
      <w:numFmt w:val="lowerLetter"/>
      <w:lvlText w:val="%2."/>
      <w:lvlJc w:val="left"/>
      <w:pPr>
        <w:ind w:left="1080" w:hanging="360"/>
      </w:pPr>
    </w:lvl>
    <w:lvl w:ilvl="2" w:tplc="C082B50C" w:tentative="1">
      <w:start w:val="1"/>
      <w:numFmt w:val="lowerRoman"/>
      <w:lvlText w:val="%3."/>
      <w:lvlJc w:val="right"/>
      <w:pPr>
        <w:ind w:left="1800" w:hanging="180"/>
      </w:pPr>
    </w:lvl>
    <w:lvl w:ilvl="3" w:tplc="021087F2" w:tentative="1">
      <w:start w:val="1"/>
      <w:numFmt w:val="decimal"/>
      <w:lvlText w:val="%4."/>
      <w:lvlJc w:val="left"/>
      <w:pPr>
        <w:ind w:left="2520" w:hanging="360"/>
      </w:pPr>
    </w:lvl>
    <w:lvl w:ilvl="4" w:tplc="B2088254" w:tentative="1">
      <w:start w:val="1"/>
      <w:numFmt w:val="lowerLetter"/>
      <w:lvlText w:val="%5."/>
      <w:lvlJc w:val="left"/>
      <w:pPr>
        <w:ind w:left="3240" w:hanging="360"/>
      </w:pPr>
    </w:lvl>
    <w:lvl w:ilvl="5" w:tplc="64160084" w:tentative="1">
      <w:start w:val="1"/>
      <w:numFmt w:val="lowerRoman"/>
      <w:lvlText w:val="%6."/>
      <w:lvlJc w:val="right"/>
      <w:pPr>
        <w:ind w:left="3960" w:hanging="180"/>
      </w:pPr>
    </w:lvl>
    <w:lvl w:ilvl="6" w:tplc="0F5C9E2C" w:tentative="1">
      <w:start w:val="1"/>
      <w:numFmt w:val="decimal"/>
      <w:lvlText w:val="%7."/>
      <w:lvlJc w:val="left"/>
      <w:pPr>
        <w:ind w:left="4680" w:hanging="360"/>
      </w:pPr>
    </w:lvl>
    <w:lvl w:ilvl="7" w:tplc="67F8FA72" w:tentative="1">
      <w:start w:val="1"/>
      <w:numFmt w:val="lowerLetter"/>
      <w:lvlText w:val="%8."/>
      <w:lvlJc w:val="left"/>
      <w:pPr>
        <w:ind w:left="5400" w:hanging="360"/>
      </w:pPr>
    </w:lvl>
    <w:lvl w:ilvl="8" w:tplc="A244A50E" w:tentative="1">
      <w:start w:val="1"/>
      <w:numFmt w:val="lowerRoman"/>
      <w:lvlText w:val="%9."/>
      <w:lvlJc w:val="right"/>
      <w:pPr>
        <w:ind w:left="6120" w:hanging="180"/>
      </w:pPr>
    </w:lvl>
  </w:abstractNum>
  <w:abstractNum w:abstractNumId="4" w15:restartNumberingAfterBreak="0">
    <w:nsid w:val="156745E5"/>
    <w:multiLevelType w:val="hybridMultilevel"/>
    <w:tmpl w:val="27C41880"/>
    <w:lvl w:ilvl="0" w:tplc="A632424E">
      <w:start w:val="1"/>
      <w:numFmt w:val="decimalZero"/>
      <w:lvlText w:val="6.%1"/>
      <w:lvlJc w:val="left"/>
      <w:pPr>
        <w:ind w:left="360" w:hanging="360"/>
      </w:pPr>
      <w:rPr>
        <w:rFonts w:cs="Times New Roman" w:hint="default"/>
      </w:rPr>
    </w:lvl>
    <w:lvl w:ilvl="1" w:tplc="17BCE8FA" w:tentative="1">
      <w:start w:val="1"/>
      <w:numFmt w:val="lowerLetter"/>
      <w:lvlText w:val="%2."/>
      <w:lvlJc w:val="left"/>
      <w:pPr>
        <w:ind w:left="720" w:hanging="360"/>
      </w:pPr>
    </w:lvl>
    <w:lvl w:ilvl="2" w:tplc="49745A60" w:tentative="1">
      <w:start w:val="1"/>
      <w:numFmt w:val="lowerRoman"/>
      <w:lvlText w:val="%3."/>
      <w:lvlJc w:val="right"/>
      <w:pPr>
        <w:ind w:left="1440" w:hanging="180"/>
      </w:pPr>
    </w:lvl>
    <w:lvl w:ilvl="3" w:tplc="73BA2BE6" w:tentative="1">
      <w:start w:val="1"/>
      <w:numFmt w:val="decimal"/>
      <w:lvlText w:val="%4."/>
      <w:lvlJc w:val="left"/>
      <w:pPr>
        <w:ind w:left="2160" w:hanging="360"/>
      </w:pPr>
    </w:lvl>
    <w:lvl w:ilvl="4" w:tplc="92C6230A" w:tentative="1">
      <w:start w:val="1"/>
      <w:numFmt w:val="lowerLetter"/>
      <w:lvlText w:val="%5."/>
      <w:lvlJc w:val="left"/>
      <w:pPr>
        <w:ind w:left="2880" w:hanging="360"/>
      </w:pPr>
    </w:lvl>
    <w:lvl w:ilvl="5" w:tplc="7B7E2A70" w:tentative="1">
      <w:start w:val="1"/>
      <w:numFmt w:val="lowerRoman"/>
      <w:lvlText w:val="%6."/>
      <w:lvlJc w:val="right"/>
      <w:pPr>
        <w:ind w:left="3600" w:hanging="180"/>
      </w:pPr>
    </w:lvl>
    <w:lvl w:ilvl="6" w:tplc="5B1A4C0A" w:tentative="1">
      <w:start w:val="1"/>
      <w:numFmt w:val="decimal"/>
      <w:lvlText w:val="%7."/>
      <w:lvlJc w:val="left"/>
      <w:pPr>
        <w:ind w:left="4320" w:hanging="360"/>
      </w:pPr>
    </w:lvl>
    <w:lvl w:ilvl="7" w:tplc="9192175E" w:tentative="1">
      <w:start w:val="1"/>
      <w:numFmt w:val="lowerLetter"/>
      <w:lvlText w:val="%8."/>
      <w:lvlJc w:val="left"/>
      <w:pPr>
        <w:ind w:left="5040" w:hanging="360"/>
      </w:pPr>
    </w:lvl>
    <w:lvl w:ilvl="8" w:tplc="CE345A0E" w:tentative="1">
      <w:start w:val="1"/>
      <w:numFmt w:val="lowerRoman"/>
      <w:lvlText w:val="%9."/>
      <w:lvlJc w:val="right"/>
      <w:pPr>
        <w:ind w:left="5760" w:hanging="180"/>
      </w:pPr>
    </w:lvl>
  </w:abstractNum>
  <w:abstractNum w:abstractNumId="5" w15:restartNumberingAfterBreak="0">
    <w:nsid w:val="1F9C67C3"/>
    <w:multiLevelType w:val="hybridMultilevel"/>
    <w:tmpl w:val="0906A766"/>
    <w:lvl w:ilvl="0" w:tplc="9506B5A0">
      <w:start w:val="1"/>
      <w:numFmt w:val="decimal"/>
      <w:lvlText w:val="%1."/>
      <w:lvlJc w:val="left"/>
      <w:pPr>
        <w:ind w:left="360" w:hanging="360"/>
      </w:pPr>
      <w:rPr>
        <w:rFonts w:hint="default"/>
      </w:rPr>
    </w:lvl>
    <w:lvl w:ilvl="1" w:tplc="41E2F96E">
      <w:start w:val="1"/>
      <w:numFmt w:val="decimal"/>
      <w:isLgl/>
      <w:lvlText w:val="%1.%2"/>
      <w:lvlJc w:val="left"/>
      <w:pPr>
        <w:ind w:left="1080" w:hanging="360"/>
      </w:pPr>
      <w:rPr>
        <w:rFonts w:hint="default"/>
      </w:rPr>
    </w:lvl>
    <w:lvl w:ilvl="2" w:tplc="8BBE5FB4">
      <w:start w:val="1"/>
      <w:numFmt w:val="decimal"/>
      <w:isLgl/>
      <w:lvlText w:val="%1.%2.%3"/>
      <w:lvlJc w:val="left"/>
      <w:pPr>
        <w:ind w:left="2160" w:hanging="720"/>
      </w:pPr>
      <w:rPr>
        <w:rFonts w:hint="default"/>
      </w:rPr>
    </w:lvl>
    <w:lvl w:ilvl="3" w:tplc="F3664B5E">
      <w:start w:val="1"/>
      <w:numFmt w:val="decimal"/>
      <w:isLgl/>
      <w:lvlText w:val="%1.%2.%3.%4"/>
      <w:lvlJc w:val="left"/>
      <w:pPr>
        <w:ind w:left="2880" w:hanging="720"/>
      </w:pPr>
      <w:rPr>
        <w:rFonts w:hint="default"/>
      </w:rPr>
    </w:lvl>
    <w:lvl w:ilvl="4" w:tplc="ABA0BD96">
      <w:start w:val="1"/>
      <w:numFmt w:val="decimal"/>
      <w:isLgl/>
      <w:lvlText w:val="%1.%2.%3.%4.%5"/>
      <w:lvlJc w:val="left"/>
      <w:pPr>
        <w:ind w:left="3960" w:hanging="1080"/>
      </w:pPr>
      <w:rPr>
        <w:rFonts w:hint="default"/>
      </w:rPr>
    </w:lvl>
    <w:lvl w:ilvl="5" w:tplc="D4C4EA66">
      <w:start w:val="1"/>
      <w:numFmt w:val="decimal"/>
      <w:isLgl/>
      <w:lvlText w:val="%1.%2.%3.%4.%5.%6"/>
      <w:lvlJc w:val="left"/>
      <w:pPr>
        <w:ind w:left="4680" w:hanging="1080"/>
      </w:pPr>
      <w:rPr>
        <w:rFonts w:hint="default"/>
      </w:rPr>
    </w:lvl>
    <w:lvl w:ilvl="6" w:tplc="F3F239C8">
      <w:start w:val="1"/>
      <w:numFmt w:val="decimal"/>
      <w:isLgl/>
      <w:lvlText w:val="%1.%2.%3.%4.%5.%6.%7"/>
      <w:lvlJc w:val="left"/>
      <w:pPr>
        <w:ind w:left="5760" w:hanging="1440"/>
      </w:pPr>
      <w:rPr>
        <w:rFonts w:hint="default"/>
      </w:rPr>
    </w:lvl>
    <w:lvl w:ilvl="7" w:tplc="FE64F182">
      <w:start w:val="1"/>
      <w:numFmt w:val="decimal"/>
      <w:isLgl/>
      <w:lvlText w:val="%1.%2.%3.%4.%5.%6.%7.%8"/>
      <w:lvlJc w:val="left"/>
      <w:pPr>
        <w:ind w:left="6480" w:hanging="1440"/>
      </w:pPr>
      <w:rPr>
        <w:rFonts w:hint="default"/>
      </w:rPr>
    </w:lvl>
    <w:lvl w:ilvl="8" w:tplc="AF2EE560">
      <w:start w:val="1"/>
      <w:numFmt w:val="decimal"/>
      <w:isLgl/>
      <w:lvlText w:val="%1.%2.%3.%4.%5.%6.%7.%8.%9"/>
      <w:lvlJc w:val="left"/>
      <w:pPr>
        <w:ind w:left="7560" w:hanging="1800"/>
      </w:pPr>
      <w:rPr>
        <w:rFonts w:hint="default"/>
      </w:rPr>
    </w:lvl>
  </w:abstractNum>
  <w:abstractNum w:abstractNumId="6" w15:restartNumberingAfterBreak="0">
    <w:nsid w:val="264C58E6"/>
    <w:multiLevelType w:val="hybridMultilevel"/>
    <w:tmpl w:val="89283C3E"/>
    <w:lvl w:ilvl="0" w:tplc="EDE63104">
      <w:start w:val="7"/>
      <w:numFmt w:val="decimalZero"/>
      <w:lvlText w:val="5.%1"/>
      <w:lvlJc w:val="left"/>
      <w:pPr>
        <w:ind w:left="360" w:hanging="360"/>
      </w:pPr>
      <w:rPr>
        <w:rFonts w:hint="default"/>
        <w:i w:val="0"/>
      </w:rPr>
    </w:lvl>
    <w:lvl w:ilvl="1" w:tplc="ECBA4386" w:tentative="1">
      <w:start w:val="1"/>
      <w:numFmt w:val="bullet"/>
      <w:lvlText w:val="o"/>
      <w:lvlJc w:val="left"/>
      <w:pPr>
        <w:ind w:left="1080" w:hanging="360"/>
      </w:pPr>
      <w:rPr>
        <w:rFonts w:ascii="Courier New" w:hAnsi="Courier New" w:cs="Courier New" w:hint="default"/>
      </w:rPr>
    </w:lvl>
    <w:lvl w:ilvl="2" w:tplc="BF860534" w:tentative="1">
      <w:start w:val="1"/>
      <w:numFmt w:val="bullet"/>
      <w:lvlText w:val=""/>
      <w:lvlJc w:val="left"/>
      <w:pPr>
        <w:ind w:left="1800" w:hanging="360"/>
      </w:pPr>
      <w:rPr>
        <w:rFonts w:ascii="Wingdings" w:hAnsi="Wingdings" w:hint="default"/>
      </w:rPr>
    </w:lvl>
    <w:lvl w:ilvl="3" w:tplc="0DFCFF68" w:tentative="1">
      <w:start w:val="1"/>
      <w:numFmt w:val="bullet"/>
      <w:lvlText w:val=""/>
      <w:lvlJc w:val="left"/>
      <w:pPr>
        <w:ind w:left="2520" w:hanging="360"/>
      </w:pPr>
      <w:rPr>
        <w:rFonts w:ascii="Symbol" w:hAnsi="Symbol" w:hint="default"/>
      </w:rPr>
    </w:lvl>
    <w:lvl w:ilvl="4" w:tplc="F2AE900C" w:tentative="1">
      <w:start w:val="1"/>
      <w:numFmt w:val="bullet"/>
      <w:lvlText w:val="o"/>
      <w:lvlJc w:val="left"/>
      <w:pPr>
        <w:ind w:left="3240" w:hanging="360"/>
      </w:pPr>
      <w:rPr>
        <w:rFonts w:ascii="Courier New" w:hAnsi="Courier New" w:cs="Courier New" w:hint="default"/>
      </w:rPr>
    </w:lvl>
    <w:lvl w:ilvl="5" w:tplc="8C228A72" w:tentative="1">
      <w:start w:val="1"/>
      <w:numFmt w:val="bullet"/>
      <w:lvlText w:val=""/>
      <w:lvlJc w:val="left"/>
      <w:pPr>
        <w:ind w:left="3960" w:hanging="360"/>
      </w:pPr>
      <w:rPr>
        <w:rFonts w:ascii="Wingdings" w:hAnsi="Wingdings" w:hint="default"/>
      </w:rPr>
    </w:lvl>
    <w:lvl w:ilvl="6" w:tplc="C632EA42" w:tentative="1">
      <w:start w:val="1"/>
      <w:numFmt w:val="bullet"/>
      <w:lvlText w:val=""/>
      <w:lvlJc w:val="left"/>
      <w:pPr>
        <w:ind w:left="4680" w:hanging="360"/>
      </w:pPr>
      <w:rPr>
        <w:rFonts w:ascii="Symbol" w:hAnsi="Symbol" w:hint="default"/>
      </w:rPr>
    </w:lvl>
    <w:lvl w:ilvl="7" w:tplc="6686B9EC" w:tentative="1">
      <w:start w:val="1"/>
      <w:numFmt w:val="bullet"/>
      <w:lvlText w:val="o"/>
      <w:lvlJc w:val="left"/>
      <w:pPr>
        <w:ind w:left="5400" w:hanging="360"/>
      </w:pPr>
      <w:rPr>
        <w:rFonts w:ascii="Courier New" w:hAnsi="Courier New" w:cs="Courier New" w:hint="default"/>
      </w:rPr>
    </w:lvl>
    <w:lvl w:ilvl="8" w:tplc="0F4C5994" w:tentative="1">
      <w:start w:val="1"/>
      <w:numFmt w:val="bullet"/>
      <w:lvlText w:val=""/>
      <w:lvlJc w:val="left"/>
      <w:pPr>
        <w:ind w:left="6120" w:hanging="360"/>
      </w:pPr>
      <w:rPr>
        <w:rFonts w:ascii="Wingdings" w:hAnsi="Wingdings" w:hint="default"/>
      </w:rPr>
    </w:lvl>
  </w:abstractNum>
  <w:abstractNum w:abstractNumId="7" w15:restartNumberingAfterBreak="0">
    <w:nsid w:val="27077806"/>
    <w:multiLevelType w:val="hybridMultilevel"/>
    <w:tmpl w:val="A5F4FCFC"/>
    <w:lvl w:ilvl="0" w:tplc="4A286C3C">
      <w:start w:val="1"/>
      <w:numFmt w:val="decimal"/>
      <w:lvlText w:val="%1."/>
      <w:lvlJc w:val="left"/>
      <w:pPr>
        <w:ind w:left="1080" w:hanging="360"/>
      </w:pPr>
      <w:rPr>
        <w:rFonts w:hint="default"/>
        <w:i w:val="0"/>
      </w:rPr>
    </w:lvl>
    <w:lvl w:ilvl="1" w:tplc="27542D0E">
      <w:start w:val="1"/>
      <w:numFmt w:val="lowerLetter"/>
      <w:lvlText w:val="%2."/>
      <w:lvlJc w:val="left"/>
      <w:pPr>
        <w:ind w:left="1800" w:hanging="360"/>
      </w:pPr>
    </w:lvl>
    <w:lvl w:ilvl="2" w:tplc="C082B50C" w:tentative="1">
      <w:start w:val="1"/>
      <w:numFmt w:val="lowerRoman"/>
      <w:lvlText w:val="%3."/>
      <w:lvlJc w:val="right"/>
      <w:pPr>
        <w:ind w:left="2520" w:hanging="180"/>
      </w:pPr>
    </w:lvl>
    <w:lvl w:ilvl="3" w:tplc="021087F2" w:tentative="1">
      <w:start w:val="1"/>
      <w:numFmt w:val="decimal"/>
      <w:lvlText w:val="%4."/>
      <w:lvlJc w:val="left"/>
      <w:pPr>
        <w:ind w:left="3240" w:hanging="360"/>
      </w:pPr>
    </w:lvl>
    <w:lvl w:ilvl="4" w:tplc="B2088254" w:tentative="1">
      <w:start w:val="1"/>
      <w:numFmt w:val="lowerLetter"/>
      <w:lvlText w:val="%5."/>
      <w:lvlJc w:val="left"/>
      <w:pPr>
        <w:ind w:left="3960" w:hanging="360"/>
      </w:pPr>
    </w:lvl>
    <w:lvl w:ilvl="5" w:tplc="64160084" w:tentative="1">
      <w:start w:val="1"/>
      <w:numFmt w:val="lowerRoman"/>
      <w:lvlText w:val="%6."/>
      <w:lvlJc w:val="right"/>
      <w:pPr>
        <w:ind w:left="4680" w:hanging="180"/>
      </w:pPr>
    </w:lvl>
    <w:lvl w:ilvl="6" w:tplc="0F5C9E2C" w:tentative="1">
      <w:start w:val="1"/>
      <w:numFmt w:val="decimal"/>
      <w:lvlText w:val="%7."/>
      <w:lvlJc w:val="left"/>
      <w:pPr>
        <w:ind w:left="5400" w:hanging="360"/>
      </w:pPr>
    </w:lvl>
    <w:lvl w:ilvl="7" w:tplc="67F8FA72" w:tentative="1">
      <w:start w:val="1"/>
      <w:numFmt w:val="lowerLetter"/>
      <w:lvlText w:val="%8."/>
      <w:lvlJc w:val="left"/>
      <w:pPr>
        <w:ind w:left="6120" w:hanging="360"/>
      </w:pPr>
    </w:lvl>
    <w:lvl w:ilvl="8" w:tplc="A244A50E" w:tentative="1">
      <w:start w:val="1"/>
      <w:numFmt w:val="lowerRoman"/>
      <w:lvlText w:val="%9."/>
      <w:lvlJc w:val="right"/>
      <w:pPr>
        <w:ind w:left="6840" w:hanging="180"/>
      </w:pPr>
    </w:lvl>
  </w:abstractNum>
  <w:abstractNum w:abstractNumId="8" w15:restartNumberingAfterBreak="0">
    <w:nsid w:val="27BC20FC"/>
    <w:multiLevelType w:val="hybridMultilevel"/>
    <w:tmpl w:val="172E85EE"/>
    <w:lvl w:ilvl="0" w:tplc="4B1AB9F4">
      <w:numFmt w:val="bullet"/>
      <w:lvlText w:val="-"/>
      <w:lvlJc w:val="left"/>
      <w:pPr>
        <w:ind w:left="360" w:hanging="360"/>
      </w:pPr>
      <w:rPr>
        <w:rFonts w:ascii="Times New Roman" w:eastAsiaTheme="minorHAnsi" w:hAnsi="Times New Roman" w:cs="Times New Roman" w:hint="default"/>
      </w:rPr>
    </w:lvl>
    <w:lvl w:ilvl="1" w:tplc="6F209122" w:tentative="1">
      <w:start w:val="1"/>
      <w:numFmt w:val="bullet"/>
      <w:lvlText w:val="o"/>
      <w:lvlJc w:val="left"/>
      <w:pPr>
        <w:ind w:left="1080" w:hanging="360"/>
      </w:pPr>
      <w:rPr>
        <w:rFonts w:ascii="Courier New" w:hAnsi="Courier New" w:cs="Courier New" w:hint="default"/>
      </w:rPr>
    </w:lvl>
    <w:lvl w:ilvl="2" w:tplc="373AF526" w:tentative="1">
      <w:start w:val="1"/>
      <w:numFmt w:val="bullet"/>
      <w:lvlText w:val=""/>
      <w:lvlJc w:val="left"/>
      <w:pPr>
        <w:ind w:left="1800" w:hanging="360"/>
      </w:pPr>
      <w:rPr>
        <w:rFonts w:ascii="Wingdings" w:hAnsi="Wingdings" w:hint="default"/>
      </w:rPr>
    </w:lvl>
    <w:lvl w:ilvl="3" w:tplc="3CF84B34" w:tentative="1">
      <w:start w:val="1"/>
      <w:numFmt w:val="bullet"/>
      <w:lvlText w:val=""/>
      <w:lvlJc w:val="left"/>
      <w:pPr>
        <w:ind w:left="2520" w:hanging="360"/>
      </w:pPr>
      <w:rPr>
        <w:rFonts w:ascii="Symbol" w:hAnsi="Symbol" w:hint="default"/>
      </w:rPr>
    </w:lvl>
    <w:lvl w:ilvl="4" w:tplc="62F84EA0" w:tentative="1">
      <w:start w:val="1"/>
      <w:numFmt w:val="bullet"/>
      <w:lvlText w:val="o"/>
      <w:lvlJc w:val="left"/>
      <w:pPr>
        <w:ind w:left="3240" w:hanging="360"/>
      </w:pPr>
      <w:rPr>
        <w:rFonts w:ascii="Courier New" w:hAnsi="Courier New" w:cs="Courier New" w:hint="default"/>
      </w:rPr>
    </w:lvl>
    <w:lvl w:ilvl="5" w:tplc="C42C4634" w:tentative="1">
      <w:start w:val="1"/>
      <w:numFmt w:val="bullet"/>
      <w:lvlText w:val=""/>
      <w:lvlJc w:val="left"/>
      <w:pPr>
        <w:ind w:left="3960" w:hanging="360"/>
      </w:pPr>
      <w:rPr>
        <w:rFonts w:ascii="Wingdings" w:hAnsi="Wingdings" w:hint="default"/>
      </w:rPr>
    </w:lvl>
    <w:lvl w:ilvl="6" w:tplc="AB7C60F8" w:tentative="1">
      <w:start w:val="1"/>
      <w:numFmt w:val="bullet"/>
      <w:lvlText w:val=""/>
      <w:lvlJc w:val="left"/>
      <w:pPr>
        <w:ind w:left="4680" w:hanging="360"/>
      </w:pPr>
      <w:rPr>
        <w:rFonts w:ascii="Symbol" w:hAnsi="Symbol" w:hint="default"/>
      </w:rPr>
    </w:lvl>
    <w:lvl w:ilvl="7" w:tplc="616CFE96" w:tentative="1">
      <w:start w:val="1"/>
      <w:numFmt w:val="bullet"/>
      <w:lvlText w:val="o"/>
      <w:lvlJc w:val="left"/>
      <w:pPr>
        <w:ind w:left="5400" w:hanging="360"/>
      </w:pPr>
      <w:rPr>
        <w:rFonts w:ascii="Courier New" w:hAnsi="Courier New" w:cs="Courier New" w:hint="default"/>
      </w:rPr>
    </w:lvl>
    <w:lvl w:ilvl="8" w:tplc="6A0261F2" w:tentative="1">
      <w:start w:val="1"/>
      <w:numFmt w:val="bullet"/>
      <w:lvlText w:val=""/>
      <w:lvlJc w:val="left"/>
      <w:pPr>
        <w:ind w:left="6120" w:hanging="360"/>
      </w:pPr>
      <w:rPr>
        <w:rFonts w:ascii="Wingdings" w:hAnsi="Wingdings" w:hint="default"/>
      </w:rPr>
    </w:lvl>
  </w:abstractNum>
  <w:abstractNum w:abstractNumId="9" w15:restartNumberingAfterBreak="0">
    <w:nsid w:val="290900F5"/>
    <w:multiLevelType w:val="hybridMultilevel"/>
    <w:tmpl w:val="4CDE350E"/>
    <w:lvl w:ilvl="0" w:tplc="F4C48764">
      <w:start w:val="1"/>
      <w:numFmt w:val="decimalZero"/>
      <w:lvlText w:val="5.%1"/>
      <w:lvlJc w:val="left"/>
      <w:pPr>
        <w:ind w:left="360" w:hanging="360"/>
      </w:pPr>
      <w:rPr>
        <w:rFonts w:hint="default"/>
        <w:i w:val="0"/>
      </w:rPr>
    </w:lvl>
    <w:lvl w:ilvl="1" w:tplc="A8EAC3AA" w:tentative="1">
      <w:start w:val="1"/>
      <w:numFmt w:val="lowerLetter"/>
      <w:lvlText w:val="%2."/>
      <w:lvlJc w:val="left"/>
      <w:pPr>
        <w:ind w:left="1080" w:hanging="360"/>
      </w:pPr>
    </w:lvl>
    <w:lvl w:ilvl="2" w:tplc="F740DB9C" w:tentative="1">
      <w:start w:val="1"/>
      <w:numFmt w:val="lowerRoman"/>
      <w:lvlText w:val="%3."/>
      <w:lvlJc w:val="right"/>
      <w:pPr>
        <w:ind w:left="1800" w:hanging="180"/>
      </w:pPr>
    </w:lvl>
    <w:lvl w:ilvl="3" w:tplc="B17C8488" w:tentative="1">
      <w:start w:val="1"/>
      <w:numFmt w:val="decimal"/>
      <w:lvlText w:val="%4."/>
      <w:lvlJc w:val="left"/>
      <w:pPr>
        <w:ind w:left="2520" w:hanging="360"/>
      </w:pPr>
    </w:lvl>
    <w:lvl w:ilvl="4" w:tplc="E79E32D2" w:tentative="1">
      <w:start w:val="1"/>
      <w:numFmt w:val="lowerLetter"/>
      <w:lvlText w:val="%5."/>
      <w:lvlJc w:val="left"/>
      <w:pPr>
        <w:ind w:left="3240" w:hanging="360"/>
      </w:pPr>
    </w:lvl>
    <w:lvl w:ilvl="5" w:tplc="24D2F352" w:tentative="1">
      <w:start w:val="1"/>
      <w:numFmt w:val="lowerRoman"/>
      <w:lvlText w:val="%6."/>
      <w:lvlJc w:val="right"/>
      <w:pPr>
        <w:ind w:left="3960" w:hanging="180"/>
      </w:pPr>
    </w:lvl>
    <w:lvl w:ilvl="6" w:tplc="54CEDCF6" w:tentative="1">
      <w:start w:val="1"/>
      <w:numFmt w:val="decimal"/>
      <w:lvlText w:val="%7."/>
      <w:lvlJc w:val="left"/>
      <w:pPr>
        <w:ind w:left="4680" w:hanging="360"/>
      </w:pPr>
    </w:lvl>
    <w:lvl w:ilvl="7" w:tplc="42D2EA18" w:tentative="1">
      <w:start w:val="1"/>
      <w:numFmt w:val="lowerLetter"/>
      <w:lvlText w:val="%8."/>
      <w:lvlJc w:val="left"/>
      <w:pPr>
        <w:ind w:left="5400" w:hanging="360"/>
      </w:pPr>
    </w:lvl>
    <w:lvl w:ilvl="8" w:tplc="1A104EB4" w:tentative="1">
      <w:start w:val="1"/>
      <w:numFmt w:val="lowerRoman"/>
      <w:lvlText w:val="%9."/>
      <w:lvlJc w:val="right"/>
      <w:pPr>
        <w:ind w:left="6120" w:hanging="180"/>
      </w:pPr>
    </w:lvl>
  </w:abstractNum>
  <w:abstractNum w:abstractNumId="10" w15:restartNumberingAfterBreak="0">
    <w:nsid w:val="2A232C15"/>
    <w:multiLevelType w:val="hybridMultilevel"/>
    <w:tmpl w:val="DCB83328"/>
    <w:lvl w:ilvl="0" w:tplc="D4AA1978">
      <w:start w:val="1"/>
      <w:numFmt w:val="decimal"/>
      <w:lvlText w:val="%1."/>
      <w:lvlJc w:val="left"/>
      <w:pPr>
        <w:tabs>
          <w:tab w:val="num" w:pos="720"/>
        </w:tabs>
        <w:ind w:left="720" w:hanging="360"/>
      </w:pPr>
    </w:lvl>
    <w:lvl w:ilvl="1" w:tplc="913075BC" w:tentative="1">
      <w:start w:val="1"/>
      <w:numFmt w:val="decimal"/>
      <w:lvlText w:val="%2."/>
      <w:lvlJc w:val="left"/>
      <w:pPr>
        <w:tabs>
          <w:tab w:val="num" w:pos="1440"/>
        </w:tabs>
        <w:ind w:left="1440" w:hanging="360"/>
      </w:pPr>
    </w:lvl>
    <w:lvl w:ilvl="2" w:tplc="219E055C" w:tentative="1">
      <w:start w:val="1"/>
      <w:numFmt w:val="decimal"/>
      <w:lvlText w:val="%3."/>
      <w:lvlJc w:val="left"/>
      <w:pPr>
        <w:tabs>
          <w:tab w:val="num" w:pos="2160"/>
        </w:tabs>
        <w:ind w:left="2160" w:hanging="360"/>
      </w:pPr>
    </w:lvl>
    <w:lvl w:ilvl="3" w:tplc="F392E0D2" w:tentative="1">
      <w:start w:val="1"/>
      <w:numFmt w:val="decimal"/>
      <w:lvlText w:val="%4."/>
      <w:lvlJc w:val="left"/>
      <w:pPr>
        <w:tabs>
          <w:tab w:val="num" w:pos="2880"/>
        </w:tabs>
        <w:ind w:left="2880" w:hanging="360"/>
      </w:pPr>
    </w:lvl>
    <w:lvl w:ilvl="4" w:tplc="6366BE6C" w:tentative="1">
      <w:start w:val="1"/>
      <w:numFmt w:val="decimal"/>
      <w:lvlText w:val="%5."/>
      <w:lvlJc w:val="left"/>
      <w:pPr>
        <w:tabs>
          <w:tab w:val="num" w:pos="3600"/>
        </w:tabs>
        <w:ind w:left="3600" w:hanging="360"/>
      </w:pPr>
    </w:lvl>
    <w:lvl w:ilvl="5" w:tplc="B2DC4EB6" w:tentative="1">
      <w:start w:val="1"/>
      <w:numFmt w:val="decimal"/>
      <w:lvlText w:val="%6."/>
      <w:lvlJc w:val="left"/>
      <w:pPr>
        <w:tabs>
          <w:tab w:val="num" w:pos="4320"/>
        </w:tabs>
        <w:ind w:left="4320" w:hanging="360"/>
      </w:pPr>
    </w:lvl>
    <w:lvl w:ilvl="6" w:tplc="2522CD02" w:tentative="1">
      <w:start w:val="1"/>
      <w:numFmt w:val="decimal"/>
      <w:lvlText w:val="%7."/>
      <w:lvlJc w:val="left"/>
      <w:pPr>
        <w:tabs>
          <w:tab w:val="num" w:pos="5040"/>
        </w:tabs>
        <w:ind w:left="5040" w:hanging="360"/>
      </w:pPr>
    </w:lvl>
    <w:lvl w:ilvl="7" w:tplc="7DD4911C" w:tentative="1">
      <w:start w:val="1"/>
      <w:numFmt w:val="decimal"/>
      <w:lvlText w:val="%8."/>
      <w:lvlJc w:val="left"/>
      <w:pPr>
        <w:tabs>
          <w:tab w:val="num" w:pos="5760"/>
        </w:tabs>
        <w:ind w:left="5760" w:hanging="360"/>
      </w:pPr>
    </w:lvl>
    <w:lvl w:ilvl="8" w:tplc="6E8A1B44" w:tentative="1">
      <w:start w:val="1"/>
      <w:numFmt w:val="decimal"/>
      <w:lvlText w:val="%9."/>
      <w:lvlJc w:val="left"/>
      <w:pPr>
        <w:tabs>
          <w:tab w:val="num" w:pos="6480"/>
        </w:tabs>
        <w:ind w:left="6480" w:hanging="360"/>
      </w:pPr>
    </w:lvl>
  </w:abstractNum>
  <w:abstractNum w:abstractNumId="11" w15:restartNumberingAfterBreak="0">
    <w:nsid w:val="2AA714FD"/>
    <w:multiLevelType w:val="hybridMultilevel"/>
    <w:tmpl w:val="859AC8FA"/>
    <w:lvl w:ilvl="0" w:tplc="9A926F76">
      <w:start w:val="1"/>
      <w:numFmt w:val="decimalZero"/>
      <w:lvlText w:val="7.%1"/>
      <w:lvlJc w:val="left"/>
      <w:pPr>
        <w:ind w:left="360" w:hanging="360"/>
      </w:pPr>
      <w:rPr>
        <w:rFonts w:hint="default"/>
        <w:i w:val="0"/>
      </w:rPr>
    </w:lvl>
    <w:lvl w:ilvl="1" w:tplc="E61EC6D2" w:tentative="1">
      <w:start w:val="1"/>
      <w:numFmt w:val="bullet"/>
      <w:lvlText w:val="o"/>
      <w:lvlJc w:val="left"/>
      <w:pPr>
        <w:ind w:left="1080" w:hanging="360"/>
      </w:pPr>
      <w:rPr>
        <w:rFonts w:ascii="Courier New" w:hAnsi="Courier New" w:cs="Courier New" w:hint="default"/>
      </w:rPr>
    </w:lvl>
    <w:lvl w:ilvl="2" w:tplc="09BAA25E" w:tentative="1">
      <w:start w:val="1"/>
      <w:numFmt w:val="bullet"/>
      <w:lvlText w:val=""/>
      <w:lvlJc w:val="left"/>
      <w:pPr>
        <w:ind w:left="1800" w:hanging="360"/>
      </w:pPr>
      <w:rPr>
        <w:rFonts w:ascii="Wingdings" w:hAnsi="Wingdings" w:hint="default"/>
      </w:rPr>
    </w:lvl>
    <w:lvl w:ilvl="3" w:tplc="5B9CD224" w:tentative="1">
      <w:start w:val="1"/>
      <w:numFmt w:val="bullet"/>
      <w:lvlText w:val=""/>
      <w:lvlJc w:val="left"/>
      <w:pPr>
        <w:ind w:left="2520" w:hanging="360"/>
      </w:pPr>
      <w:rPr>
        <w:rFonts w:ascii="Symbol" w:hAnsi="Symbol" w:hint="default"/>
      </w:rPr>
    </w:lvl>
    <w:lvl w:ilvl="4" w:tplc="708C27F2" w:tentative="1">
      <w:start w:val="1"/>
      <w:numFmt w:val="bullet"/>
      <w:lvlText w:val="o"/>
      <w:lvlJc w:val="left"/>
      <w:pPr>
        <w:ind w:left="3240" w:hanging="360"/>
      </w:pPr>
      <w:rPr>
        <w:rFonts w:ascii="Courier New" w:hAnsi="Courier New" w:cs="Courier New" w:hint="default"/>
      </w:rPr>
    </w:lvl>
    <w:lvl w:ilvl="5" w:tplc="CA42EFA6" w:tentative="1">
      <w:start w:val="1"/>
      <w:numFmt w:val="bullet"/>
      <w:lvlText w:val=""/>
      <w:lvlJc w:val="left"/>
      <w:pPr>
        <w:ind w:left="3960" w:hanging="360"/>
      </w:pPr>
      <w:rPr>
        <w:rFonts w:ascii="Wingdings" w:hAnsi="Wingdings" w:hint="default"/>
      </w:rPr>
    </w:lvl>
    <w:lvl w:ilvl="6" w:tplc="5822612C" w:tentative="1">
      <w:start w:val="1"/>
      <w:numFmt w:val="bullet"/>
      <w:lvlText w:val=""/>
      <w:lvlJc w:val="left"/>
      <w:pPr>
        <w:ind w:left="4680" w:hanging="360"/>
      </w:pPr>
      <w:rPr>
        <w:rFonts w:ascii="Symbol" w:hAnsi="Symbol" w:hint="default"/>
      </w:rPr>
    </w:lvl>
    <w:lvl w:ilvl="7" w:tplc="2FF2AA24" w:tentative="1">
      <w:start w:val="1"/>
      <w:numFmt w:val="bullet"/>
      <w:lvlText w:val="o"/>
      <w:lvlJc w:val="left"/>
      <w:pPr>
        <w:ind w:left="5400" w:hanging="360"/>
      </w:pPr>
      <w:rPr>
        <w:rFonts w:ascii="Courier New" w:hAnsi="Courier New" w:cs="Courier New" w:hint="default"/>
      </w:rPr>
    </w:lvl>
    <w:lvl w:ilvl="8" w:tplc="9D5E9AEE" w:tentative="1">
      <w:start w:val="1"/>
      <w:numFmt w:val="bullet"/>
      <w:lvlText w:val=""/>
      <w:lvlJc w:val="left"/>
      <w:pPr>
        <w:ind w:left="6120" w:hanging="360"/>
      </w:pPr>
      <w:rPr>
        <w:rFonts w:ascii="Wingdings" w:hAnsi="Wingdings" w:hint="default"/>
      </w:rPr>
    </w:lvl>
  </w:abstractNum>
  <w:abstractNum w:abstractNumId="12" w15:restartNumberingAfterBreak="0">
    <w:nsid w:val="2ED13DBF"/>
    <w:multiLevelType w:val="hybridMultilevel"/>
    <w:tmpl w:val="F300034C"/>
    <w:lvl w:ilvl="0" w:tplc="C1F69C1E">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34071A"/>
    <w:multiLevelType w:val="hybridMultilevel"/>
    <w:tmpl w:val="1DD28246"/>
    <w:lvl w:ilvl="0" w:tplc="B062237C">
      <w:start w:val="1"/>
      <w:numFmt w:val="decimalZero"/>
      <w:lvlText w:val="2.%1"/>
      <w:lvlJc w:val="left"/>
      <w:pPr>
        <w:ind w:left="360" w:hanging="360"/>
      </w:pPr>
      <w:rPr>
        <w:rFonts w:hint="default"/>
        <w:i w:val="0"/>
      </w:rPr>
    </w:lvl>
    <w:lvl w:ilvl="1" w:tplc="A26CA900" w:tentative="1">
      <w:start w:val="1"/>
      <w:numFmt w:val="lowerLetter"/>
      <w:lvlText w:val="%2."/>
      <w:lvlJc w:val="left"/>
      <w:pPr>
        <w:ind w:left="1080" w:hanging="360"/>
      </w:pPr>
    </w:lvl>
    <w:lvl w:ilvl="2" w:tplc="FCD89994" w:tentative="1">
      <w:start w:val="1"/>
      <w:numFmt w:val="lowerRoman"/>
      <w:lvlText w:val="%3."/>
      <w:lvlJc w:val="right"/>
      <w:pPr>
        <w:ind w:left="1800" w:hanging="180"/>
      </w:pPr>
    </w:lvl>
    <w:lvl w:ilvl="3" w:tplc="392EE110" w:tentative="1">
      <w:start w:val="1"/>
      <w:numFmt w:val="decimal"/>
      <w:lvlText w:val="%4."/>
      <w:lvlJc w:val="left"/>
      <w:pPr>
        <w:ind w:left="2520" w:hanging="360"/>
      </w:pPr>
    </w:lvl>
    <w:lvl w:ilvl="4" w:tplc="BF0A876A" w:tentative="1">
      <w:start w:val="1"/>
      <w:numFmt w:val="lowerLetter"/>
      <w:lvlText w:val="%5."/>
      <w:lvlJc w:val="left"/>
      <w:pPr>
        <w:ind w:left="3240" w:hanging="360"/>
      </w:pPr>
    </w:lvl>
    <w:lvl w:ilvl="5" w:tplc="7CCAE214" w:tentative="1">
      <w:start w:val="1"/>
      <w:numFmt w:val="lowerRoman"/>
      <w:lvlText w:val="%6."/>
      <w:lvlJc w:val="right"/>
      <w:pPr>
        <w:ind w:left="3960" w:hanging="180"/>
      </w:pPr>
    </w:lvl>
    <w:lvl w:ilvl="6" w:tplc="D2CC8666" w:tentative="1">
      <w:start w:val="1"/>
      <w:numFmt w:val="decimal"/>
      <w:lvlText w:val="%7."/>
      <w:lvlJc w:val="left"/>
      <w:pPr>
        <w:ind w:left="4680" w:hanging="360"/>
      </w:pPr>
    </w:lvl>
    <w:lvl w:ilvl="7" w:tplc="63481566" w:tentative="1">
      <w:start w:val="1"/>
      <w:numFmt w:val="lowerLetter"/>
      <w:lvlText w:val="%8."/>
      <w:lvlJc w:val="left"/>
      <w:pPr>
        <w:ind w:left="5400" w:hanging="360"/>
      </w:pPr>
    </w:lvl>
    <w:lvl w:ilvl="8" w:tplc="62747D8A" w:tentative="1">
      <w:start w:val="1"/>
      <w:numFmt w:val="lowerRoman"/>
      <w:lvlText w:val="%9."/>
      <w:lvlJc w:val="right"/>
      <w:pPr>
        <w:ind w:left="6120" w:hanging="180"/>
      </w:pPr>
    </w:lvl>
  </w:abstractNum>
  <w:abstractNum w:abstractNumId="14" w15:restartNumberingAfterBreak="0">
    <w:nsid w:val="300E5888"/>
    <w:multiLevelType w:val="hybridMultilevel"/>
    <w:tmpl w:val="7F2AEBF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15:restartNumberingAfterBreak="0">
    <w:nsid w:val="315249DA"/>
    <w:multiLevelType w:val="hybridMultilevel"/>
    <w:tmpl w:val="F74CE3EC"/>
    <w:lvl w:ilvl="0" w:tplc="18CA57DA">
      <w:start w:val="3"/>
      <w:numFmt w:val="decimal"/>
      <w:lvlText w:val="%1."/>
      <w:lvlJc w:val="left"/>
      <w:pPr>
        <w:tabs>
          <w:tab w:val="num" w:pos="720"/>
        </w:tabs>
        <w:ind w:left="720" w:hanging="360"/>
      </w:pPr>
    </w:lvl>
    <w:lvl w:ilvl="1" w:tplc="CD4A31F8" w:tentative="1">
      <w:start w:val="1"/>
      <w:numFmt w:val="decimal"/>
      <w:lvlText w:val="%2."/>
      <w:lvlJc w:val="left"/>
      <w:pPr>
        <w:tabs>
          <w:tab w:val="num" w:pos="1440"/>
        </w:tabs>
        <w:ind w:left="1440" w:hanging="360"/>
      </w:pPr>
    </w:lvl>
    <w:lvl w:ilvl="2" w:tplc="7CFE9DF8" w:tentative="1">
      <w:start w:val="1"/>
      <w:numFmt w:val="decimal"/>
      <w:lvlText w:val="%3."/>
      <w:lvlJc w:val="left"/>
      <w:pPr>
        <w:tabs>
          <w:tab w:val="num" w:pos="2160"/>
        </w:tabs>
        <w:ind w:left="2160" w:hanging="360"/>
      </w:pPr>
    </w:lvl>
    <w:lvl w:ilvl="3" w:tplc="E3A27A6C" w:tentative="1">
      <w:start w:val="1"/>
      <w:numFmt w:val="decimal"/>
      <w:lvlText w:val="%4."/>
      <w:lvlJc w:val="left"/>
      <w:pPr>
        <w:tabs>
          <w:tab w:val="num" w:pos="2880"/>
        </w:tabs>
        <w:ind w:left="2880" w:hanging="360"/>
      </w:pPr>
    </w:lvl>
    <w:lvl w:ilvl="4" w:tplc="E0B4ED86" w:tentative="1">
      <w:start w:val="1"/>
      <w:numFmt w:val="decimal"/>
      <w:lvlText w:val="%5."/>
      <w:lvlJc w:val="left"/>
      <w:pPr>
        <w:tabs>
          <w:tab w:val="num" w:pos="3600"/>
        </w:tabs>
        <w:ind w:left="3600" w:hanging="360"/>
      </w:pPr>
    </w:lvl>
    <w:lvl w:ilvl="5" w:tplc="F1E0C4A6" w:tentative="1">
      <w:start w:val="1"/>
      <w:numFmt w:val="decimal"/>
      <w:lvlText w:val="%6."/>
      <w:lvlJc w:val="left"/>
      <w:pPr>
        <w:tabs>
          <w:tab w:val="num" w:pos="4320"/>
        </w:tabs>
        <w:ind w:left="4320" w:hanging="360"/>
      </w:pPr>
    </w:lvl>
    <w:lvl w:ilvl="6" w:tplc="CBD08918" w:tentative="1">
      <w:start w:val="1"/>
      <w:numFmt w:val="decimal"/>
      <w:lvlText w:val="%7."/>
      <w:lvlJc w:val="left"/>
      <w:pPr>
        <w:tabs>
          <w:tab w:val="num" w:pos="5040"/>
        </w:tabs>
        <w:ind w:left="5040" w:hanging="360"/>
      </w:pPr>
    </w:lvl>
    <w:lvl w:ilvl="7" w:tplc="D71CEA6E" w:tentative="1">
      <w:start w:val="1"/>
      <w:numFmt w:val="decimal"/>
      <w:lvlText w:val="%8."/>
      <w:lvlJc w:val="left"/>
      <w:pPr>
        <w:tabs>
          <w:tab w:val="num" w:pos="5760"/>
        </w:tabs>
        <w:ind w:left="5760" w:hanging="360"/>
      </w:pPr>
    </w:lvl>
    <w:lvl w:ilvl="8" w:tplc="04347FF4" w:tentative="1">
      <w:start w:val="1"/>
      <w:numFmt w:val="decimal"/>
      <w:lvlText w:val="%9."/>
      <w:lvlJc w:val="left"/>
      <w:pPr>
        <w:tabs>
          <w:tab w:val="num" w:pos="6480"/>
        </w:tabs>
        <w:ind w:left="6480" w:hanging="360"/>
      </w:pPr>
    </w:lvl>
  </w:abstractNum>
  <w:abstractNum w:abstractNumId="16" w15:restartNumberingAfterBreak="0">
    <w:nsid w:val="34321388"/>
    <w:multiLevelType w:val="hybridMultilevel"/>
    <w:tmpl w:val="00C2618A"/>
    <w:lvl w:ilvl="0" w:tplc="A050A166">
      <w:start w:val="1"/>
      <w:numFmt w:val="decimalZero"/>
      <w:lvlText w:val="4.%1"/>
      <w:lvlJc w:val="left"/>
      <w:pPr>
        <w:ind w:left="360" w:hanging="360"/>
      </w:pPr>
      <w:rPr>
        <w:rFonts w:hint="default"/>
        <w:i w:val="0"/>
      </w:rPr>
    </w:lvl>
    <w:lvl w:ilvl="1" w:tplc="0410000F">
      <w:start w:val="1"/>
      <w:numFmt w:val="decimal"/>
      <w:lvlText w:val="%2."/>
      <w:lvlJc w:val="left"/>
      <w:pPr>
        <w:ind w:left="1800" w:hanging="360"/>
      </w:pPr>
    </w:lvl>
    <w:lvl w:ilvl="2" w:tplc="C082B50C" w:tentative="1">
      <w:start w:val="1"/>
      <w:numFmt w:val="lowerRoman"/>
      <w:lvlText w:val="%3."/>
      <w:lvlJc w:val="right"/>
      <w:pPr>
        <w:ind w:left="1800" w:hanging="180"/>
      </w:pPr>
    </w:lvl>
    <w:lvl w:ilvl="3" w:tplc="021087F2" w:tentative="1">
      <w:start w:val="1"/>
      <w:numFmt w:val="decimal"/>
      <w:lvlText w:val="%4."/>
      <w:lvlJc w:val="left"/>
      <w:pPr>
        <w:ind w:left="2520" w:hanging="360"/>
      </w:pPr>
    </w:lvl>
    <w:lvl w:ilvl="4" w:tplc="B2088254" w:tentative="1">
      <w:start w:val="1"/>
      <w:numFmt w:val="lowerLetter"/>
      <w:lvlText w:val="%5."/>
      <w:lvlJc w:val="left"/>
      <w:pPr>
        <w:ind w:left="3240" w:hanging="360"/>
      </w:pPr>
    </w:lvl>
    <w:lvl w:ilvl="5" w:tplc="64160084" w:tentative="1">
      <w:start w:val="1"/>
      <w:numFmt w:val="lowerRoman"/>
      <w:lvlText w:val="%6."/>
      <w:lvlJc w:val="right"/>
      <w:pPr>
        <w:ind w:left="3960" w:hanging="180"/>
      </w:pPr>
    </w:lvl>
    <w:lvl w:ilvl="6" w:tplc="0F5C9E2C" w:tentative="1">
      <w:start w:val="1"/>
      <w:numFmt w:val="decimal"/>
      <w:lvlText w:val="%7."/>
      <w:lvlJc w:val="left"/>
      <w:pPr>
        <w:ind w:left="4680" w:hanging="360"/>
      </w:pPr>
    </w:lvl>
    <w:lvl w:ilvl="7" w:tplc="67F8FA72" w:tentative="1">
      <w:start w:val="1"/>
      <w:numFmt w:val="lowerLetter"/>
      <w:lvlText w:val="%8."/>
      <w:lvlJc w:val="left"/>
      <w:pPr>
        <w:ind w:left="5400" w:hanging="360"/>
      </w:pPr>
    </w:lvl>
    <w:lvl w:ilvl="8" w:tplc="A244A50E" w:tentative="1">
      <w:start w:val="1"/>
      <w:numFmt w:val="lowerRoman"/>
      <w:lvlText w:val="%9."/>
      <w:lvlJc w:val="right"/>
      <w:pPr>
        <w:ind w:left="6120" w:hanging="180"/>
      </w:pPr>
    </w:lvl>
  </w:abstractNum>
  <w:abstractNum w:abstractNumId="17" w15:restartNumberingAfterBreak="0">
    <w:nsid w:val="37B311A6"/>
    <w:multiLevelType w:val="hybridMultilevel"/>
    <w:tmpl w:val="993C06BE"/>
    <w:lvl w:ilvl="0" w:tplc="3260EBF6">
      <w:start w:val="1"/>
      <w:numFmt w:val="decimal"/>
      <w:lvlText w:val="%1."/>
      <w:lvlJc w:val="left"/>
      <w:pPr>
        <w:ind w:left="720" w:hanging="360"/>
      </w:pPr>
      <w:rPr>
        <w:rFonts w:hint="default"/>
      </w:rPr>
    </w:lvl>
    <w:lvl w:ilvl="1" w:tplc="E9B0A354">
      <w:start w:val="1"/>
      <w:numFmt w:val="decimal"/>
      <w:isLgl/>
      <w:lvlText w:val="%1.%2"/>
      <w:lvlJc w:val="left"/>
      <w:pPr>
        <w:ind w:left="720" w:hanging="360"/>
      </w:pPr>
      <w:rPr>
        <w:rFonts w:hint="default"/>
      </w:rPr>
    </w:lvl>
    <w:lvl w:ilvl="2" w:tplc="5FF81AC0">
      <w:start w:val="1"/>
      <w:numFmt w:val="decimal"/>
      <w:isLgl/>
      <w:lvlText w:val="%1.%2.%3"/>
      <w:lvlJc w:val="left"/>
      <w:pPr>
        <w:ind w:left="1080" w:hanging="720"/>
      </w:pPr>
      <w:rPr>
        <w:rFonts w:hint="default"/>
      </w:rPr>
    </w:lvl>
    <w:lvl w:ilvl="3" w:tplc="8A6CD74C">
      <w:start w:val="1"/>
      <w:numFmt w:val="decimal"/>
      <w:isLgl/>
      <w:lvlText w:val="%1.%2.%3.%4"/>
      <w:lvlJc w:val="left"/>
      <w:pPr>
        <w:ind w:left="1080" w:hanging="720"/>
      </w:pPr>
      <w:rPr>
        <w:rFonts w:hint="default"/>
      </w:rPr>
    </w:lvl>
    <w:lvl w:ilvl="4" w:tplc="2F647886">
      <w:start w:val="1"/>
      <w:numFmt w:val="decimal"/>
      <w:isLgl/>
      <w:lvlText w:val="%1.%2.%3.%4.%5"/>
      <w:lvlJc w:val="left"/>
      <w:pPr>
        <w:ind w:left="1440" w:hanging="1080"/>
      </w:pPr>
      <w:rPr>
        <w:rFonts w:hint="default"/>
      </w:rPr>
    </w:lvl>
    <w:lvl w:ilvl="5" w:tplc="155CC43E">
      <w:start w:val="1"/>
      <w:numFmt w:val="decimal"/>
      <w:isLgl/>
      <w:lvlText w:val="%1.%2.%3.%4.%5.%6"/>
      <w:lvlJc w:val="left"/>
      <w:pPr>
        <w:ind w:left="1440" w:hanging="1080"/>
      </w:pPr>
      <w:rPr>
        <w:rFonts w:hint="default"/>
      </w:rPr>
    </w:lvl>
    <w:lvl w:ilvl="6" w:tplc="1B783DF8">
      <w:start w:val="1"/>
      <w:numFmt w:val="decimal"/>
      <w:isLgl/>
      <w:lvlText w:val="%1.%2.%3.%4.%5.%6.%7"/>
      <w:lvlJc w:val="left"/>
      <w:pPr>
        <w:ind w:left="1800" w:hanging="1440"/>
      </w:pPr>
      <w:rPr>
        <w:rFonts w:hint="default"/>
      </w:rPr>
    </w:lvl>
    <w:lvl w:ilvl="7" w:tplc="B7C46374">
      <w:start w:val="1"/>
      <w:numFmt w:val="decimal"/>
      <w:isLgl/>
      <w:lvlText w:val="%1.%2.%3.%4.%5.%6.%7.%8"/>
      <w:lvlJc w:val="left"/>
      <w:pPr>
        <w:ind w:left="1800" w:hanging="1440"/>
      </w:pPr>
      <w:rPr>
        <w:rFonts w:hint="default"/>
      </w:rPr>
    </w:lvl>
    <w:lvl w:ilvl="8" w:tplc="EC028C24">
      <w:start w:val="1"/>
      <w:numFmt w:val="decimal"/>
      <w:isLgl/>
      <w:lvlText w:val="%1.%2.%3.%4.%5.%6.%7.%8.%9"/>
      <w:lvlJc w:val="left"/>
      <w:pPr>
        <w:ind w:left="2160" w:hanging="1800"/>
      </w:pPr>
      <w:rPr>
        <w:rFonts w:hint="default"/>
      </w:rPr>
    </w:lvl>
  </w:abstractNum>
  <w:abstractNum w:abstractNumId="18" w15:restartNumberingAfterBreak="0">
    <w:nsid w:val="3A78461D"/>
    <w:multiLevelType w:val="hybridMultilevel"/>
    <w:tmpl w:val="FBB2A606"/>
    <w:lvl w:ilvl="0" w:tplc="A050A166">
      <w:start w:val="1"/>
      <w:numFmt w:val="decimalZero"/>
      <w:lvlText w:val="4.%1"/>
      <w:lvlJc w:val="left"/>
      <w:pPr>
        <w:ind w:left="360" w:hanging="360"/>
      </w:pPr>
      <w:rPr>
        <w:rFonts w:hint="default"/>
        <w:i w:val="0"/>
      </w:rPr>
    </w:lvl>
    <w:lvl w:ilvl="1" w:tplc="27542D0E" w:tentative="1">
      <w:start w:val="1"/>
      <w:numFmt w:val="lowerLetter"/>
      <w:lvlText w:val="%2."/>
      <w:lvlJc w:val="left"/>
      <w:pPr>
        <w:ind w:left="1080" w:hanging="360"/>
      </w:pPr>
    </w:lvl>
    <w:lvl w:ilvl="2" w:tplc="C082B50C" w:tentative="1">
      <w:start w:val="1"/>
      <w:numFmt w:val="lowerRoman"/>
      <w:lvlText w:val="%3."/>
      <w:lvlJc w:val="right"/>
      <w:pPr>
        <w:ind w:left="1800" w:hanging="180"/>
      </w:pPr>
    </w:lvl>
    <w:lvl w:ilvl="3" w:tplc="021087F2" w:tentative="1">
      <w:start w:val="1"/>
      <w:numFmt w:val="decimal"/>
      <w:lvlText w:val="%4."/>
      <w:lvlJc w:val="left"/>
      <w:pPr>
        <w:ind w:left="2520" w:hanging="360"/>
      </w:pPr>
    </w:lvl>
    <w:lvl w:ilvl="4" w:tplc="B2088254" w:tentative="1">
      <w:start w:val="1"/>
      <w:numFmt w:val="lowerLetter"/>
      <w:lvlText w:val="%5."/>
      <w:lvlJc w:val="left"/>
      <w:pPr>
        <w:ind w:left="3240" w:hanging="360"/>
      </w:pPr>
    </w:lvl>
    <w:lvl w:ilvl="5" w:tplc="64160084" w:tentative="1">
      <w:start w:val="1"/>
      <w:numFmt w:val="lowerRoman"/>
      <w:lvlText w:val="%6."/>
      <w:lvlJc w:val="right"/>
      <w:pPr>
        <w:ind w:left="3960" w:hanging="180"/>
      </w:pPr>
    </w:lvl>
    <w:lvl w:ilvl="6" w:tplc="0F5C9E2C" w:tentative="1">
      <w:start w:val="1"/>
      <w:numFmt w:val="decimal"/>
      <w:lvlText w:val="%7."/>
      <w:lvlJc w:val="left"/>
      <w:pPr>
        <w:ind w:left="4680" w:hanging="360"/>
      </w:pPr>
    </w:lvl>
    <w:lvl w:ilvl="7" w:tplc="67F8FA72" w:tentative="1">
      <w:start w:val="1"/>
      <w:numFmt w:val="lowerLetter"/>
      <w:lvlText w:val="%8."/>
      <w:lvlJc w:val="left"/>
      <w:pPr>
        <w:ind w:left="5400" w:hanging="360"/>
      </w:pPr>
    </w:lvl>
    <w:lvl w:ilvl="8" w:tplc="A244A50E" w:tentative="1">
      <w:start w:val="1"/>
      <w:numFmt w:val="lowerRoman"/>
      <w:lvlText w:val="%9."/>
      <w:lvlJc w:val="right"/>
      <w:pPr>
        <w:ind w:left="6120" w:hanging="180"/>
      </w:pPr>
    </w:lvl>
  </w:abstractNum>
  <w:abstractNum w:abstractNumId="19" w15:restartNumberingAfterBreak="0">
    <w:nsid w:val="3E93579A"/>
    <w:multiLevelType w:val="hybridMultilevel"/>
    <w:tmpl w:val="D8F6095C"/>
    <w:lvl w:ilvl="0" w:tplc="254E8710">
      <w:start w:val="1"/>
      <w:numFmt w:val="decimalZero"/>
      <w:lvlText w:val="8.%1"/>
      <w:lvlJc w:val="left"/>
      <w:pPr>
        <w:ind w:left="360" w:hanging="360"/>
      </w:pPr>
      <w:rPr>
        <w:rFonts w:hint="default"/>
        <w:i w:val="0"/>
      </w:rPr>
    </w:lvl>
    <w:lvl w:ilvl="1" w:tplc="4BF439A4" w:tentative="1">
      <w:start w:val="1"/>
      <w:numFmt w:val="bullet"/>
      <w:lvlText w:val="o"/>
      <w:lvlJc w:val="left"/>
      <w:pPr>
        <w:ind w:left="1080" w:hanging="360"/>
      </w:pPr>
      <w:rPr>
        <w:rFonts w:ascii="Courier New" w:hAnsi="Courier New" w:cs="Courier New" w:hint="default"/>
      </w:rPr>
    </w:lvl>
    <w:lvl w:ilvl="2" w:tplc="C3FC31D6" w:tentative="1">
      <w:start w:val="1"/>
      <w:numFmt w:val="bullet"/>
      <w:lvlText w:val=""/>
      <w:lvlJc w:val="left"/>
      <w:pPr>
        <w:ind w:left="1800" w:hanging="360"/>
      </w:pPr>
      <w:rPr>
        <w:rFonts w:ascii="Wingdings" w:hAnsi="Wingdings" w:hint="default"/>
      </w:rPr>
    </w:lvl>
    <w:lvl w:ilvl="3" w:tplc="4E28BFB4" w:tentative="1">
      <w:start w:val="1"/>
      <w:numFmt w:val="bullet"/>
      <w:lvlText w:val=""/>
      <w:lvlJc w:val="left"/>
      <w:pPr>
        <w:ind w:left="2520" w:hanging="360"/>
      </w:pPr>
      <w:rPr>
        <w:rFonts w:ascii="Symbol" w:hAnsi="Symbol" w:hint="default"/>
      </w:rPr>
    </w:lvl>
    <w:lvl w:ilvl="4" w:tplc="D6F27C0A" w:tentative="1">
      <w:start w:val="1"/>
      <w:numFmt w:val="bullet"/>
      <w:lvlText w:val="o"/>
      <w:lvlJc w:val="left"/>
      <w:pPr>
        <w:ind w:left="3240" w:hanging="360"/>
      </w:pPr>
      <w:rPr>
        <w:rFonts w:ascii="Courier New" w:hAnsi="Courier New" w:cs="Courier New" w:hint="default"/>
      </w:rPr>
    </w:lvl>
    <w:lvl w:ilvl="5" w:tplc="114286FA" w:tentative="1">
      <w:start w:val="1"/>
      <w:numFmt w:val="bullet"/>
      <w:lvlText w:val=""/>
      <w:lvlJc w:val="left"/>
      <w:pPr>
        <w:ind w:left="3960" w:hanging="360"/>
      </w:pPr>
      <w:rPr>
        <w:rFonts w:ascii="Wingdings" w:hAnsi="Wingdings" w:hint="default"/>
      </w:rPr>
    </w:lvl>
    <w:lvl w:ilvl="6" w:tplc="A9189896" w:tentative="1">
      <w:start w:val="1"/>
      <w:numFmt w:val="bullet"/>
      <w:lvlText w:val=""/>
      <w:lvlJc w:val="left"/>
      <w:pPr>
        <w:ind w:left="4680" w:hanging="360"/>
      </w:pPr>
      <w:rPr>
        <w:rFonts w:ascii="Symbol" w:hAnsi="Symbol" w:hint="default"/>
      </w:rPr>
    </w:lvl>
    <w:lvl w:ilvl="7" w:tplc="5E7E99C8" w:tentative="1">
      <w:start w:val="1"/>
      <w:numFmt w:val="bullet"/>
      <w:lvlText w:val="o"/>
      <w:lvlJc w:val="left"/>
      <w:pPr>
        <w:ind w:left="5400" w:hanging="360"/>
      </w:pPr>
      <w:rPr>
        <w:rFonts w:ascii="Courier New" w:hAnsi="Courier New" w:cs="Courier New" w:hint="default"/>
      </w:rPr>
    </w:lvl>
    <w:lvl w:ilvl="8" w:tplc="0122D1AC" w:tentative="1">
      <w:start w:val="1"/>
      <w:numFmt w:val="bullet"/>
      <w:lvlText w:val=""/>
      <w:lvlJc w:val="left"/>
      <w:pPr>
        <w:ind w:left="6120" w:hanging="360"/>
      </w:pPr>
      <w:rPr>
        <w:rFonts w:ascii="Wingdings" w:hAnsi="Wingdings" w:hint="default"/>
      </w:rPr>
    </w:lvl>
  </w:abstractNum>
  <w:abstractNum w:abstractNumId="20" w15:restartNumberingAfterBreak="0">
    <w:nsid w:val="420320D3"/>
    <w:multiLevelType w:val="hybridMultilevel"/>
    <w:tmpl w:val="E86615E0"/>
    <w:lvl w:ilvl="0" w:tplc="0410000F">
      <w:start w:val="1"/>
      <w:numFmt w:val="decimal"/>
      <w:lvlText w:val="%1."/>
      <w:lvlJc w:val="left"/>
      <w:pPr>
        <w:ind w:left="360" w:hanging="360"/>
      </w:pPr>
      <w:rPr>
        <w:rFonts w:hint="default"/>
        <w:i w:val="0"/>
      </w:rPr>
    </w:lvl>
    <w:lvl w:ilvl="1" w:tplc="27542D0E">
      <w:start w:val="1"/>
      <w:numFmt w:val="lowerLetter"/>
      <w:lvlText w:val="%2."/>
      <w:lvlJc w:val="left"/>
      <w:pPr>
        <w:ind w:left="1080" w:hanging="360"/>
      </w:pPr>
    </w:lvl>
    <w:lvl w:ilvl="2" w:tplc="C082B50C" w:tentative="1">
      <w:start w:val="1"/>
      <w:numFmt w:val="lowerRoman"/>
      <w:lvlText w:val="%3."/>
      <w:lvlJc w:val="right"/>
      <w:pPr>
        <w:ind w:left="1800" w:hanging="180"/>
      </w:pPr>
    </w:lvl>
    <w:lvl w:ilvl="3" w:tplc="021087F2" w:tentative="1">
      <w:start w:val="1"/>
      <w:numFmt w:val="decimal"/>
      <w:lvlText w:val="%4."/>
      <w:lvlJc w:val="left"/>
      <w:pPr>
        <w:ind w:left="2520" w:hanging="360"/>
      </w:pPr>
    </w:lvl>
    <w:lvl w:ilvl="4" w:tplc="B2088254" w:tentative="1">
      <w:start w:val="1"/>
      <w:numFmt w:val="lowerLetter"/>
      <w:lvlText w:val="%5."/>
      <w:lvlJc w:val="left"/>
      <w:pPr>
        <w:ind w:left="3240" w:hanging="360"/>
      </w:pPr>
    </w:lvl>
    <w:lvl w:ilvl="5" w:tplc="64160084" w:tentative="1">
      <w:start w:val="1"/>
      <w:numFmt w:val="lowerRoman"/>
      <w:lvlText w:val="%6."/>
      <w:lvlJc w:val="right"/>
      <w:pPr>
        <w:ind w:left="3960" w:hanging="180"/>
      </w:pPr>
    </w:lvl>
    <w:lvl w:ilvl="6" w:tplc="0F5C9E2C" w:tentative="1">
      <w:start w:val="1"/>
      <w:numFmt w:val="decimal"/>
      <w:lvlText w:val="%7."/>
      <w:lvlJc w:val="left"/>
      <w:pPr>
        <w:ind w:left="4680" w:hanging="360"/>
      </w:pPr>
    </w:lvl>
    <w:lvl w:ilvl="7" w:tplc="67F8FA72" w:tentative="1">
      <w:start w:val="1"/>
      <w:numFmt w:val="lowerLetter"/>
      <w:lvlText w:val="%8."/>
      <w:lvlJc w:val="left"/>
      <w:pPr>
        <w:ind w:left="5400" w:hanging="360"/>
      </w:pPr>
    </w:lvl>
    <w:lvl w:ilvl="8" w:tplc="A244A50E" w:tentative="1">
      <w:start w:val="1"/>
      <w:numFmt w:val="lowerRoman"/>
      <w:lvlText w:val="%9."/>
      <w:lvlJc w:val="right"/>
      <w:pPr>
        <w:ind w:left="6120" w:hanging="180"/>
      </w:pPr>
    </w:lvl>
  </w:abstractNum>
  <w:abstractNum w:abstractNumId="21" w15:restartNumberingAfterBreak="0">
    <w:nsid w:val="45771A93"/>
    <w:multiLevelType w:val="hybridMultilevel"/>
    <w:tmpl w:val="BB80CEF4"/>
    <w:lvl w:ilvl="0" w:tplc="04090015">
      <w:start w:val="1"/>
      <w:numFmt w:val="upperLetter"/>
      <w:lvlText w:val="%1."/>
      <w:lvlJc w:val="left"/>
      <w:pPr>
        <w:ind w:left="720" w:hanging="360"/>
      </w:pPr>
    </w:lvl>
    <w:lvl w:ilvl="1" w:tplc="0410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A6DFF"/>
    <w:multiLevelType w:val="hybridMultilevel"/>
    <w:tmpl w:val="45A4008E"/>
    <w:lvl w:ilvl="0" w:tplc="CED8BDA4">
      <w:start w:val="1"/>
      <w:numFmt w:val="lowerLetter"/>
      <w:lvlText w:val="(%1)"/>
      <w:lvlJc w:val="left"/>
      <w:pPr>
        <w:ind w:left="720" w:hanging="360"/>
      </w:pPr>
      <w:rPr>
        <w:rFonts w:ascii="Times New Roman" w:hAnsi="Times New Roman" w:cs="Times New Roman" w:hint="default"/>
        <w:sz w:val="22"/>
      </w:rPr>
    </w:lvl>
    <w:lvl w:ilvl="1" w:tplc="EC7006C8" w:tentative="1">
      <w:start w:val="1"/>
      <w:numFmt w:val="lowerLetter"/>
      <w:lvlText w:val="%2."/>
      <w:lvlJc w:val="left"/>
      <w:pPr>
        <w:ind w:left="1440" w:hanging="360"/>
      </w:pPr>
    </w:lvl>
    <w:lvl w:ilvl="2" w:tplc="AAB8FC4A">
      <w:start w:val="1"/>
      <w:numFmt w:val="lowerRoman"/>
      <w:lvlText w:val="%3."/>
      <w:lvlJc w:val="right"/>
      <w:pPr>
        <w:ind w:left="2160" w:hanging="180"/>
      </w:pPr>
    </w:lvl>
    <w:lvl w:ilvl="3" w:tplc="675A5ACC" w:tentative="1">
      <w:start w:val="1"/>
      <w:numFmt w:val="decimal"/>
      <w:lvlText w:val="%4."/>
      <w:lvlJc w:val="left"/>
      <w:pPr>
        <w:ind w:left="2880" w:hanging="360"/>
      </w:pPr>
    </w:lvl>
    <w:lvl w:ilvl="4" w:tplc="AE3CE640" w:tentative="1">
      <w:start w:val="1"/>
      <w:numFmt w:val="lowerLetter"/>
      <w:lvlText w:val="%5."/>
      <w:lvlJc w:val="left"/>
      <w:pPr>
        <w:ind w:left="3600" w:hanging="360"/>
      </w:pPr>
    </w:lvl>
    <w:lvl w:ilvl="5" w:tplc="E47C0784" w:tentative="1">
      <w:start w:val="1"/>
      <w:numFmt w:val="lowerRoman"/>
      <w:lvlText w:val="%6."/>
      <w:lvlJc w:val="right"/>
      <w:pPr>
        <w:ind w:left="4320" w:hanging="180"/>
      </w:pPr>
    </w:lvl>
    <w:lvl w:ilvl="6" w:tplc="D55E12E6" w:tentative="1">
      <w:start w:val="1"/>
      <w:numFmt w:val="decimal"/>
      <w:lvlText w:val="%7."/>
      <w:lvlJc w:val="left"/>
      <w:pPr>
        <w:ind w:left="5040" w:hanging="360"/>
      </w:pPr>
    </w:lvl>
    <w:lvl w:ilvl="7" w:tplc="4EF81908" w:tentative="1">
      <w:start w:val="1"/>
      <w:numFmt w:val="lowerLetter"/>
      <w:lvlText w:val="%8."/>
      <w:lvlJc w:val="left"/>
      <w:pPr>
        <w:ind w:left="5760" w:hanging="360"/>
      </w:pPr>
    </w:lvl>
    <w:lvl w:ilvl="8" w:tplc="92AC764C" w:tentative="1">
      <w:start w:val="1"/>
      <w:numFmt w:val="lowerRoman"/>
      <w:lvlText w:val="%9."/>
      <w:lvlJc w:val="right"/>
      <w:pPr>
        <w:ind w:left="6480" w:hanging="180"/>
      </w:pPr>
    </w:lvl>
  </w:abstractNum>
  <w:abstractNum w:abstractNumId="23" w15:restartNumberingAfterBreak="0">
    <w:nsid w:val="474D1D11"/>
    <w:multiLevelType w:val="hybridMultilevel"/>
    <w:tmpl w:val="B18A7B04"/>
    <w:lvl w:ilvl="0" w:tplc="37AC3F4A">
      <w:start w:val="24"/>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8F0681"/>
    <w:multiLevelType w:val="hybridMultilevel"/>
    <w:tmpl w:val="4DB8DA40"/>
    <w:lvl w:ilvl="0" w:tplc="A050A166">
      <w:start w:val="1"/>
      <w:numFmt w:val="decimalZero"/>
      <w:lvlText w:val="4.%1"/>
      <w:lvlJc w:val="left"/>
      <w:pPr>
        <w:ind w:left="360" w:hanging="360"/>
      </w:pPr>
      <w:rPr>
        <w:rFonts w:hint="default"/>
        <w:i w:val="0"/>
      </w:rPr>
    </w:lvl>
    <w:lvl w:ilvl="1" w:tplc="0410000F">
      <w:start w:val="1"/>
      <w:numFmt w:val="decimal"/>
      <w:lvlText w:val="%2."/>
      <w:lvlJc w:val="left"/>
      <w:pPr>
        <w:ind w:left="1800" w:hanging="360"/>
      </w:pPr>
    </w:lvl>
    <w:lvl w:ilvl="2" w:tplc="C082B50C" w:tentative="1">
      <w:start w:val="1"/>
      <w:numFmt w:val="lowerRoman"/>
      <w:lvlText w:val="%3."/>
      <w:lvlJc w:val="right"/>
      <w:pPr>
        <w:ind w:left="1800" w:hanging="180"/>
      </w:pPr>
    </w:lvl>
    <w:lvl w:ilvl="3" w:tplc="021087F2" w:tentative="1">
      <w:start w:val="1"/>
      <w:numFmt w:val="decimal"/>
      <w:lvlText w:val="%4."/>
      <w:lvlJc w:val="left"/>
      <w:pPr>
        <w:ind w:left="2520" w:hanging="360"/>
      </w:pPr>
    </w:lvl>
    <w:lvl w:ilvl="4" w:tplc="B2088254" w:tentative="1">
      <w:start w:val="1"/>
      <w:numFmt w:val="lowerLetter"/>
      <w:lvlText w:val="%5."/>
      <w:lvlJc w:val="left"/>
      <w:pPr>
        <w:ind w:left="3240" w:hanging="360"/>
      </w:pPr>
    </w:lvl>
    <w:lvl w:ilvl="5" w:tplc="64160084" w:tentative="1">
      <w:start w:val="1"/>
      <w:numFmt w:val="lowerRoman"/>
      <w:lvlText w:val="%6."/>
      <w:lvlJc w:val="right"/>
      <w:pPr>
        <w:ind w:left="3960" w:hanging="180"/>
      </w:pPr>
    </w:lvl>
    <w:lvl w:ilvl="6" w:tplc="0F5C9E2C" w:tentative="1">
      <w:start w:val="1"/>
      <w:numFmt w:val="decimal"/>
      <w:lvlText w:val="%7."/>
      <w:lvlJc w:val="left"/>
      <w:pPr>
        <w:ind w:left="4680" w:hanging="360"/>
      </w:pPr>
    </w:lvl>
    <w:lvl w:ilvl="7" w:tplc="67F8FA72" w:tentative="1">
      <w:start w:val="1"/>
      <w:numFmt w:val="lowerLetter"/>
      <w:lvlText w:val="%8."/>
      <w:lvlJc w:val="left"/>
      <w:pPr>
        <w:ind w:left="5400" w:hanging="360"/>
      </w:pPr>
    </w:lvl>
    <w:lvl w:ilvl="8" w:tplc="A244A50E" w:tentative="1">
      <w:start w:val="1"/>
      <w:numFmt w:val="lowerRoman"/>
      <w:lvlText w:val="%9."/>
      <w:lvlJc w:val="right"/>
      <w:pPr>
        <w:ind w:left="6120" w:hanging="180"/>
      </w:pPr>
    </w:lvl>
  </w:abstractNum>
  <w:abstractNum w:abstractNumId="25" w15:restartNumberingAfterBreak="0">
    <w:nsid w:val="47CC1123"/>
    <w:multiLevelType w:val="hybridMultilevel"/>
    <w:tmpl w:val="5F128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4A7DF5"/>
    <w:multiLevelType w:val="hybridMultilevel"/>
    <w:tmpl w:val="07D00FAC"/>
    <w:lvl w:ilvl="0" w:tplc="2990E156">
      <w:start w:val="1"/>
      <w:numFmt w:val="lowerLetter"/>
      <w:lvlText w:val="(%1)"/>
      <w:lvlJc w:val="left"/>
      <w:pPr>
        <w:ind w:left="360" w:hanging="360"/>
      </w:pPr>
      <w:rPr>
        <w:rFonts w:ascii="Times New Roman" w:eastAsia="Calibri" w:hAnsi="Times New Roman" w:cs="Times New Roman" w:hint="default"/>
        <w:i w:val="0"/>
      </w:rPr>
    </w:lvl>
    <w:lvl w:ilvl="1" w:tplc="A8EAC3AA" w:tentative="1">
      <w:start w:val="1"/>
      <w:numFmt w:val="lowerLetter"/>
      <w:lvlText w:val="%2."/>
      <w:lvlJc w:val="left"/>
      <w:pPr>
        <w:ind w:left="1080" w:hanging="360"/>
      </w:pPr>
    </w:lvl>
    <w:lvl w:ilvl="2" w:tplc="F740DB9C" w:tentative="1">
      <w:start w:val="1"/>
      <w:numFmt w:val="lowerRoman"/>
      <w:lvlText w:val="%3."/>
      <w:lvlJc w:val="right"/>
      <w:pPr>
        <w:ind w:left="1800" w:hanging="180"/>
      </w:pPr>
    </w:lvl>
    <w:lvl w:ilvl="3" w:tplc="B17C8488" w:tentative="1">
      <w:start w:val="1"/>
      <w:numFmt w:val="decimal"/>
      <w:lvlText w:val="%4."/>
      <w:lvlJc w:val="left"/>
      <w:pPr>
        <w:ind w:left="2520" w:hanging="360"/>
      </w:pPr>
    </w:lvl>
    <w:lvl w:ilvl="4" w:tplc="E79E32D2" w:tentative="1">
      <w:start w:val="1"/>
      <w:numFmt w:val="lowerLetter"/>
      <w:lvlText w:val="%5."/>
      <w:lvlJc w:val="left"/>
      <w:pPr>
        <w:ind w:left="3240" w:hanging="360"/>
      </w:pPr>
    </w:lvl>
    <w:lvl w:ilvl="5" w:tplc="24D2F352" w:tentative="1">
      <w:start w:val="1"/>
      <w:numFmt w:val="lowerRoman"/>
      <w:lvlText w:val="%6."/>
      <w:lvlJc w:val="right"/>
      <w:pPr>
        <w:ind w:left="3960" w:hanging="180"/>
      </w:pPr>
    </w:lvl>
    <w:lvl w:ilvl="6" w:tplc="54CEDCF6" w:tentative="1">
      <w:start w:val="1"/>
      <w:numFmt w:val="decimal"/>
      <w:lvlText w:val="%7."/>
      <w:lvlJc w:val="left"/>
      <w:pPr>
        <w:ind w:left="4680" w:hanging="360"/>
      </w:pPr>
    </w:lvl>
    <w:lvl w:ilvl="7" w:tplc="42D2EA18" w:tentative="1">
      <w:start w:val="1"/>
      <w:numFmt w:val="lowerLetter"/>
      <w:lvlText w:val="%8."/>
      <w:lvlJc w:val="left"/>
      <w:pPr>
        <w:ind w:left="5400" w:hanging="360"/>
      </w:pPr>
    </w:lvl>
    <w:lvl w:ilvl="8" w:tplc="1A104EB4" w:tentative="1">
      <w:start w:val="1"/>
      <w:numFmt w:val="lowerRoman"/>
      <w:lvlText w:val="%9."/>
      <w:lvlJc w:val="right"/>
      <w:pPr>
        <w:ind w:left="6120" w:hanging="180"/>
      </w:pPr>
    </w:lvl>
  </w:abstractNum>
  <w:abstractNum w:abstractNumId="27" w15:restartNumberingAfterBreak="0">
    <w:nsid w:val="4BBC30B2"/>
    <w:multiLevelType w:val="hybridMultilevel"/>
    <w:tmpl w:val="C138F192"/>
    <w:lvl w:ilvl="0" w:tplc="53FAF934">
      <w:start w:val="4"/>
      <w:numFmt w:val="decimal"/>
      <w:lvlText w:val="%1."/>
      <w:lvlJc w:val="left"/>
      <w:pPr>
        <w:tabs>
          <w:tab w:val="num" w:pos="720"/>
        </w:tabs>
        <w:ind w:left="720" w:hanging="360"/>
      </w:pPr>
    </w:lvl>
    <w:lvl w:ilvl="1" w:tplc="CF3E2908" w:tentative="1">
      <w:start w:val="1"/>
      <w:numFmt w:val="decimal"/>
      <w:lvlText w:val="%2."/>
      <w:lvlJc w:val="left"/>
      <w:pPr>
        <w:tabs>
          <w:tab w:val="num" w:pos="1440"/>
        </w:tabs>
        <w:ind w:left="1440" w:hanging="360"/>
      </w:pPr>
    </w:lvl>
    <w:lvl w:ilvl="2" w:tplc="83D29D32" w:tentative="1">
      <w:start w:val="1"/>
      <w:numFmt w:val="decimal"/>
      <w:lvlText w:val="%3."/>
      <w:lvlJc w:val="left"/>
      <w:pPr>
        <w:tabs>
          <w:tab w:val="num" w:pos="2160"/>
        </w:tabs>
        <w:ind w:left="2160" w:hanging="360"/>
      </w:pPr>
    </w:lvl>
    <w:lvl w:ilvl="3" w:tplc="38884616" w:tentative="1">
      <w:start w:val="1"/>
      <w:numFmt w:val="decimal"/>
      <w:lvlText w:val="%4."/>
      <w:lvlJc w:val="left"/>
      <w:pPr>
        <w:tabs>
          <w:tab w:val="num" w:pos="2880"/>
        </w:tabs>
        <w:ind w:left="2880" w:hanging="360"/>
      </w:pPr>
    </w:lvl>
    <w:lvl w:ilvl="4" w:tplc="060C3B1E" w:tentative="1">
      <w:start w:val="1"/>
      <w:numFmt w:val="decimal"/>
      <w:lvlText w:val="%5."/>
      <w:lvlJc w:val="left"/>
      <w:pPr>
        <w:tabs>
          <w:tab w:val="num" w:pos="3600"/>
        </w:tabs>
        <w:ind w:left="3600" w:hanging="360"/>
      </w:pPr>
    </w:lvl>
    <w:lvl w:ilvl="5" w:tplc="469E90E6" w:tentative="1">
      <w:start w:val="1"/>
      <w:numFmt w:val="decimal"/>
      <w:lvlText w:val="%6."/>
      <w:lvlJc w:val="left"/>
      <w:pPr>
        <w:tabs>
          <w:tab w:val="num" w:pos="4320"/>
        </w:tabs>
        <w:ind w:left="4320" w:hanging="360"/>
      </w:pPr>
    </w:lvl>
    <w:lvl w:ilvl="6" w:tplc="5ECC1C4A" w:tentative="1">
      <w:start w:val="1"/>
      <w:numFmt w:val="decimal"/>
      <w:lvlText w:val="%7."/>
      <w:lvlJc w:val="left"/>
      <w:pPr>
        <w:tabs>
          <w:tab w:val="num" w:pos="5040"/>
        </w:tabs>
        <w:ind w:left="5040" w:hanging="360"/>
      </w:pPr>
    </w:lvl>
    <w:lvl w:ilvl="7" w:tplc="90082FD6" w:tentative="1">
      <w:start w:val="1"/>
      <w:numFmt w:val="decimal"/>
      <w:lvlText w:val="%8."/>
      <w:lvlJc w:val="left"/>
      <w:pPr>
        <w:tabs>
          <w:tab w:val="num" w:pos="5760"/>
        </w:tabs>
        <w:ind w:left="5760" w:hanging="360"/>
      </w:pPr>
    </w:lvl>
    <w:lvl w:ilvl="8" w:tplc="94A62ADC" w:tentative="1">
      <w:start w:val="1"/>
      <w:numFmt w:val="decimal"/>
      <w:lvlText w:val="%9."/>
      <w:lvlJc w:val="left"/>
      <w:pPr>
        <w:tabs>
          <w:tab w:val="num" w:pos="6480"/>
        </w:tabs>
        <w:ind w:left="6480" w:hanging="360"/>
      </w:pPr>
    </w:lvl>
  </w:abstractNum>
  <w:abstractNum w:abstractNumId="28" w15:restartNumberingAfterBreak="0">
    <w:nsid w:val="52D739C0"/>
    <w:multiLevelType w:val="hybridMultilevel"/>
    <w:tmpl w:val="4E0EF02A"/>
    <w:lvl w:ilvl="0" w:tplc="74F2E962">
      <w:start w:val="1"/>
      <w:numFmt w:val="decimalZero"/>
      <w:lvlText w:val="1.%1"/>
      <w:lvlJc w:val="left"/>
      <w:pPr>
        <w:ind w:left="360" w:hanging="360"/>
      </w:pPr>
      <w:rPr>
        <w:rFonts w:hint="default"/>
        <w:i w:val="0"/>
      </w:rPr>
    </w:lvl>
    <w:lvl w:ilvl="1" w:tplc="6A801886" w:tentative="1">
      <w:start w:val="1"/>
      <w:numFmt w:val="lowerLetter"/>
      <w:lvlText w:val="%2."/>
      <w:lvlJc w:val="left"/>
      <w:pPr>
        <w:ind w:left="720" w:hanging="360"/>
      </w:pPr>
    </w:lvl>
    <w:lvl w:ilvl="2" w:tplc="3A3C6312" w:tentative="1">
      <w:start w:val="1"/>
      <w:numFmt w:val="lowerRoman"/>
      <w:lvlText w:val="%3."/>
      <w:lvlJc w:val="right"/>
      <w:pPr>
        <w:ind w:left="1440" w:hanging="180"/>
      </w:pPr>
    </w:lvl>
    <w:lvl w:ilvl="3" w:tplc="33663EB4" w:tentative="1">
      <w:start w:val="1"/>
      <w:numFmt w:val="decimal"/>
      <w:lvlText w:val="%4."/>
      <w:lvlJc w:val="left"/>
      <w:pPr>
        <w:ind w:left="2160" w:hanging="360"/>
      </w:pPr>
    </w:lvl>
    <w:lvl w:ilvl="4" w:tplc="FDFA2416" w:tentative="1">
      <w:start w:val="1"/>
      <w:numFmt w:val="lowerLetter"/>
      <w:lvlText w:val="%5."/>
      <w:lvlJc w:val="left"/>
      <w:pPr>
        <w:ind w:left="2880" w:hanging="360"/>
      </w:pPr>
    </w:lvl>
    <w:lvl w:ilvl="5" w:tplc="B3428C18" w:tentative="1">
      <w:start w:val="1"/>
      <w:numFmt w:val="lowerRoman"/>
      <w:lvlText w:val="%6."/>
      <w:lvlJc w:val="right"/>
      <w:pPr>
        <w:ind w:left="3600" w:hanging="180"/>
      </w:pPr>
    </w:lvl>
    <w:lvl w:ilvl="6" w:tplc="D628456A" w:tentative="1">
      <w:start w:val="1"/>
      <w:numFmt w:val="decimal"/>
      <w:lvlText w:val="%7."/>
      <w:lvlJc w:val="left"/>
      <w:pPr>
        <w:ind w:left="4320" w:hanging="360"/>
      </w:pPr>
    </w:lvl>
    <w:lvl w:ilvl="7" w:tplc="6F00EB54" w:tentative="1">
      <w:start w:val="1"/>
      <w:numFmt w:val="lowerLetter"/>
      <w:lvlText w:val="%8."/>
      <w:lvlJc w:val="left"/>
      <w:pPr>
        <w:ind w:left="5040" w:hanging="360"/>
      </w:pPr>
    </w:lvl>
    <w:lvl w:ilvl="8" w:tplc="80FA96AC" w:tentative="1">
      <w:start w:val="1"/>
      <w:numFmt w:val="lowerRoman"/>
      <w:lvlText w:val="%9."/>
      <w:lvlJc w:val="right"/>
      <w:pPr>
        <w:ind w:left="5760" w:hanging="180"/>
      </w:pPr>
    </w:lvl>
  </w:abstractNum>
  <w:abstractNum w:abstractNumId="29" w15:restartNumberingAfterBreak="0">
    <w:nsid w:val="56B2359E"/>
    <w:multiLevelType w:val="hybridMultilevel"/>
    <w:tmpl w:val="3B102422"/>
    <w:lvl w:ilvl="0" w:tplc="A050A166">
      <w:start w:val="1"/>
      <w:numFmt w:val="decimalZero"/>
      <w:lvlText w:val="4.%1"/>
      <w:lvlJc w:val="left"/>
      <w:pPr>
        <w:ind w:left="1440" w:hanging="360"/>
      </w:pPr>
      <w:rPr>
        <w:rFonts w:hint="default"/>
        <w:i w:val="0"/>
      </w:rPr>
    </w:lvl>
    <w:lvl w:ilvl="1" w:tplc="4A286C3C">
      <w:start w:val="1"/>
      <w:numFmt w:val="decimal"/>
      <w:lvlText w:val="%2."/>
      <w:lvlJc w:val="left"/>
      <w:pPr>
        <w:ind w:left="2880" w:hanging="360"/>
      </w:pPr>
      <w:rPr>
        <w:rFonts w:hint="default"/>
      </w:rPr>
    </w:lvl>
    <w:lvl w:ilvl="2" w:tplc="C082B50C" w:tentative="1">
      <w:start w:val="1"/>
      <w:numFmt w:val="lowerRoman"/>
      <w:lvlText w:val="%3."/>
      <w:lvlJc w:val="right"/>
      <w:pPr>
        <w:ind w:left="2880" w:hanging="180"/>
      </w:pPr>
    </w:lvl>
    <w:lvl w:ilvl="3" w:tplc="021087F2" w:tentative="1">
      <w:start w:val="1"/>
      <w:numFmt w:val="decimal"/>
      <w:lvlText w:val="%4."/>
      <w:lvlJc w:val="left"/>
      <w:pPr>
        <w:ind w:left="3600" w:hanging="360"/>
      </w:pPr>
    </w:lvl>
    <w:lvl w:ilvl="4" w:tplc="B2088254" w:tentative="1">
      <w:start w:val="1"/>
      <w:numFmt w:val="lowerLetter"/>
      <w:lvlText w:val="%5."/>
      <w:lvlJc w:val="left"/>
      <w:pPr>
        <w:ind w:left="4320" w:hanging="360"/>
      </w:pPr>
    </w:lvl>
    <w:lvl w:ilvl="5" w:tplc="64160084" w:tentative="1">
      <w:start w:val="1"/>
      <w:numFmt w:val="lowerRoman"/>
      <w:lvlText w:val="%6."/>
      <w:lvlJc w:val="right"/>
      <w:pPr>
        <w:ind w:left="5040" w:hanging="180"/>
      </w:pPr>
    </w:lvl>
    <w:lvl w:ilvl="6" w:tplc="0F5C9E2C" w:tentative="1">
      <w:start w:val="1"/>
      <w:numFmt w:val="decimal"/>
      <w:lvlText w:val="%7."/>
      <w:lvlJc w:val="left"/>
      <w:pPr>
        <w:ind w:left="5760" w:hanging="360"/>
      </w:pPr>
    </w:lvl>
    <w:lvl w:ilvl="7" w:tplc="67F8FA72" w:tentative="1">
      <w:start w:val="1"/>
      <w:numFmt w:val="lowerLetter"/>
      <w:lvlText w:val="%8."/>
      <w:lvlJc w:val="left"/>
      <w:pPr>
        <w:ind w:left="6480" w:hanging="360"/>
      </w:pPr>
    </w:lvl>
    <w:lvl w:ilvl="8" w:tplc="A244A50E" w:tentative="1">
      <w:start w:val="1"/>
      <w:numFmt w:val="lowerRoman"/>
      <w:lvlText w:val="%9."/>
      <w:lvlJc w:val="right"/>
      <w:pPr>
        <w:ind w:left="7200" w:hanging="180"/>
      </w:pPr>
    </w:lvl>
  </w:abstractNum>
  <w:abstractNum w:abstractNumId="30" w15:restartNumberingAfterBreak="0">
    <w:nsid w:val="591B1E1C"/>
    <w:multiLevelType w:val="hybridMultilevel"/>
    <w:tmpl w:val="897491D2"/>
    <w:lvl w:ilvl="0" w:tplc="D81EAD4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915CD9"/>
    <w:multiLevelType w:val="hybridMultilevel"/>
    <w:tmpl w:val="9002274E"/>
    <w:lvl w:ilvl="0" w:tplc="90D825BC">
      <w:start w:val="1"/>
      <w:numFmt w:val="decimalZero"/>
      <w:lvlText w:val="9.%1"/>
      <w:lvlJc w:val="left"/>
      <w:pPr>
        <w:ind w:left="360" w:hanging="360"/>
      </w:pPr>
      <w:rPr>
        <w:rFonts w:hint="default"/>
        <w:i w:val="0"/>
      </w:rPr>
    </w:lvl>
    <w:lvl w:ilvl="1" w:tplc="030899A2" w:tentative="1">
      <w:start w:val="1"/>
      <w:numFmt w:val="bullet"/>
      <w:lvlText w:val="o"/>
      <w:lvlJc w:val="left"/>
      <w:pPr>
        <w:ind w:left="1080" w:hanging="360"/>
      </w:pPr>
      <w:rPr>
        <w:rFonts w:ascii="Courier New" w:hAnsi="Courier New" w:cs="Courier New" w:hint="default"/>
      </w:rPr>
    </w:lvl>
    <w:lvl w:ilvl="2" w:tplc="50C036DA" w:tentative="1">
      <w:start w:val="1"/>
      <w:numFmt w:val="bullet"/>
      <w:lvlText w:val=""/>
      <w:lvlJc w:val="left"/>
      <w:pPr>
        <w:ind w:left="1800" w:hanging="360"/>
      </w:pPr>
      <w:rPr>
        <w:rFonts w:ascii="Wingdings" w:hAnsi="Wingdings" w:hint="default"/>
      </w:rPr>
    </w:lvl>
    <w:lvl w:ilvl="3" w:tplc="C3901092" w:tentative="1">
      <w:start w:val="1"/>
      <w:numFmt w:val="bullet"/>
      <w:lvlText w:val=""/>
      <w:lvlJc w:val="left"/>
      <w:pPr>
        <w:ind w:left="2520" w:hanging="360"/>
      </w:pPr>
      <w:rPr>
        <w:rFonts w:ascii="Symbol" w:hAnsi="Symbol" w:hint="default"/>
      </w:rPr>
    </w:lvl>
    <w:lvl w:ilvl="4" w:tplc="F990C4AA" w:tentative="1">
      <w:start w:val="1"/>
      <w:numFmt w:val="bullet"/>
      <w:lvlText w:val="o"/>
      <w:lvlJc w:val="left"/>
      <w:pPr>
        <w:ind w:left="3240" w:hanging="360"/>
      </w:pPr>
      <w:rPr>
        <w:rFonts w:ascii="Courier New" w:hAnsi="Courier New" w:cs="Courier New" w:hint="default"/>
      </w:rPr>
    </w:lvl>
    <w:lvl w:ilvl="5" w:tplc="4AEA4D12" w:tentative="1">
      <w:start w:val="1"/>
      <w:numFmt w:val="bullet"/>
      <w:lvlText w:val=""/>
      <w:lvlJc w:val="left"/>
      <w:pPr>
        <w:ind w:left="3960" w:hanging="360"/>
      </w:pPr>
      <w:rPr>
        <w:rFonts w:ascii="Wingdings" w:hAnsi="Wingdings" w:hint="default"/>
      </w:rPr>
    </w:lvl>
    <w:lvl w:ilvl="6" w:tplc="04220BC0" w:tentative="1">
      <w:start w:val="1"/>
      <w:numFmt w:val="bullet"/>
      <w:lvlText w:val=""/>
      <w:lvlJc w:val="left"/>
      <w:pPr>
        <w:ind w:left="4680" w:hanging="360"/>
      </w:pPr>
      <w:rPr>
        <w:rFonts w:ascii="Symbol" w:hAnsi="Symbol" w:hint="default"/>
      </w:rPr>
    </w:lvl>
    <w:lvl w:ilvl="7" w:tplc="302444CA" w:tentative="1">
      <w:start w:val="1"/>
      <w:numFmt w:val="bullet"/>
      <w:lvlText w:val="o"/>
      <w:lvlJc w:val="left"/>
      <w:pPr>
        <w:ind w:left="5400" w:hanging="360"/>
      </w:pPr>
      <w:rPr>
        <w:rFonts w:ascii="Courier New" w:hAnsi="Courier New" w:cs="Courier New" w:hint="default"/>
      </w:rPr>
    </w:lvl>
    <w:lvl w:ilvl="8" w:tplc="8724E2F2" w:tentative="1">
      <w:start w:val="1"/>
      <w:numFmt w:val="bullet"/>
      <w:lvlText w:val=""/>
      <w:lvlJc w:val="left"/>
      <w:pPr>
        <w:ind w:left="6120" w:hanging="360"/>
      </w:pPr>
      <w:rPr>
        <w:rFonts w:ascii="Wingdings" w:hAnsi="Wingdings" w:hint="default"/>
      </w:rPr>
    </w:lvl>
  </w:abstractNum>
  <w:abstractNum w:abstractNumId="32" w15:restartNumberingAfterBreak="0">
    <w:nsid w:val="5CA03AAE"/>
    <w:multiLevelType w:val="hybridMultilevel"/>
    <w:tmpl w:val="B754BAE8"/>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D81B97"/>
    <w:multiLevelType w:val="hybridMultilevel"/>
    <w:tmpl w:val="57749528"/>
    <w:lvl w:ilvl="0" w:tplc="3E6E5CC8">
      <w:start w:val="1"/>
      <w:numFmt w:val="lowerLetter"/>
      <w:lvlText w:val="(%1)"/>
      <w:lvlJc w:val="left"/>
      <w:pPr>
        <w:ind w:left="720" w:hanging="360"/>
      </w:pPr>
      <w:rPr>
        <w:rFonts w:ascii="Times New Roman" w:hAnsi="Times New Roman" w:cs="Times New Roman" w:hint="default"/>
        <w:i w:val="0"/>
        <w:sz w:val="22"/>
      </w:rPr>
    </w:lvl>
    <w:lvl w:ilvl="1" w:tplc="BA306150" w:tentative="1">
      <w:start w:val="1"/>
      <w:numFmt w:val="bullet"/>
      <w:lvlText w:val="o"/>
      <w:lvlJc w:val="left"/>
      <w:pPr>
        <w:ind w:left="1440" w:hanging="360"/>
      </w:pPr>
      <w:rPr>
        <w:rFonts w:ascii="Courier New" w:hAnsi="Courier New" w:cs="Courier New" w:hint="default"/>
      </w:rPr>
    </w:lvl>
    <w:lvl w:ilvl="2" w:tplc="D7AA2BCE" w:tentative="1">
      <w:start w:val="1"/>
      <w:numFmt w:val="bullet"/>
      <w:lvlText w:val=""/>
      <w:lvlJc w:val="left"/>
      <w:pPr>
        <w:ind w:left="2160" w:hanging="360"/>
      </w:pPr>
      <w:rPr>
        <w:rFonts w:ascii="Wingdings" w:hAnsi="Wingdings" w:hint="default"/>
      </w:rPr>
    </w:lvl>
    <w:lvl w:ilvl="3" w:tplc="FC829BB0" w:tentative="1">
      <w:start w:val="1"/>
      <w:numFmt w:val="bullet"/>
      <w:lvlText w:val=""/>
      <w:lvlJc w:val="left"/>
      <w:pPr>
        <w:ind w:left="2880" w:hanging="360"/>
      </w:pPr>
      <w:rPr>
        <w:rFonts w:ascii="Symbol" w:hAnsi="Symbol" w:hint="default"/>
      </w:rPr>
    </w:lvl>
    <w:lvl w:ilvl="4" w:tplc="1C4019F4" w:tentative="1">
      <w:start w:val="1"/>
      <w:numFmt w:val="bullet"/>
      <w:lvlText w:val="o"/>
      <w:lvlJc w:val="left"/>
      <w:pPr>
        <w:ind w:left="3600" w:hanging="360"/>
      </w:pPr>
      <w:rPr>
        <w:rFonts w:ascii="Courier New" w:hAnsi="Courier New" w:cs="Courier New" w:hint="default"/>
      </w:rPr>
    </w:lvl>
    <w:lvl w:ilvl="5" w:tplc="16DA1EF2" w:tentative="1">
      <w:start w:val="1"/>
      <w:numFmt w:val="bullet"/>
      <w:lvlText w:val=""/>
      <w:lvlJc w:val="left"/>
      <w:pPr>
        <w:ind w:left="4320" w:hanging="360"/>
      </w:pPr>
      <w:rPr>
        <w:rFonts w:ascii="Wingdings" w:hAnsi="Wingdings" w:hint="default"/>
      </w:rPr>
    </w:lvl>
    <w:lvl w:ilvl="6" w:tplc="8A3EE424" w:tentative="1">
      <w:start w:val="1"/>
      <w:numFmt w:val="bullet"/>
      <w:lvlText w:val=""/>
      <w:lvlJc w:val="left"/>
      <w:pPr>
        <w:ind w:left="5040" w:hanging="360"/>
      </w:pPr>
      <w:rPr>
        <w:rFonts w:ascii="Symbol" w:hAnsi="Symbol" w:hint="default"/>
      </w:rPr>
    </w:lvl>
    <w:lvl w:ilvl="7" w:tplc="C632F564" w:tentative="1">
      <w:start w:val="1"/>
      <w:numFmt w:val="bullet"/>
      <w:lvlText w:val="o"/>
      <w:lvlJc w:val="left"/>
      <w:pPr>
        <w:ind w:left="5760" w:hanging="360"/>
      </w:pPr>
      <w:rPr>
        <w:rFonts w:ascii="Courier New" w:hAnsi="Courier New" w:cs="Courier New" w:hint="default"/>
      </w:rPr>
    </w:lvl>
    <w:lvl w:ilvl="8" w:tplc="9B8E140E" w:tentative="1">
      <w:start w:val="1"/>
      <w:numFmt w:val="bullet"/>
      <w:lvlText w:val=""/>
      <w:lvlJc w:val="left"/>
      <w:pPr>
        <w:ind w:left="6480" w:hanging="360"/>
      </w:pPr>
      <w:rPr>
        <w:rFonts w:ascii="Wingdings" w:hAnsi="Wingdings" w:hint="default"/>
      </w:rPr>
    </w:lvl>
  </w:abstractNum>
  <w:abstractNum w:abstractNumId="34" w15:restartNumberingAfterBreak="0">
    <w:nsid w:val="619846AA"/>
    <w:multiLevelType w:val="hybridMultilevel"/>
    <w:tmpl w:val="4C5AA3DC"/>
    <w:lvl w:ilvl="0" w:tplc="0EE4830A">
      <w:start w:val="1"/>
      <w:numFmt w:val="lowerLetter"/>
      <w:lvlText w:val="(%1)"/>
      <w:lvlJc w:val="left"/>
      <w:pPr>
        <w:ind w:left="763" w:hanging="360"/>
      </w:pPr>
      <w:rPr>
        <w:rFonts w:ascii="Times New Roman" w:hAnsi="Times New Roman" w:cs="Times New Roman" w:hint="default"/>
        <w:sz w:val="22"/>
      </w:rPr>
    </w:lvl>
    <w:lvl w:ilvl="1" w:tplc="908CE444" w:tentative="1">
      <w:start w:val="1"/>
      <w:numFmt w:val="bullet"/>
      <w:lvlText w:val="o"/>
      <w:lvlJc w:val="left"/>
      <w:pPr>
        <w:ind w:left="1483" w:hanging="360"/>
      </w:pPr>
      <w:rPr>
        <w:rFonts w:ascii="Courier New" w:hAnsi="Courier New" w:cs="Courier New" w:hint="default"/>
      </w:rPr>
    </w:lvl>
    <w:lvl w:ilvl="2" w:tplc="C9D6C15A" w:tentative="1">
      <w:start w:val="1"/>
      <w:numFmt w:val="bullet"/>
      <w:lvlText w:val=""/>
      <w:lvlJc w:val="left"/>
      <w:pPr>
        <w:ind w:left="2203" w:hanging="360"/>
      </w:pPr>
      <w:rPr>
        <w:rFonts w:ascii="Wingdings" w:hAnsi="Wingdings" w:hint="default"/>
      </w:rPr>
    </w:lvl>
    <w:lvl w:ilvl="3" w:tplc="36F48CF2" w:tentative="1">
      <w:start w:val="1"/>
      <w:numFmt w:val="bullet"/>
      <w:lvlText w:val=""/>
      <w:lvlJc w:val="left"/>
      <w:pPr>
        <w:ind w:left="2923" w:hanging="360"/>
      </w:pPr>
      <w:rPr>
        <w:rFonts w:ascii="Symbol" w:hAnsi="Symbol" w:hint="default"/>
      </w:rPr>
    </w:lvl>
    <w:lvl w:ilvl="4" w:tplc="B91276D4" w:tentative="1">
      <w:start w:val="1"/>
      <w:numFmt w:val="bullet"/>
      <w:lvlText w:val="o"/>
      <w:lvlJc w:val="left"/>
      <w:pPr>
        <w:ind w:left="3643" w:hanging="360"/>
      </w:pPr>
      <w:rPr>
        <w:rFonts w:ascii="Courier New" w:hAnsi="Courier New" w:cs="Courier New" w:hint="default"/>
      </w:rPr>
    </w:lvl>
    <w:lvl w:ilvl="5" w:tplc="2C8075AA" w:tentative="1">
      <w:start w:val="1"/>
      <w:numFmt w:val="bullet"/>
      <w:lvlText w:val=""/>
      <w:lvlJc w:val="left"/>
      <w:pPr>
        <w:ind w:left="4363" w:hanging="360"/>
      </w:pPr>
      <w:rPr>
        <w:rFonts w:ascii="Wingdings" w:hAnsi="Wingdings" w:hint="default"/>
      </w:rPr>
    </w:lvl>
    <w:lvl w:ilvl="6" w:tplc="67C800DC" w:tentative="1">
      <w:start w:val="1"/>
      <w:numFmt w:val="bullet"/>
      <w:lvlText w:val=""/>
      <w:lvlJc w:val="left"/>
      <w:pPr>
        <w:ind w:left="5083" w:hanging="360"/>
      </w:pPr>
      <w:rPr>
        <w:rFonts w:ascii="Symbol" w:hAnsi="Symbol" w:hint="default"/>
      </w:rPr>
    </w:lvl>
    <w:lvl w:ilvl="7" w:tplc="4E5A4FCA" w:tentative="1">
      <w:start w:val="1"/>
      <w:numFmt w:val="bullet"/>
      <w:lvlText w:val="o"/>
      <w:lvlJc w:val="left"/>
      <w:pPr>
        <w:ind w:left="5803" w:hanging="360"/>
      </w:pPr>
      <w:rPr>
        <w:rFonts w:ascii="Courier New" w:hAnsi="Courier New" w:cs="Courier New" w:hint="default"/>
      </w:rPr>
    </w:lvl>
    <w:lvl w:ilvl="8" w:tplc="52B66A88" w:tentative="1">
      <w:start w:val="1"/>
      <w:numFmt w:val="bullet"/>
      <w:lvlText w:val=""/>
      <w:lvlJc w:val="left"/>
      <w:pPr>
        <w:ind w:left="6523" w:hanging="360"/>
      </w:pPr>
      <w:rPr>
        <w:rFonts w:ascii="Wingdings" w:hAnsi="Wingdings" w:hint="default"/>
      </w:rPr>
    </w:lvl>
  </w:abstractNum>
  <w:abstractNum w:abstractNumId="35" w15:restartNumberingAfterBreak="0">
    <w:nsid w:val="71FE687F"/>
    <w:multiLevelType w:val="hybridMultilevel"/>
    <w:tmpl w:val="24CC0D6A"/>
    <w:lvl w:ilvl="0" w:tplc="24A2C9D6">
      <w:start w:val="1"/>
      <w:numFmt w:val="lowerLetter"/>
      <w:lvlText w:val="%1."/>
      <w:lvlJc w:val="left"/>
      <w:pPr>
        <w:ind w:left="1080" w:hanging="360"/>
      </w:pPr>
      <w:rPr>
        <w:rFonts w:hint="default"/>
      </w:rPr>
    </w:lvl>
    <w:lvl w:ilvl="1" w:tplc="A134D046" w:tentative="1">
      <w:start w:val="1"/>
      <w:numFmt w:val="lowerLetter"/>
      <w:lvlText w:val="%2."/>
      <w:lvlJc w:val="left"/>
      <w:pPr>
        <w:ind w:left="1800" w:hanging="360"/>
      </w:pPr>
    </w:lvl>
    <w:lvl w:ilvl="2" w:tplc="8C24EDD4" w:tentative="1">
      <w:start w:val="1"/>
      <w:numFmt w:val="lowerRoman"/>
      <w:lvlText w:val="%3."/>
      <w:lvlJc w:val="right"/>
      <w:pPr>
        <w:ind w:left="2520" w:hanging="180"/>
      </w:pPr>
    </w:lvl>
    <w:lvl w:ilvl="3" w:tplc="A746B3CE" w:tentative="1">
      <w:start w:val="1"/>
      <w:numFmt w:val="decimal"/>
      <w:lvlText w:val="%4."/>
      <w:lvlJc w:val="left"/>
      <w:pPr>
        <w:ind w:left="3240" w:hanging="360"/>
      </w:pPr>
    </w:lvl>
    <w:lvl w:ilvl="4" w:tplc="6688DAE4" w:tentative="1">
      <w:start w:val="1"/>
      <w:numFmt w:val="lowerLetter"/>
      <w:lvlText w:val="%5."/>
      <w:lvlJc w:val="left"/>
      <w:pPr>
        <w:ind w:left="3960" w:hanging="360"/>
      </w:pPr>
    </w:lvl>
    <w:lvl w:ilvl="5" w:tplc="F190CB18" w:tentative="1">
      <w:start w:val="1"/>
      <w:numFmt w:val="lowerRoman"/>
      <w:lvlText w:val="%6."/>
      <w:lvlJc w:val="right"/>
      <w:pPr>
        <w:ind w:left="4680" w:hanging="180"/>
      </w:pPr>
    </w:lvl>
    <w:lvl w:ilvl="6" w:tplc="F98AE93E" w:tentative="1">
      <w:start w:val="1"/>
      <w:numFmt w:val="decimal"/>
      <w:lvlText w:val="%7."/>
      <w:lvlJc w:val="left"/>
      <w:pPr>
        <w:ind w:left="5400" w:hanging="360"/>
      </w:pPr>
    </w:lvl>
    <w:lvl w:ilvl="7" w:tplc="8D2E84B2" w:tentative="1">
      <w:start w:val="1"/>
      <w:numFmt w:val="lowerLetter"/>
      <w:lvlText w:val="%8."/>
      <w:lvlJc w:val="left"/>
      <w:pPr>
        <w:ind w:left="6120" w:hanging="360"/>
      </w:pPr>
    </w:lvl>
    <w:lvl w:ilvl="8" w:tplc="1F4E4A4C" w:tentative="1">
      <w:start w:val="1"/>
      <w:numFmt w:val="lowerRoman"/>
      <w:lvlText w:val="%9."/>
      <w:lvlJc w:val="right"/>
      <w:pPr>
        <w:ind w:left="6840" w:hanging="180"/>
      </w:pPr>
    </w:lvl>
  </w:abstractNum>
  <w:abstractNum w:abstractNumId="36" w15:restartNumberingAfterBreak="0">
    <w:nsid w:val="72265C52"/>
    <w:multiLevelType w:val="hybridMultilevel"/>
    <w:tmpl w:val="DFD8197E"/>
    <w:lvl w:ilvl="0" w:tplc="200262B4">
      <w:start w:val="1"/>
      <w:numFmt w:val="lowerLetter"/>
      <w:lvlText w:val="(%1)"/>
      <w:lvlJc w:val="left"/>
      <w:pPr>
        <w:ind w:left="720" w:hanging="360"/>
      </w:pPr>
      <w:rPr>
        <w:rFonts w:ascii="Times New Roman" w:hAnsi="Times New Roman" w:cs="Times New Roman" w:hint="default"/>
        <w:i w:val="0"/>
        <w:sz w:val="22"/>
      </w:rPr>
    </w:lvl>
    <w:lvl w:ilvl="1" w:tplc="0FA6B35C" w:tentative="1">
      <w:start w:val="1"/>
      <w:numFmt w:val="bullet"/>
      <w:lvlText w:val="o"/>
      <w:lvlJc w:val="left"/>
      <w:pPr>
        <w:ind w:left="1440" w:hanging="360"/>
      </w:pPr>
      <w:rPr>
        <w:rFonts w:ascii="Courier New" w:hAnsi="Courier New" w:cs="Courier New" w:hint="default"/>
      </w:rPr>
    </w:lvl>
    <w:lvl w:ilvl="2" w:tplc="5B60FD10" w:tentative="1">
      <w:start w:val="1"/>
      <w:numFmt w:val="bullet"/>
      <w:lvlText w:val=""/>
      <w:lvlJc w:val="left"/>
      <w:pPr>
        <w:ind w:left="2160" w:hanging="360"/>
      </w:pPr>
      <w:rPr>
        <w:rFonts w:ascii="Wingdings" w:hAnsi="Wingdings" w:hint="default"/>
      </w:rPr>
    </w:lvl>
    <w:lvl w:ilvl="3" w:tplc="E7C4E5E0" w:tentative="1">
      <w:start w:val="1"/>
      <w:numFmt w:val="bullet"/>
      <w:lvlText w:val=""/>
      <w:lvlJc w:val="left"/>
      <w:pPr>
        <w:ind w:left="2880" w:hanging="360"/>
      </w:pPr>
      <w:rPr>
        <w:rFonts w:ascii="Symbol" w:hAnsi="Symbol" w:hint="default"/>
      </w:rPr>
    </w:lvl>
    <w:lvl w:ilvl="4" w:tplc="79AE67DA" w:tentative="1">
      <w:start w:val="1"/>
      <w:numFmt w:val="bullet"/>
      <w:lvlText w:val="o"/>
      <w:lvlJc w:val="left"/>
      <w:pPr>
        <w:ind w:left="3600" w:hanging="360"/>
      </w:pPr>
      <w:rPr>
        <w:rFonts w:ascii="Courier New" w:hAnsi="Courier New" w:cs="Courier New" w:hint="default"/>
      </w:rPr>
    </w:lvl>
    <w:lvl w:ilvl="5" w:tplc="A5E8368E" w:tentative="1">
      <w:start w:val="1"/>
      <w:numFmt w:val="bullet"/>
      <w:lvlText w:val=""/>
      <w:lvlJc w:val="left"/>
      <w:pPr>
        <w:ind w:left="4320" w:hanging="360"/>
      </w:pPr>
      <w:rPr>
        <w:rFonts w:ascii="Wingdings" w:hAnsi="Wingdings" w:hint="default"/>
      </w:rPr>
    </w:lvl>
    <w:lvl w:ilvl="6" w:tplc="5F3CF586" w:tentative="1">
      <w:start w:val="1"/>
      <w:numFmt w:val="bullet"/>
      <w:lvlText w:val=""/>
      <w:lvlJc w:val="left"/>
      <w:pPr>
        <w:ind w:left="5040" w:hanging="360"/>
      </w:pPr>
      <w:rPr>
        <w:rFonts w:ascii="Symbol" w:hAnsi="Symbol" w:hint="default"/>
      </w:rPr>
    </w:lvl>
    <w:lvl w:ilvl="7" w:tplc="A1F8313C" w:tentative="1">
      <w:start w:val="1"/>
      <w:numFmt w:val="bullet"/>
      <w:lvlText w:val="o"/>
      <w:lvlJc w:val="left"/>
      <w:pPr>
        <w:ind w:left="5760" w:hanging="360"/>
      </w:pPr>
      <w:rPr>
        <w:rFonts w:ascii="Courier New" w:hAnsi="Courier New" w:cs="Courier New" w:hint="default"/>
      </w:rPr>
    </w:lvl>
    <w:lvl w:ilvl="8" w:tplc="5A780F24" w:tentative="1">
      <w:start w:val="1"/>
      <w:numFmt w:val="bullet"/>
      <w:lvlText w:val=""/>
      <w:lvlJc w:val="left"/>
      <w:pPr>
        <w:ind w:left="6480" w:hanging="360"/>
      </w:pPr>
      <w:rPr>
        <w:rFonts w:ascii="Wingdings" w:hAnsi="Wingdings" w:hint="default"/>
      </w:rPr>
    </w:lvl>
  </w:abstractNum>
  <w:abstractNum w:abstractNumId="37" w15:restartNumberingAfterBreak="0">
    <w:nsid w:val="775E2547"/>
    <w:multiLevelType w:val="hybridMultilevel"/>
    <w:tmpl w:val="CA76CBAA"/>
    <w:lvl w:ilvl="0" w:tplc="9782DDA2">
      <w:start w:val="1"/>
      <w:numFmt w:val="decimalZero"/>
      <w:lvlText w:val="1.%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7C3190"/>
    <w:multiLevelType w:val="hybridMultilevel"/>
    <w:tmpl w:val="E842DF62"/>
    <w:lvl w:ilvl="0" w:tplc="9BC8B036">
      <w:start w:val="1"/>
      <w:numFmt w:val="decimal"/>
      <w:lvlText w:val="%1."/>
      <w:lvlJc w:val="left"/>
      <w:pPr>
        <w:ind w:left="720" w:hanging="360"/>
      </w:pPr>
    </w:lvl>
    <w:lvl w:ilvl="1" w:tplc="A46C389A">
      <w:start w:val="1"/>
      <w:numFmt w:val="decimalZero"/>
      <w:isLgl/>
      <w:lvlText w:val="%1.%2"/>
      <w:lvlJc w:val="left"/>
      <w:pPr>
        <w:ind w:left="740" w:hanging="380"/>
      </w:pPr>
    </w:lvl>
    <w:lvl w:ilvl="2" w:tplc="E590806E">
      <w:start w:val="1"/>
      <w:numFmt w:val="decimal"/>
      <w:isLgl/>
      <w:lvlText w:val="%1.%2.%3"/>
      <w:lvlJc w:val="left"/>
      <w:pPr>
        <w:ind w:left="1080" w:hanging="720"/>
      </w:pPr>
    </w:lvl>
    <w:lvl w:ilvl="3" w:tplc="7A7C51E8">
      <w:start w:val="1"/>
      <w:numFmt w:val="decimal"/>
      <w:isLgl/>
      <w:lvlText w:val="%1.%2.%3.%4"/>
      <w:lvlJc w:val="left"/>
      <w:pPr>
        <w:ind w:left="1080" w:hanging="720"/>
      </w:pPr>
    </w:lvl>
    <w:lvl w:ilvl="4" w:tplc="89DC319C">
      <w:start w:val="1"/>
      <w:numFmt w:val="decimal"/>
      <w:isLgl/>
      <w:lvlText w:val="%1.%2.%3.%4.%5"/>
      <w:lvlJc w:val="left"/>
      <w:pPr>
        <w:ind w:left="1440" w:hanging="1080"/>
      </w:pPr>
    </w:lvl>
    <w:lvl w:ilvl="5" w:tplc="BB0AF74A">
      <w:start w:val="1"/>
      <w:numFmt w:val="decimal"/>
      <w:isLgl/>
      <w:lvlText w:val="%1.%2.%3.%4.%5.%6"/>
      <w:lvlJc w:val="left"/>
      <w:pPr>
        <w:ind w:left="1440" w:hanging="1080"/>
      </w:pPr>
    </w:lvl>
    <w:lvl w:ilvl="6" w:tplc="98D22A72">
      <w:start w:val="1"/>
      <w:numFmt w:val="decimal"/>
      <w:isLgl/>
      <w:lvlText w:val="%1.%2.%3.%4.%5.%6.%7"/>
      <w:lvlJc w:val="left"/>
      <w:pPr>
        <w:ind w:left="1800" w:hanging="1440"/>
      </w:pPr>
    </w:lvl>
    <w:lvl w:ilvl="7" w:tplc="E2487ED0">
      <w:start w:val="1"/>
      <w:numFmt w:val="decimal"/>
      <w:isLgl/>
      <w:lvlText w:val="%1.%2.%3.%4.%5.%6.%7.%8"/>
      <w:lvlJc w:val="left"/>
      <w:pPr>
        <w:ind w:left="1800" w:hanging="1440"/>
      </w:pPr>
    </w:lvl>
    <w:lvl w:ilvl="8" w:tplc="5B9258C0">
      <w:start w:val="1"/>
      <w:numFmt w:val="decimal"/>
      <w:isLgl/>
      <w:lvlText w:val="%1.%2.%3.%4.%5.%6.%7.%8.%9"/>
      <w:lvlJc w:val="left"/>
      <w:pPr>
        <w:ind w:left="1800" w:hanging="1440"/>
      </w:pPr>
    </w:lvl>
  </w:abstractNum>
  <w:abstractNum w:abstractNumId="39" w15:restartNumberingAfterBreak="0">
    <w:nsid w:val="78F810BF"/>
    <w:multiLevelType w:val="hybridMultilevel"/>
    <w:tmpl w:val="2FE84494"/>
    <w:lvl w:ilvl="0" w:tplc="4DD67ADA">
      <w:start w:val="1"/>
      <w:numFmt w:val="decimalZero"/>
      <w:lvlText w:val="1.%1"/>
      <w:lvlJc w:val="left"/>
      <w:pPr>
        <w:ind w:left="360" w:hanging="360"/>
      </w:pPr>
      <w:rPr>
        <w:rFonts w:hint="default"/>
        <w:i w:val="0"/>
      </w:rPr>
    </w:lvl>
    <w:lvl w:ilvl="1" w:tplc="77AC88DC" w:tentative="1">
      <w:start w:val="1"/>
      <w:numFmt w:val="lowerLetter"/>
      <w:lvlText w:val="%2."/>
      <w:lvlJc w:val="left"/>
      <w:pPr>
        <w:ind w:left="1080" w:hanging="360"/>
      </w:pPr>
    </w:lvl>
    <w:lvl w:ilvl="2" w:tplc="E29E790C" w:tentative="1">
      <w:start w:val="1"/>
      <w:numFmt w:val="lowerRoman"/>
      <w:lvlText w:val="%3."/>
      <w:lvlJc w:val="right"/>
      <w:pPr>
        <w:ind w:left="1800" w:hanging="180"/>
      </w:pPr>
    </w:lvl>
    <w:lvl w:ilvl="3" w:tplc="480C704C" w:tentative="1">
      <w:start w:val="1"/>
      <w:numFmt w:val="decimal"/>
      <w:lvlText w:val="%4."/>
      <w:lvlJc w:val="left"/>
      <w:pPr>
        <w:ind w:left="2520" w:hanging="360"/>
      </w:pPr>
    </w:lvl>
    <w:lvl w:ilvl="4" w:tplc="8EC2529A" w:tentative="1">
      <w:start w:val="1"/>
      <w:numFmt w:val="lowerLetter"/>
      <w:lvlText w:val="%5."/>
      <w:lvlJc w:val="left"/>
      <w:pPr>
        <w:ind w:left="3240" w:hanging="360"/>
      </w:pPr>
    </w:lvl>
    <w:lvl w:ilvl="5" w:tplc="599078FC" w:tentative="1">
      <w:start w:val="1"/>
      <w:numFmt w:val="lowerRoman"/>
      <w:lvlText w:val="%6."/>
      <w:lvlJc w:val="right"/>
      <w:pPr>
        <w:ind w:left="3960" w:hanging="180"/>
      </w:pPr>
    </w:lvl>
    <w:lvl w:ilvl="6" w:tplc="C6B24476" w:tentative="1">
      <w:start w:val="1"/>
      <w:numFmt w:val="decimal"/>
      <w:lvlText w:val="%7."/>
      <w:lvlJc w:val="left"/>
      <w:pPr>
        <w:ind w:left="4680" w:hanging="360"/>
      </w:pPr>
    </w:lvl>
    <w:lvl w:ilvl="7" w:tplc="F9026FB6" w:tentative="1">
      <w:start w:val="1"/>
      <w:numFmt w:val="lowerLetter"/>
      <w:lvlText w:val="%8."/>
      <w:lvlJc w:val="left"/>
      <w:pPr>
        <w:ind w:left="5400" w:hanging="360"/>
      </w:pPr>
    </w:lvl>
    <w:lvl w:ilvl="8" w:tplc="0930AF50" w:tentative="1">
      <w:start w:val="1"/>
      <w:numFmt w:val="lowerRoman"/>
      <w:lvlText w:val="%9."/>
      <w:lvlJc w:val="right"/>
      <w:pPr>
        <w:ind w:left="6120" w:hanging="180"/>
      </w:pPr>
    </w:lvl>
  </w:abstractNum>
  <w:abstractNum w:abstractNumId="40" w15:restartNumberingAfterBreak="0">
    <w:nsid w:val="7A7769BB"/>
    <w:multiLevelType w:val="hybridMultilevel"/>
    <w:tmpl w:val="F0348020"/>
    <w:lvl w:ilvl="0" w:tplc="0410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3"/>
  </w:num>
  <w:num w:numId="3">
    <w:abstractNumId w:val="5"/>
  </w:num>
  <w:num w:numId="4">
    <w:abstractNumId w:val="14"/>
  </w:num>
  <w:num w:numId="5">
    <w:abstractNumId w:val="8"/>
  </w:num>
  <w:num w:numId="6">
    <w:abstractNumId w:val="36"/>
  </w:num>
  <w:num w:numId="7">
    <w:abstractNumId w:val="25"/>
  </w:num>
  <w:num w:numId="8">
    <w:abstractNumId w:val="32"/>
  </w:num>
  <w:num w:numId="9">
    <w:abstractNumId w:val="21"/>
  </w:num>
  <w:num w:numId="10">
    <w:abstractNumId w:val="4"/>
  </w:num>
  <w:num w:numId="11">
    <w:abstractNumId w:val="2"/>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3"/>
  </w:num>
  <w:num w:numId="15">
    <w:abstractNumId w:val="9"/>
  </w:num>
  <w:num w:numId="16">
    <w:abstractNumId w:val="22"/>
  </w:num>
  <w:num w:numId="17">
    <w:abstractNumId w:val="11"/>
  </w:num>
  <w:num w:numId="18">
    <w:abstractNumId w:val="19"/>
  </w:num>
  <w:num w:numId="19">
    <w:abstractNumId w:val="33"/>
  </w:num>
  <w:num w:numId="20">
    <w:abstractNumId w:val="31"/>
  </w:num>
  <w:num w:numId="21">
    <w:abstractNumId w:val="12"/>
  </w:num>
  <w:num w:numId="22">
    <w:abstractNumId w:val="18"/>
  </w:num>
  <w:num w:numId="23">
    <w:abstractNumId w:val="40"/>
  </w:num>
  <w:num w:numId="24">
    <w:abstractNumId w:val="24"/>
  </w:num>
  <w:num w:numId="25">
    <w:abstractNumId w:val="16"/>
  </w:num>
  <w:num w:numId="26">
    <w:abstractNumId w:val="3"/>
  </w:num>
  <w:num w:numId="27">
    <w:abstractNumId w:val="20"/>
  </w:num>
  <w:num w:numId="28">
    <w:abstractNumId w:val="26"/>
  </w:num>
  <w:num w:numId="29">
    <w:abstractNumId w:val="35"/>
  </w:num>
  <w:num w:numId="30">
    <w:abstractNumId w:val="28"/>
  </w:num>
  <w:num w:numId="31">
    <w:abstractNumId w:val="6"/>
  </w:num>
  <w:num w:numId="32">
    <w:abstractNumId w:val="34"/>
  </w:num>
  <w:num w:numId="33">
    <w:abstractNumId w:val="0"/>
  </w:num>
  <w:num w:numId="34">
    <w:abstractNumId w:val="30"/>
  </w:num>
  <w:num w:numId="35">
    <w:abstractNumId w:val="37"/>
  </w:num>
  <w:num w:numId="36">
    <w:abstractNumId w:val="10"/>
  </w:num>
  <w:num w:numId="37">
    <w:abstractNumId w:val="1"/>
  </w:num>
  <w:num w:numId="38">
    <w:abstractNumId w:val="15"/>
  </w:num>
  <w:num w:numId="39">
    <w:abstractNumId w:val="27"/>
  </w:num>
  <w:num w:numId="40">
    <w:abstractNumId w:val="29"/>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23"/>
    <w:rsid w:val="004231D4"/>
    <w:rsid w:val="00506927"/>
    <w:rsid w:val="005B7C5B"/>
    <w:rsid w:val="007118A8"/>
    <w:rsid w:val="00717807"/>
    <w:rsid w:val="00785623"/>
    <w:rsid w:val="0097685F"/>
    <w:rsid w:val="00A41553"/>
    <w:rsid w:val="00BE3AE3"/>
    <w:rsid w:val="00E9538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B577A"/>
  <w15:chartTrackingRefBased/>
  <w15:docId w15:val="{7C4F028B-A23F-174E-A5CE-6BCC9CAD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623"/>
    <w:rPr>
      <w:rFonts w:ascii="Times New Roman" w:hAnsi="Times New Roman" w:cs="Times New Roman"/>
      <w:lang w:val="en-GB" w:eastAsia="en-GB"/>
    </w:rPr>
  </w:style>
  <w:style w:type="paragraph" w:styleId="Heading1">
    <w:name w:val="heading 1"/>
    <w:basedOn w:val="Normal"/>
    <w:next w:val="Normal"/>
    <w:link w:val="Heading1Char"/>
    <w:qFormat/>
    <w:rsid w:val="00785623"/>
    <w:pPr>
      <w:keepNext/>
      <w:outlineLvl w:val="0"/>
    </w:pPr>
    <w:rPr>
      <w:b/>
      <w:bCs/>
      <w:u w:val="single"/>
    </w:rPr>
  </w:style>
  <w:style w:type="paragraph" w:styleId="Heading2">
    <w:name w:val="heading 2"/>
    <w:basedOn w:val="Normal"/>
    <w:next w:val="Normal"/>
    <w:link w:val="Heading2Char"/>
    <w:qFormat/>
    <w:rsid w:val="00785623"/>
    <w:pPr>
      <w:keepNext/>
      <w:jc w:val="both"/>
      <w:outlineLvl w:val="1"/>
    </w:pPr>
    <w:rPr>
      <w:sz w:val="22"/>
      <w:u w:val="single"/>
    </w:rPr>
  </w:style>
  <w:style w:type="paragraph" w:styleId="Heading3">
    <w:name w:val="heading 3"/>
    <w:basedOn w:val="Normal"/>
    <w:next w:val="Normal"/>
    <w:link w:val="Heading3Char"/>
    <w:qFormat/>
    <w:rsid w:val="00785623"/>
    <w:pPr>
      <w:keepNext/>
      <w:outlineLvl w:val="2"/>
    </w:pPr>
    <w:rPr>
      <w:u w:val="single"/>
    </w:rPr>
  </w:style>
  <w:style w:type="paragraph" w:styleId="Heading4">
    <w:name w:val="heading 4"/>
    <w:basedOn w:val="Normal"/>
    <w:next w:val="Normal"/>
    <w:link w:val="Heading4Char"/>
    <w:qFormat/>
    <w:rsid w:val="00785623"/>
    <w:pPr>
      <w:keepNext/>
      <w:spacing w:before="240" w:after="60"/>
      <w:outlineLvl w:val="3"/>
    </w:pPr>
    <w:rPr>
      <w:b/>
      <w:bCs/>
      <w:sz w:val="28"/>
      <w:szCs w:val="28"/>
    </w:rPr>
  </w:style>
  <w:style w:type="paragraph" w:styleId="Heading5">
    <w:name w:val="heading 5"/>
    <w:basedOn w:val="Normal"/>
    <w:next w:val="Normal"/>
    <w:link w:val="Heading5Char"/>
    <w:qFormat/>
    <w:rsid w:val="00785623"/>
    <w:pPr>
      <w:spacing w:before="240" w:after="60"/>
      <w:outlineLvl w:val="4"/>
    </w:pPr>
    <w:rPr>
      <w:b/>
      <w:bCs/>
      <w:i/>
      <w:iCs/>
      <w:sz w:val="26"/>
      <w:szCs w:val="26"/>
    </w:rPr>
  </w:style>
  <w:style w:type="paragraph" w:styleId="Heading6">
    <w:name w:val="heading 6"/>
    <w:basedOn w:val="Normal"/>
    <w:next w:val="Normal"/>
    <w:link w:val="Heading6Char"/>
    <w:qFormat/>
    <w:rsid w:val="00785623"/>
    <w:pPr>
      <w:spacing w:before="240" w:after="60"/>
      <w:outlineLvl w:val="5"/>
    </w:pPr>
    <w:rPr>
      <w:b/>
      <w:bCs/>
      <w:sz w:val="22"/>
      <w:szCs w:val="22"/>
    </w:rPr>
  </w:style>
  <w:style w:type="paragraph" w:styleId="Heading7">
    <w:name w:val="heading 7"/>
    <w:basedOn w:val="Normal"/>
    <w:next w:val="Normal"/>
    <w:link w:val="Heading7Char"/>
    <w:qFormat/>
    <w:rsid w:val="0078562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5623"/>
    <w:rPr>
      <w:rFonts w:ascii="Times New Roman" w:hAnsi="Times New Roman" w:cs="Times New Roman"/>
      <w:b/>
      <w:bCs/>
      <w:u w:val="single"/>
      <w:lang w:val="en-GB" w:eastAsia="en-GB"/>
    </w:rPr>
  </w:style>
  <w:style w:type="character" w:customStyle="1" w:styleId="Heading2Char">
    <w:name w:val="Heading 2 Char"/>
    <w:basedOn w:val="DefaultParagraphFont"/>
    <w:link w:val="Heading2"/>
    <w:rsid w:val="00785623"/>
    <w:rPr>
      <w:rFonts w:ascii="Times New Roman" w:hAnsi="Times New Roman" w:cs="Times New Roman"/>
      <w:sz w:val="22"/>
      <w:u w:val="single"/>
      <w:lang w:val="en-GB" w:eastAsia="en-GB"/>
    </w:rPr>
  </w:style>
  <w:style w:type="character" w:customStyle="1" w:styleId="Heading3Char">
    <w:name w:val="Heading 3 Char"/>
    <w:basedOn w:val="DefaultParagraphFont"/>
    <w:link w:val="Heading3"/>
    <w:rsid w:val="00785623"/>
    <w:rPr>
      <w:rFonts w:ascii="Times New Roman" w:hAnsi="Times New Roman" w:cs="Times New Roman"/>
      <w:u w:val="single"/>
      <w:lang w:val="en-GB" w:eastAsia="en-GB"/>
    </w:rPr>
  </w:style>
  <w:style w:type="character" w:customStyle="1" w:styleId="Heading4Char">
    <w:name w:val="Heading 4 Char"/>
    <w:basedOn w:val="DefaultParagraphFont"/>
    <w:link w:val="Heading4"/>
    <w:rsid w:val="00785623"/>
    <w:rPr>
      <w:rFonts w:ascii="Times New Roman" w:hAnsi="Times New Roman" w:cs="Times New Roman"/>
      <w:b/>
      <w:bCs/>
      <w:sz w:val="28"/>
      <w:szCs w:val="28"/>
      <w:lang w:val="en-GB" w:eastAsia="en-GB"/>
    </w:rPr>
  </w:style>
  <w:style w:type="character" w:customStyle="1" w:styleId="Heading5Char">
    <w:name w:val="Heading 5 Char"/>
    <w:basedOn w:val="DefaultParagraphFont"/>
    <w:link w:val="Heading5"/>
    <w:rsid w:val="00785623"/>
    <w:rPr>
      <w:rFonts w:ascii="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785623"/>
    <w:rPr>
      <w:rFonts w:ascii="Times New Roman" w:hAnsi="Times New Roman" w:cs="Times New Roman"/>
      <w:b/>
      <w:bCs/>
      <w:sz w:val="22"/>
      <w:szCs w:val="22"/>
      <w:lang w:val="en-GB" w:eastAsia="en-GB"/>
    </w:rPr>
  </w:style>
  <w:style w:type="character" w:customStyle="1" w:styleId="Heading7Char">
    <w:name w:val="Heading 7 Char"/>
    <w:basedOn w:val="DefaultParagraphFont"/>
    <w:link w:val="Heading7"/>
    <w:rsid w:val="00785623"/>
    <w:rPr>
      <w:rFonts w:ascii="Times New Roman" w:hAnsi="Times New Roman" w:cs="Times New Roman"/>
      <w:lang w:val="en-GB" w:eastAsia="en-GB"/>
    </w:rPr>
  </w:style>
  <w:style w:type="character" w:styleId="FootnoteReference">
    <w:name w:val="footnote reference"/>
    <w:aliases w:val="16 Point,Superscript 6 Point,Superscript 6 Point + 11 pt,ftref,Знак сноски 1,referencia nota al pie, BVI fnr,BVI fnr,Car Car Char Car Char Car Car Char Car Char Char,FC,Footnote Reference Number,R,Ref,SUPERS,de nota al pie,fr"/>
    <w:uiPriority w:val="99"/>
    <w:qFormat/>
    <w:rsid w:val="00785623"/>
  </w:style>
  <w:style w:type="character" w:customStyle="1" w:styleId="Hypertext">
    <w:name w:val="Hypertext"/>
    <w:rsid w:val="00785623"/>
    <w:rPr>
      <w:color w:val="0000FF"/>
      <w:u w:val="single"/>
    </w:rPr>
  </w:style>
  <w:style w:type="character" w:customStyle="1" w:styleId="BalloonTextChar">
    <w:name w:val="Balloon Text Char"/>
    <w:basedOn w:val="DefaultParagraphFont"/>
    <w:link w:val="BalloonText"/>
    <w:semiHidden/>
    <w:rsid w:val="00785623"/>
    <w:rPr>
      <w:rFonts w:ascii="Tahoma" w:eastAsia="Times New Roman" w:hAnsi="Tahoma" w:cs="Tahoma"/>
      <w:sz w:val="16"/>
      <w:szCs w:val="16"/>
    </w:rPr>
  </w:style>
  <w:style w:type="paragraph" w:styleId="BalloonText">
    <w:name w:val="Balloon Text"/>
    <w:basedOn w:val="Normal"/>
    <w:link w:val="BalloonTextChar"/>
    <w:semiHidden/>
    <w:rsid w:val="00785623"/>
    <w:rPr>
      <w:rFonts w:ascii="Tahoma" w:eastAsia="Times New Roman" w:hAnsi="Tahoma" w:cs="Tahoma"/>
      <w:sz w:val="16"/>
      <w:szCs w:val="16"/>
      <w:lang w:eastAsia="en-US"/>
    </w:rPr>
  </w:style>
  <w:style w:type="character" w:customStyle="1" w:styleId="BalloonTextChar1">
    <w:name w:val="Balloon Text Char1"/>
    <w:basedOn w:val="DefaultParagraphFont"/>
    <w:uiPriority w:val="99"/>
    <w:semiHidden/>
    <w:rsid w:val="00785623"/>
    <w:rPr>
      <w:rFonts w:ascii="Times New Roman" w:hAnsi="Times New Roman" w:cs="Times New Roman"/>
      <w:sz w:val="18"/>
      <w:szCs w:val="18"/>
      <w:lang w:val="en-GB" w:eastAsia="en-GB"/>
    </w:rPr>
  </w:style>
  <w:style w:type="paragraph" w:styleId="BodyText">
    <w:name w:val="Body Text"/>
    <w:basedOn w:val="Normal"/>
    <w:link w:val="BodyTextChar"/>
    <w:rsid w:val="00785623"/>
    <w:pPr>
      <w:jc w:val="both"/>
    </w:pPr>
    <w:rPr>
      <w:sz w:val="22"/>
    </w:rPr>
  </w:style>
  <w:style w:type="character" w:customStyle="1" w:styleId="BodyTextChar">
    <w:name w:val="Body Text Char"/>
    <w:basedOn w:val="DefaultParagraphFont"/>
    <w:link w:val="BodyText"/>
    <w:rsid w:val="00785623"/>
    <w:rPr>
      <w:rFonts w:ascii="Times New Roman" w:hAnsi="Times New Roman" w:cs="Times New Roman"/>
      <w:sz w:val="22"/>
      <w:lang w:val="en-GB" w:eastAsia="en-GB"/>
    </w:rPr>
  </w:style>
  <w:style w:type="paragraph" w:styleId="Header">
    <w:name w:val="header"/>
    <w:basedOn w:val="Normal"/>
    <w:link w:val="HeaderChar"/>
    <w:uiPriority w:val="99"/>
    <w:rsid w:val="00785623"/>
    <w:pPr>
      <w:tabs>
        <w:tab w:val="center" w:pos="4320"/>
        <w:tab w:val="right" w:pos="8640"/>
      </w:tabs>
    </w:pPr>
  </w:style>
  <w:style w:type="character" w:customStyle="1" w:styleId="HeaderChar">
    <w:name w:val="Header Char"/>
    <w:basedOn w:val="DefaultParagraphFont"/>
    <w:link w:val="Header"/>
    <w:uiPriority w:val="99"/>
    <w:rsid w:val="00785623"/>
    <w:rPr>
      <w:rFonts w:ascii="Times New Roman" w:hAnsi="Times New Roman" w:cs="Times New Roman"/>
      <w:lang w:val="en-GB" w:eastAsia="en-GB"/>
    </w:rPr>
  </w:style>
  <w:style w:type="paragraph" w:styleId="Footer">
    <w:name w:val="footer"/>
    <w:basedOn w:val="Normal"/>
    <w:link w:val="FooterChar"/>
    <w:uiPriority w:val="99"/>
    <w:rsid w:val="00785623"/>
    <w:pPr>
      <w:tabs>
        <w:tab w:val="center" w:pos="4320"/>
        <w:tab w:val="right" w:pos="8640"/>
      </w:tabs>
    </w:pPr>
  </w:style>
  <w:style w:type="character" w:customStyle="1" w:styleId="FooterChar">
    <w:name w:val="Footer Char"/>
    <w:basedOn w:val="DefaultParagraphFont"/>
    <w:link w:val="Footer"/>
    <w:uiPriority w:val="99"/>
    <w:rsid w:val="00785623"/>
    <w:rPr>
      <w:rFonts w:ascii="Times New Roman" w:hAnsi="Times New Roman" w:cs="Times New Roman"/>
      <w:lang w:val="en-GB" w:eastAsia="en-GB"/>
    </w:rPr>
  </w:style>
  <w:style w:type="character" w:styleId="PageNumber">
    <w:name w:val="page number"/>
    <w:basedOn w:val="DefaultParagraphFont"/>
    <w:rsid w:val="00785623"/>
  </w:style>
  <w:style w:type="table" w:styleId="TableGrid">
    <w:name w:val="Table Grid"/>
    <w:basedOn w:val="TableNormal"/>
    <w:uiPriority w:val="59"/>
    <w:rsid w:val="00785623"/>
    <w:pPr>
      <w:widowControl w:val="0"/>
      <w:autoSpaceDE w:val="0"/>
      <w:autoSpaceDN w:val="0"/>
      <w:adjustRightInd w:val="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85623"/>
    <w:pPr>
      <w:ind w:left="1440" w:hanging="1440"/>
      <w:jc w:val="center"/>
    </w:pPr>
    <w:rPr>
      <w:b/>
      <w:bCs/>
      <w:sz w:val="22"/>
      <w:u w:val="single"/>
    </w:rPr>
  </w:style>
  <w:style w:type="character" w:customStyle="1" w:styleId="TitleChar">
    <w:name w:val="Title Char"/>
    <w:basedOn w:val="DefaultParagraphFont"/>
    <w:link w:val="Title"/>
    <w:rsid w:val="00785623"/>
    <w:rPr>
      <w:rFonts w:ascii="Times New Roman" w:hAnsi="Times New Roman" w:cs="Times New Roman"/>
      <w:b/>
      <w:bCs/>
      <w:sz w:val="22"/>
      <w:u w:val="single"/>
      <w:lang w:val="en-GB" w:eastAsia="en-GB"/>
    </w:rPr>
  </w:style>
  <w:style w:type="paragraph" w:styleId="BodyText2">
    <w:name w:val="Body Text 2"/>
    <w:basedOn w:val="Normal"/>
    <w:link w:val="BodyText2Char"/>
    <w:rsid w:val="00785623"/>
    <w:rPr>
      <w:sz w:val="22"/>
    </w:rPr>
  </w:style>
  <w:style w:type="character" w:customStyle="1" w:styleId="BodyText2Char">
    <w:name w:val="Body Text 2 Char"/>
    <w:basedOn w:val="DefaultParagraphFont"/>
    <w:link w:val="BodyText2"/>
    <w:rsid w:val="00785623"/>
    <w:rPr>
      <w:rFonts w:ascii="Times New Roman" w:hAnsi="Times New Roman" w:cs="Times New Roman"/>
      <w:sz w:val="22"/>
      <w:lang w:val="en-GB" w:eastAsia="en-GB"/>
    </w:rPr>
  </w:style>
  <w:style w:type="character" w:customStyle="1" w:styleId="DocumentMapChar">
    <w:name w:val="Document Map Char"/>
    <w:basedOn w:val="DefaultParagraphFont"/>
    <w:link w:val="DocumentMap"/>
    <w:semiHidden/>
    <w:rsid w:val="00785623"/>
    <w:rPr>
      <w:rFonts w:ascii="Tahoma" w:eastAsia="Times New Roman" w:hAnsi="Tahoma" w:cs="Tahoma"/>
      <w:shd w:val="clear" w:color="auto" w:fill="000080"/>
    </w:rPr>
  </w:style>
  <w:style w:type="paragraph" w:styleId="DocumentMap">
    <w:name w:val="Document Map"/>
    <w:basedOn w:val="Normal"/>
    <w:link w:val="DocumentMapChar"/>
    <w:semiHidden/>
    <w:rsid w:val="00785623"/>
    <w:pPr>
      <w:shd w:val="clear" w:color="auto" w:fill="000080"/>
    </w:pPr>
    <w:rPr>
      <w:rFonts w:ascii="Tahoma" w:eastAsia="Times New Roman" w:hAnsi="Tahoma" w:cs="Tahoma"/>
      <w:lang w:eastAsia="en-US"/>
    </w:rPr>
  </w:style>
  <w:style w:type="character" w:customStyle="1" w:styleId="DocumentMapChar1">
    <w:name w:val="Document Map Char1"/>
    <w:basedOn w:val="DefaultParagraphFont"/>
    <w:uiPriority w:val="99"/>
    <w:semiHidden/>
    <w:rsid w:val="00785623"/>
    <w:rPr>
      <w:rFonts w:ascii="Helvetica" w:hAnsi="Helvetica" w:cs="Times New Roman"/>
      <w:sz w:val="26"/>
      <w:szCs w:val="26"/>
      <w:lang w:val="en-GB" w:eastAsia="en-GB"/>
    </w:rPr>
  </w:style>
  <w:style w:type="character" w:styleId="Hyperlink">
    <w:name w:val="Hyperlink"/>
    <w:rsid w:val="00785623"/>
    <w:rPr>
      <w:color w:val="0000FF"/>
      <w:u w:val="single"/>
    </w:rPr>
  </w:style>
  <w:style w:type="paragraph" w:styleId="NormalWeb">
    <w:name w:val="Normal (Web)"/>
    <w:basedOn w:val="Normal"/>
    <w:uiPriority w:val="99"/>
    <w:rsid w:val="00785623"/>
    <w:pPr>
      <w:spacing w:before="100" w:beforeAutospacing="1" w:after="100" w:afterAutospacing="1"/>
    </w:pPr>
  </w:style>
  <w:style w:type="paragraph" w:styleId="FootnoteText">
    <w:name w:val="footnote text"/>
    <w:aliases w:val="Char Char,Geneva 9,Font: Geneva 9,Boston 10,f,single space,Footnote,otnote Text,f Car Car,f Car,ft,ft1,ft2,ft3,ft4,ft5,Texto nota pie Car Car Car,Testo nota a piè di pagina Carattere Carattere, Char Char,Footnote Text Char Char"/>
    <w:basedOn w:val="Normal"/>
    <w:link w:val="FootnoteTextChar"/>
    <w:uiPriority w:val="99"/>
    <w:qFormat/>
    <w:rsid w:val="00785623"/>
    <w:rPr>
      <w:sz w:val="20"/>
      <w:szCs w:val="20"/>
    </w:rPr>
  </w:style>
  <w:style w:type="character" w:customStyle="1" w:styleId="FootnoteTextChar">
    <w:name w:val="Footnote Text Char"/>
    <w:aliases w:val="Char Char Char,Geneva 9 Char,Font: Geneva 9 Char,Boston 10 Char,f Char,single space Char,Footnote Char,otnote Text Char,f Car Car Char,f Car Char,ft Char,ft1 Char,ft2 Char,ft3 Char,ft4 Char,ft5 Char,Texto nota pie Car Car Car Char"/>
    <w:basedOn w:val="DefaultParagraphFont"/>
    <w:link w:val="FootnoteText"/>
    <w:uiPriority w:val="99"/>
    <w:qFormat/>
    <w:rsid w:val="00785623"/>
    <w:rPr>
      <w:rFonts w:ascii="Times New Roman" w:hAnsi="Times New Roman" w:cs="Times New Roman"/>
      <w:sz w:val="20"/>
      <w:szCs w:val="20"/>
      <w:lang w:val="en-GB" w:eastAsia="en-GB"/>
    </w:rPr>
  </w:style>
  <w:style w:type="character" w:styleId="CommentReference">
    <w:name w:val="annotation reference"/>
    <w:uiPriority w:val="99"/>
    <w:rsid w:val="00785623"/>
    <w:rPr>
      <w:sz w:val="16"/>
      <w:szCs w:val="16"/>
    </w:rPr>
  </w:style>
  <w:style w:type="paragraph" w:styleId="CommentText">
    <w:name w:val="annotation text"/>
    <w:basedOn w:val="Normal"/>
    <w:link w:val="CommentTextChar"/>
    <w:uiPriority w:val="99"/>
    <w:rsid w:val="00785623"/>
    <w:rPr>
      <w:sz w:val="20"/>
      <w:szCs w:val="20"/>
    </w:rPr>
  </w:style>
  <w:style w:type="character" w:customStyle="1" w:styleId="CommentTextChar">
    <w:name w:val="Comment Text Char"/>
    <w:basedOn w:val="DefaultParagraphFont"/>
    <w:link w:val="CommentText"/>
    <w:uiPriority w:val="99"/>
    <w:rsid w:val="00785623"/>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785623"/>
    <w:rPr>
      <w:b/>
      <w:bCs/>
    </w:rPr>
  </w:style>
  <w:style w:type="character" w:customStyle="1" w:styleId="CommentSubjectChar">
    <w:name w:val="Comment Subject Char"/>
    <w:basedOn w:val="CommentTextChar"/>
    <w:link w:val="CommentSubject"/>
    <w:rsid w:val="00785623"/>
    <w:rPr>
      <w:rFonts w:ascii="Times New Roman" w:hAnsi="Times New Roman" w:cs="Times New Roman"/>
      <w:b/>
      <w:bCs/>
      <w:sz w:val="20"/>
      <w:szCs w:val="20"/>
      <w:lang w:val="en-GB" w:eastAsia="en-GB"/>
    </w:rPr>
  </w:style>
  <w:style w:type="paragraph" w:styleId="ListParagraph">
    <w:name w:val="List Paragraph"/>
    <w:aliases w:val="123 List Paragraph,List Paragraph1,text,Bullets,Numbered List Paragraph,Celula,Dot pt,List Paragraph Char Char Char,Indicator Text,Numbered Para 1,List Paragraph12,Bullet Points,MAIN CONTENT,Bullet 1,Colorful List - Accent 11"/>
    <w:basedOn w:val="Normal"/>
    <w:link w:val="ListParagraphChar"/>
    <w:uiPriority w:val="34"/>
    <w:qFormat/>
    <w:rsid w:val="00785623"/>
    <w:pPr>
      <w:ind w:left="720"/>
    </w:pPr>
  </w:style>
  <w:style w:type="character" w:customStyle="1" w:styleId="ListParagraphChar">
    <w:name w:val="List Paragraph Char"/>
    <w:aliases w:val="123 List Paragraph Char,List Paragraph1 Char,text Char,Bullets Char,Numbered List Paragraph Char,Celula Char,Dot pt Char,List Paragraph Char Char Char Char,Indicator Text Char,Numbered Para 1 Char,List Paragraph12 Char,Bullet 1 Char"/>
    <w:link w:val="ListParagraph"/>
    <w:uiPriority w:val="34"/>
    <w:qFormat/>
    <w:locked/>
    <w:rsid w:val="00785623"/>
    <w:rPr>
      <w:rFonts w:ascii="Times New Roman" w:hAnsi="Times New Roman" w:cs="Times New Roman"/>
      <w:lang w:val="en-GB" w:eastAsia="en-GB"/>
    </w:rPr>
  </w:style>
  <w:style w:type="paragraph" w:styleId="NoSpacing">
    <w:name w:val="No Spacing"/>
    <w:uiPriority w:val="1"/>
    <w:qFormat/>
    <w:rsid w:val="00785623"/>
    <w:pPr>
      <w:widowControl w:val="0"/>
      <w:autoSpaceDE w:val="0"/>
      <w:autoSpaceDN w:val="0"/>
      <w:adjustRightInd w:val="0"/>
    </w:pPr>
    <w:rPr>
      <w:rFonts w:ascii="Times" w:eastAsia="Times New Roman" w:hAnsi="Times" w:cs="Times New Roman"/>
      <w:lang w:val="en-US"/>
    </w:rPr>
  </w:style>
  <w:style w:type="character" w:styleId="Strong">
    <w:name w:val="Strong"/>
    <w:uiPriority w:val="22"/>
    <w:qFormat/>
    <w:rsid w:val="00785623"/>
    <w:rPr>
      <w:b/>
      <w:bCs/>
    </w:rPr>
  </w:style>
  <w:style w:type="character" w:styleId="Emphasis">
    <w:name w:val="Emphasis"/>
    <w:uiPriority w:val="20"/>
    <w:qFormat/>
    <w:rsid w:val="00785623"/>
    <w:rPr>
      <w:i/>
      <w:iCs/>
    </w:rPr>
  </w:style>
  <w:style w:type="paragraph" w:customStyle="1" w:styleId="Default">
    <w:name w:val="Default"/>
    <w:rsid w:val="00785623"/>
    <w:pPr>
      <w:autoSpaceDE w:val="0"/>
      <w:autoSpaceDN w:val="0"/>
      <w:adjustRightInd w:val="0"/>
    </w:pPr>
    <w:rPr>
      <w:rFonts w:ascii="Times New Roman" w:hAnsi="Times New Roman" w:cs="Times New Roman"/>
      <w:color w:val="000000"/>
      <w:lang w:val="en-US"/>
    </w:rPr>
  </w:style>
  <w:style w:type="paragraph" w:customStyle="1" w:styleId="Reporttext">
    <w:name w:val="Report text"/>
    <w:basedOn w:val="Normal"/>
    <w:link w:val="ReporttextChar"/>
    <w:rsid w:val="00785623"/>
    <w:pPr>
      <w:spacing w:before="120"/>
    </w:pPr>
    <w:rPr>
      <w:rFonts w:ascii="Calibri" w:hAnsi="Calibri"/>
      <w:sz w:val="22"/>
      <w:szCs w:val="20"/>
    </w:rPr>
  </w:style>
  <w:style w:type="character" w:customStyle="1" w:styleId="ReporttextChar">
    <w:name w:val="Report text Char"/>
    <w:link w:val="Reporttext"/>
    <w:rsid w:val="00785623"/>
    <w:rPr>
      <w:rFonts w:ascii="Calibri" w:hAnsi="Calibri" w:cs="Times New Roman"/>
      <w:sz w:val="22"/>
      <w:szCs w:val="20"/>
      <w:lang w:val="en-GB" w:eastAsia="en-GB"/>
    </w:rPr>
  </w:style>
  <w:style w:type="table" w:customStyle="1" w:styleId="TableGrid1">
    <w:name w:val="Table Grid1"/>
    <w:basedOn w:val="TableNormal"/>
    <w:next w:val="TableGrid"/>
    <w:uiPriority w:val="39"/>
    <w:rsid w:val="00785623"/>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5623"/>
    <w:rPr>
      <w:rFonts w:ascii="Times" w:eastAsia="Times New Roman" w:hAnsi="Times" w:cs="Times New Roman"/>
      <w:lang w:val="en-US"/>
    </w:rPr>
  </w:style>
  <w:style w:type="paragraph" w:styleId="Caption">
    <w:name w:val="caption"/>
    <w:basedOn w:val="Normal"/>
    <w:next w:val="Normal"/>
    <w:uiPriority w:val="35"/>
    <w:unhideWhenUsed/>
    <w:qFormat/>
    <w:rsid w:val="00785623"/>
    <w:pPr>
      <w:spacing w:after="200"/>
    </w:pPr>
    <w:rPr>
      <w:rFonts w:asciiTheme="minorHAnsi" w:hAnsiTheme="minorHAnsi" w:cstheme="minorBidi"/>
      <w:i/>
      <w:iCs/>
      <w:color w:val="44546A" w:themeColor="text2"/>
      <w:sz w:val="18"/>
      <w:szCs w:val="18"/>
      <w:lang w:val="en-029" w:eastAsia="en-US"/>
    </w:rPr>
  </w:style>
  <w:style w:type="paragraph" w:customStyle="1" w:styleId="Footnote1">
    <w:name w:val="Footnote_1"/>
    <w:basedOn w:val="FootnoteText"/>
    <w:qFormat/>
    <w:rsid w:val="00785623"/>
    <w:rPr>
      <w:rFonts w:asciiTheme="minorHAnsi" w:hAnsiTheme="minorHAnsi" w:cstheme="minorBidi"/>
      <w:lang w:val="en-029" w:eastAsia="en-US"/>
    </w:rPr>
  </w:style>
  <w:style w:type="character" w:customStyle="1" w:styleId="normaltextrun">
    <w:name w:val="normaltextrun"/>
    <w:basedOn w:val="DefaultParagraphFont"/>
    <w:rsid w:val="00785623"/>
  </w:style>
  <w:style w:type="character" w:customStyle="1" w:styleId="eop">
    <w:name w:val="eop"/>
    <w:basedOn w:val="DefaultParagraphFont"/>
    <w:rsid w:val="00785623"/>
  </w:style>
  <w:style w:type="paragraph" w:customStyle="1" w:styleId="paragraph">
    <w:name w:val="paragraph"/>
    <w:basedOn w:val="Normal"/>
    <w:rsid w:val="00785623"/>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16</Pages>
  <Words>3887</Words>
  <Characters>22160</Characters>
  <Application>Microsoft Office Word</Application>
  <DocSecurity>0</DocSecurity>
  <Lines>184</Lines>
  <Paragraphs>51</Paragraphs>
  <ScaleCrop>false</ScaleCrop>
  <Company/>
  <LinksUpToDate>false</LinksUpToDate>
  <CharactersWithSpaces>25996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Serena Rossignoli</dc:creator>
  <cp:keywords/>
  <dc:description/>
  <cp:lastModifiedBy>Johanna Pelaez</cp:lastModifiedBy>
  <cp:revision>2</cp:revision>
  <dcterms:created xsi:type="dcterms:W3CDTF">2021-03-10T20:45:00Z</dcterms:created>
  <dcterms:modified xsi:type="dcterms:W3CDTF">2021-03-10T20:45:00Z</dcterms:modified>
</cp:coreProperties>
</file>